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“App Developer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