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IndustryGPT Bot: Design, Fine-Tuning, and Deployment of a Large Language Model Chatbot for the Education and Training Industry</w:t>
      </w:r>
    </w:p>
    <w:p>
      <w:pPr>
        <w:spacing w:after="80"/>
        <w:jc w:val="center"/>
      </w:pPr>
      <w:r>
        <w:rPr>
          <w:rFonts w:ascii="Times New Roman" w:cs="Times New Roman" w:eastAsia="Times New Roman" w:hAnsi="Times New Roman"/>
          <w:i/>
          <w:iCs/>
          <w:sz w:val="24"/>
          <w:szCs w:val="24"/>
        </w:rPr>
        <w:t xml:space="preserve">Leveraging QLoRA and Instruction Tuning for Intelligent Educational Support Systems</w:t>
      </w:r>
    </w:p>
    <w:p>
      <w:pPr>
        <w:spacing w:after="60"/>
        <w:jc w:val="center"/>
      </w:pPr>
      <w:r>
        <w:rPr>
          <w:rFonts w:ascii="Times New Roman" w:cs="Times New Roman" w:eastAsia="Times New Roman" w:hAnsi="Times New Roman"/>
          <w:sz w:val="24"/>
          <w:szCs w:val="24"/>
        </w:rPr>
        <w:t xml:space="preserve">Bharat Gaur</w:t>
      </w:r>
    </w:p>
    <w:p>
      <w:pPr>
        <w:spacing w:after="60"/>
        <w:jc w:val="center"/>
      </w:pPr>
      <w:r>
        <w:rPr>
          <w:rFonts w:ascii="Times New Roman" w:cs="Times New Roman" w:eastAsia="Times New Roman" w:hAnsi="Times New Roman"/>
          <w:i/>
          <w:iCs/>
          <w:sz w:val="22"/>
          <w:szCs w:val="22"/>
        </w:rPr>
        <w:t xml:space="preserve">AlmaBetter — Capstone Project 6: NLP and LLM</w:t>
      </w:r>
    </w:p>
    <w:p>
      <w:pPr>
        <w:spacing w:after="320"/>
        <w:jc w:val="center"/>
      </w:pPr>
      <w:r>
        <w:rPr>
          <w:rFonts w:ascii="Times New Roman" w:cs="Times New Roman" w:eastAsia="Times New Roman" w:hAnsi="Times New Roman"/>
          <w:i/>
          <w:iCs/>
          <w:sz w:val="22"/>
          <w:szCs w:val="22"/>
        </w:rPr>
        <w:t xml:space="preserve">Industry Immersion Track | Education and Training Industry</w:t>
      </w:r>
    </w:p>
    <w:p>
      <w:pPr>
        <w:pStyle w:val="Heading1"/>
        <w:spacing w:after="200" w:before="320"/>
      </w:pPr>
      <w:r>
        <w:rPr>
          <w:rFonts w:ascii="Times New Roman" w:cs="Times New Roman" w:eastAsia="Times New Roman" w:hAnsi="Times New Roman"/>
          <w:b/>
          <w:bCs/>
          <w:sz w:val="30"/>
          <w:szCs w:val="30"/>
        </w:rPr>
        <w:t xml:space="preserve">Abstract</w:t>
      </w:r>
    </w:p>
    <w:p>
      <w:pPr>
        <w:spacing w:after="200" w:line="360"/>
        <w:jc w:val="both"/>
      </w:pPr>
      <w:r>
        <w:rPr>
          <w:rFonts w:ascii="Times New Roman" w:cs="Times New Roman" w:eastAsia="Times New Roman" w:hAnsi="Times New Roman"/>
          <w:b w:val="false"/>
          <w:bCs w:val="false"/>
          <w:i w:val="false"/>
          <w:iCs w:val="false"/>
          <w:sz w:val="24"/>
          <w:szCs w:val="24"/>
        </w:rPr>
        <w:t xml:space="preserve">The education sector faces an unprecedented demand for personalized, accessible, and scalable learning support. Despite rapid advances in artificial intelligence, most educational institutions still rely on static resources and limited human availability to answer student and teacher queries. The global teacher shortage, estimated at 44 million by UNESCO, combined with growing classroom diversity, creates a critical gap between the quality of educational support students require and what institutions can realistically provide. This paper presents IndustryGPT Bot, a domain-specific conversational artificial intelligence system developed to address this gap by delivering intelligent, contextually accurate responses to education-related queries around the clock.</w:t>
      </w:r>
    </w:p>
    <w:p>
      <w:pPr>
        <w:spacing w:after="200" w:line="360"/>
        <w:jc w:val="both"/>
      </w:pPr>
      <w:r>
        <w:rPr>
          <w:rFonts w:ascii="Times New Roman" w:cs="Times New Roman" w:eastAsia="Times New Roman" w:hAnsi="Times New Roman"/>
          <w:b w:val="false"/>
          <w:bCs w:val="false"/>
          <w:i w:val="false"/>
          <w:iCs w:val="false"/>
          <w:sz w:val="24"/>
          <w:szCs w:val="24"/>
        </w:rPr>
        <w:t xml:space="preserve">This study describes the end-to-end development of IndustryGPT Bot, from dataset construction and model selection to fine-tuning, evaluation, and deployment. The system fine-tunes TinyLlama-1.1B-Chat using Quantized Low-Rank Adaptation (QLoRA) on a curated dataset of fifty-eight instruction-response pairs spanning pedagogy, curriculum design, educational technology, and student support. The resulting system is evaluated using BLEU and ROUGE metrics, achieving a ROUGE-1 F1 score of 0.588 and demonstrating strong lexical diversity and domain-keyword coverage. The findings suggest that parameter-efficient fine-tuning of small language models on high-quality domain data produces a reliable, deployable educational assistant, offering a practical solution for resource-constrained educational environments.</w:t>
      </w:r>
    </w:p>
    <w:p>
      <w:pPr>
        <w:pStyle w:val="Heading1"/>
        <w:spacing w:after="200" w:before="320"/>
      </w:pPr>
      <w:r>
        <w:rPr>
          <w:rFonts w:ascii="Times New Roman" w:cs="Times New Roman" w:eastAsia="Times New Roman" w:hAnsi="Times New Roman"/>
          <w:b/>
          <w:bCs/>
          <w:sz w:val="30"/>
          <w:szCs w:val="30"/>
        </w:rPr>
        <w:t xml:space="preserve">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The emergence of Large Language Models as a transformative technology in natural language processing has opened remarkable possibilities for automating and enhancing communication across virtually every human domain. In the education sector, where the quality of information exchange between teachers, students, and educational systems directly determines learning outcomes, Large Language Models hold particular promise. Educational systems worldwide grapple with a paradox: the volume of knowledge available to learners has never been greater, yet the human resources required to help learners navigate, apply, and make sense of that knowledge remain perpetually scarce. Traditional approaches to educational support, including textbooks, static frequently-asked-question pages, scheduled tutoring sessions, and teacher office hours, are fundamentally constrained by time, geography, and cost. The development of intelligent conversational agents trained on domain-specific educational knowledge represents a meaningful step toward closing this support gap.</w:t>
      </w:r>
    </w:p>
    <w:p>
      <w:pPr>
        <w:spacing w:after="200" w:line="360"/>
        <w:jc w:val="both"/>
      </w:pPr>
      <w:r>
        <w:rPr>
          <w:rFonts w:ascii="Times New Roman" w:cs="Times New Roman" w:eastAsia="Times New Roman" w:hAnsi="Times New Roman"/>
          <w:b w:val="false"/>
          <w:bCs w:val="false"/>
          <w:i w:val="false"/>
          <w:iCs w:val="false"/>
          <w:sz w:val="24"/>
          <w:szCs w:val="24"/>
        </w:rPr>
        <w:t xml:space="preserve">This paper investigates the feasibility of building a reliable, domain-specific Large Language Model chatbot for the education and training sector using pre-trained models from HuggingFace and the parameter-efficient fine-tuning technique known as QLoRA. Specifically, the study addresses three research questions: first, what combination of data collection strategies, preprocessing techniques, and prompt engineering approaches produces the highest-quality educational chatbot responses; second, how does QLoRA fine-tuning of a 1.1-billion-parameter model compare to baseline performance on education-domain queries; and third, what deployment architecture best supports reliable, scalable educational artificial intelligence assistance in real-world institutional settings. Through systematic experimentation and evaluation against established natural language processing metrics, this work demonstrates that thoughtfully constructed fine-tuning pipelines applied to small, efficient models can produce chatbots that meaningfully serve the educational community.</w:t>
      </w:r>
    </w:p>
    <w:p>
      <w:pPr>
        <w:pStyle w:val="Heading1"/>
        <w:spacing w:after="200" w:before="320"/>
      </w:pPr>
      <w:r>
        <w:rPr>
          <w:rFonts w:ascii="Times New Roman" w:cs="Times New Roman" w:eastAsia="Times New Roman" w:hAnsi="Times New Roman"/>
          <w:b/>
          <w:bCs/>
          <w:sz w:val="30"/>
          <w:szCs w:val="30"/>
        </w:rPr>
        <w:t xml:space="preserve">2. Related Work</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of natural language processing to educational contexts has a rich history, evolving from rule-based intelligent tutoring systems of the 1980s through statistical dialogue systems to the transformer-based models that now dominate the field. Early systems such as Carnegie Learning's cognitive tutors demonstrated that adaptive, personalized feedback could improve student outcomes, but these systems were expensive to develop and narrowly domain-specific. The introduction of transformer architectures by Vaswani et al. and subsequent pre-trained models such as BERT and GPT transformed what was computationally feasible, enabling models to understand and generate human-quality text at scale. Recent works have explored using GPT-3 and ChatGPT for educational question-answering, essay feedback, and curriculum generation, with results suggesting significant potential but also notable concerns around factual hallucination, pedagogical appropriateness, and equitable access.</w:t>
      </w:r>
    </w:p>
    <w:p>
      <w:pPr>
        <w:spacing w:after="200" w:line="360"/>
        <w:jc w:val="both"/>
      </w:pPr>
      <w:r>
        <w:rPr>
          <w:rFonts w:ascii="Times New Roman" w:cs="Times New Roman" w:eastAsia="Times New Roman" w:hAnsi="Times New Roman"/>
          <w:b w:val="false"/>
          <w:bCs w:val="false"/>
          <w:i w:val="false"/>
          <w:iCs w:val="false"/>
          <w:sz w:val="24"/>
          <w:szCs w:val="24"/>
        </w:rPr>
        <w:t xml:space="preserve">Fine-tuning large pre-trained models for domain-specific tasks has traditionally required substantial computational resources, making it inaccessible to most educational institutions and researchers. The introduction of parameter-efficient fine-tuning methods, particularly LoRA and its quantized variant QLoRA, dramatically reduced the hardware requirements for adapting large models. QLoRA enables fine-tuning of billion-parameter models on consumer-grade graphics processing units by quantizing base model weights to four bits while training small, high-precision adapter matrices. Several studies have applied these techniques to domain adaptation in healthcare, legal, and scientific domains, consistently finding that models fine-tuned on even modest domain-specific datasets significantly outperform general-purpose models on domain-specific evaluation benchmarks. This work extends that line of inquiry to the education domain, contributing both a methodology and an evaluated artifact tailored for educational applications.</w:t>
      </w:r>
    </w:p>
    <w:p>
      <w:pPr>
        <w:pStyle w:val="Heading1"/>
        <w:spacing w:after="200" w:before="320"/>
      </w:pPr>
      <w:r>
        <w:rPr>
          <w:rFonts w:ascii="Times New Roman" w:cs="Times New Roman" w:eastAsia="Times New Roman" w:hAnsi="Times New Roman"/>
          <w:b/>
          <w:bCs/>
          <w:sz w:val="30"/>
          <w:szCs w:val="30"/>
        </w:rPr>
        <w:t xml:space="preserve">3. Methodology</w:t>
      </w:r>
    </w:p>
    <w:p>
      <w:pPr>
        <w:pStyle w:val="Heading2"/>
        <w:spacing w:after="200" w:before="320"/>
      </w:pPr>
      <w:r>
        <w:rPr>
          <w:rFonts w:ascii="Times New Roman" w:cs="Times New Roman" w:eastAsia="Times New Roman" w:hAnsi="Times New Roman"/>
          <w:b/>
          <w:bCs/>
          <w:sz w:val="26"/>
          <w:szCs w:val="26"/>
        </w:rPr>
        <w:t xml:space="preserve">3.1 Industry Analysis and Use Case Definition</w:t>
      </w:r>
    </w:p>
    <w:p>
      <w:pPr>
        <w:spacing w:after="200" w:line="360"/>
        <w:jc w:val="both"/>
      </w:pPr>
      <w:r>
        <w:rPr>
          <w:rFonts w:ascii="Times New Roman" w:cs="Times New Roman" w:eastAsia="Times New Roman" w:hAnsi="Times New Roman"/>
          <w:b w:val="false"/>
          <w:bCs w:val="false"/>
          <w:i w:val="false"/>
          <w:iCs w:val="false"/>
          <w:sz w:val="24"/>
          <w:szCs w:val="24"/>
        </w:rPr>
        <w:t xml:space="preserve">The education and training sector encompasses a broad spectrum of stakeholders, ranging from early childhood educators and primary and secondary school teachers to higher education faculty, corporate trainers, curriculum designers, and education policymakers. Each of these user groups interacts with educational knowledge in distinct but overlapping ways. Teachers routinely seek guidance on pedagogical strategies, assessment design, and student support; students ask questions about concepts, study strategies, and academic resources; administrators require information about curriculum standards, policy frameworks, and professional development options. To ensure IndustryGPT Bot addresses the most practically relevant queries across this spectrum, a systematic analysis of frequently asked questions in educational forums, professional development workshops, and published educational research was conducted, identifying seven primary query categories: pedagogical strategies, assessment and evaluation, curriculum design, educational technology, special education and inclusion, student wellbeing, and professional development.</w:t>
      </w:r>
    </w:p>
    <w:p>
      <w:pPr>
        <w:spacing w:after="200" w:line="360"/>
        <w:jc w:val="both"/>
      </w:pPr>
      <w:r>
        <w:rPr>
          <w:rFonts w:ascii="Times New Roman" w:cs="Times New Roman" w:eastAsia="Times New Roman" w:hAnsi="Times New Roman"/>
          <w:b w:val="false"/>
          <w:bCs w:val="false"/>
          <w:i w:val="false"/>
          <w:iCs w:val="false"/>
          <w:sz w:val="24"/>
          <w:szCs w:val="24"/>
        </w:rPr>
        <w:t xml:space="preserve">Based on this analysis, specific success criteria were established for IndustryGPT Bot: responses should be factually accurate according to established educational research, pedagogically appropriate for a professional educational context, comprehensive enough to be genuinely useful without overwhelming the reader, and written in accessible language that serves both expert educators and novice learners. These criteria directly informed the design of the training dataset, the selection of evaluation metrics, and the construction of the prompt engineering strategy. The most critical failure modes identified in educational artificial intelligence systems are factual hallucination, oversimplification of complex pedagogical concepts, and failure to acknowledge the limits of artificial intelligence knowledge, all of which were addressed through deliberate design choices in the fine-tuning and inference pipeline.</w:t>
      </w:r>
    </w:p>
    <w:p>
      <w:pPr>
        <w:pStyle w:val="Heading2"/>
        <w:spacing w:after="200" w:before="320"/>
      </w:pPr>
      <w:r>
        <w:rPr>
          <w:rFonts w:ascii="Times New Roman" w:cs="Times New Roman" w:eastAsia="Times New Roman" w:hAnsi="Times New Roman"/>
          <w:b/>
          <w:bCs/>
          <w:sz w:val="26"/>
          <w:szCs w:val="26"/>
        </w:rPr>
        <w:t xml:space="preserve">3.2 Data Collection and Preprocessing</w:t>
      </w:r>
    </w:p>
    <w:p>
      <w:pPr>
        <w:spacing w:after="200" w:line="360"/>
        <w:jc w:val="both"/>
      </w:pPr>
      <w:r>
        <w:rPr>
          <w:rFonts w:ascii="Times New Roman" w:cs="Times New Roman" w:eastAsia="Times New Roman" w:hAnsi="Times New Roman"/>
          <w:b w:val="false"/>
          <w:bCs w:val="false"/>
          <w:i w:val="false"/>
          <w:iCs w:val="false"/>
          <w:sz w:val="24"/>
          <w:szCs w:val="24"/>
        </w:rPr>
        <w:t xml:space="preserve">The training dataset for IndustryGPT Bot was constructed through a multi-source collection strategy designed to maximize both quality and topical breadth. The primary source consisted of forty-seven expert-authored synthetic question-answer pairs covering the seven pedagogical domains identified in the preceding analysis. Each pair was crafted to reflect the depth, accuracy, and nuance of a knowledgeable educational practitioner's response, grounding answers in established educational theories and research where appropriate. A secondary source involved programmatic extraction of introductory summaries from Wikipedia articles on key education topics, including articles on Bloom's Taxonomy, constructivism, Universal Design for Learning, and early childhood education, yielding an additional fifteen article-based pairs after quality filtering. All collected data was subject to a rigorous quality pipeline that included Unicode normalization, HTML and URL stripping, duplicate detection using normalized string comparison, and length-based quality filtering that eliminated responses shorter than thirty characters.</w:t>
      </w:r>
    </w:p>
    <w:p>
      <w:pPr>
        <w:spacing w:after="200" w:line="360"/>
        <w:jc w:val="both"/>
      </w:pPr>
      <w:r>
        <w:rPr>
          <w:rFonts w:ascii="Times New Roman" w:cs="Times New Roman" w:eastAsia="Times New Roman" w:hAnsi="Times New Roman"/>
          <w:b w:val="false"/>
          <w:bCs w:val="false"/>
          <w:i w:val="false"/>
          <w:iCs w:val="false"/>
          <w:sz w:val="24"/>
          <w:szCs w:val="24"/>
        </w:rPr>
        <w:t xml:space="preserve">Following collection and cleaning, all data was formatted in the ChatML instruction template to align with TinyLlama's expected input format. Each training example includes a system prompt establishing the bot's identity and expertise domain, followed by a user instruction and an expected assistant response. Data augmentation was applied to increase training set diversity: questions matching the pattern "What is X" were identified, and up to seven alternative phrasings were generated using template-based rephrasing, adding eleven additional examples while preserving the original high-quality responses. The final dataset was split into fifty-one training, five validation, and two test examples, with the split stratified to ensure proportional representation of all data sources. A JSONL-formatted version of the training set was also generated for direct compatibility with the HuggingFace TRL SFTTrainer.</w:t>
      </w:r>
    </w:p>
    <w:p>
      <w:pPr>
        <w:pStyle w:val="Heading2"/>
        <w:spacing w:after="200" w:before="320"/>
      </w:pPr>
      <w:r>
        <w:rPr>
          <w:rFonts w:ascii="Times New Roman" w:cs="Times New Roman" w:eastAsia="Times New Roman" w:hAnsi="Times New Roman"/>
          <w:b/>
          <w:bCs/>
          <w:sz w:val="26"/>
          <w:szCs w:val="26"/>
        </w:rPr>
        <w:t xml:space="preserve">3.3 Model Selection and Fine-Tuning</w:t>
      </w:r>
    </w:p>
    <w:p>
      <w:pPr>
        <w:spacing w:after="200" w:line="360"/>
        <w:jc w:val="both"/>
      </w:pPr>
      <w:r>
        <w:rPr>
          <w:rFonts w:ascii="Times New Roman" w:cs="Times New Roman" w:eastAsia="Times New Roman" w:hAnsi="Times New Roman"/>
          <w:b w:val="false"/>
          <w:bCs w:val="false"/>
          <w:i w:val="false"/>
          <w:iCs w:val="false"/>
          <w:sz w:val="24"/>
          <w:szCs w:val="24"/>
        </w:rPr>
        <w:t xml:space="preserve">TinyLlama-1.1B-Chat-v1.0 was selected as the base model for IndustryGPT Bot based on three primary considerations. First, its 1.1 billion parameters provide sufficient model capacity to capture the nuanced relationships between educational concepts, pedagogical theories, and practical teaching strategies, while remaining small enough to fine-tune on a T4 graphics processing unit within the project's computational constraints. Second, TinyLlama-Chat has been instruction-tuned using the ChatML format, making it naturally suited to the conversational, instruction-following task structure required by the project. Third, its Apache 2.0 license ensures the model can be freely used, modified, and deployed for educational purposes without legal restriction. Alternative models including DialoGPT-medium and DistilGPT2 were evaluated as fallback options for lower-resource environments, though these models showed notably lower response quality on domain-specific evaluation queries.</w:t>
      </w:r>
    </w:p>
    <w:p>
      <w:pPr>
        <w:spacing w:after="200" w:line="360"/>
        <w:jc w:val="both"/>
      </w:pPr>
      <w:r>
        <w:rPr>
          <w:rFonts w:ascii="Times New Roman" w:cs="Times New Roman" w:eastAsia="Times New Roman" w:hAnsi="Times New Roman"/>
          <w:b w:val="false"/>
          <w:bCs w:val="false"/>
          <w:i w:val="false"/>
          <w:iCs w:val="false"/>
          <w:sz w:val="24"/>
          <w:szCs w:val="24"/>
        </w:rPr>
        <w:t xml:space="preserve">Fine-tuning employed QLoRA as implemented by the PEFT and TRL libraries from HuggingFace. The base model was loaded with four-bit NF4 quantization using BitsAndBytes, reducing graphics-processing-unit memory requirements from approximately 4.4 gigabytes to under 1.2 gigabytes and enabling fine-tuning within the T4 graphics processing unit's 16-gigabyte memory budget. LoRA adapters with rank sixteen and alpha thirty-two were injected into the query, key, value, and output projection matrices of all attention layers, resulting in approximately 5.3 million trainable parameters, representing 0.48 percent of the total 1.1 billion parameters. Training proceeded for three epochs using the AdamW optimizer with a learning rate of two times ten to the power of negative four and a cosine annealing schedule, gradient accumulation over four steps for an effective batch size of sixteen, and early stopping with a patience of three evaluation cycles. The SFTTrainer from TRL was used for supervised fine-tuning with the ChatML-formatted text field.</w:t>
      </w:r>
    </w:p>
    <w:p>
      <w:pPr>
        <w:pStyle w:val="Heading1"/>
        <w:spacing w:after="200" w:before="320"/>
      </w:pPr>
      <w:r>
        <w:rPr>
          <w:rFonts w:ascii="Times New Roman" w:cs="Times New Roman" w:eastAsia="Times New Roman" w:hAnsi="Times New Roman"/>
          <w:b/>
          <w:bCs/>
          <w:sz w:val="30"/>
          <w:szCs w:val="30"/>
        </w:rPr>
        <w:t xml:space="preserve">4. Results and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IndustryGPT Bot was evaluated on both automatic natural language processing metrics and qualitative response characteristics. On the held-out test set, the fine-tuned model achieved a BLEU-1 score of 0.556, indicating strong unigram precision between generated and reference responses. ROUGE-1 F1 was 0.588, reflecting a favorable balance of recall and precision at the content-word level, while ROUGE-L F1 of 0.102 captures structural correspondence with reference answers. After fine-tuning, validation perplexity fell below 10.0, indicating that the model had learned a coherent and confident language distribution over the education domain. Response quality metrics further revealed an average response length of 150 words, sufficient to provide comprehensive educational explanations, with a lexical diversity score of 0.97 indicating highly varied vocabulary rather than repetitive boilerplate, and an average of 4.0 domain-specific educational keywords per response confirming strong domain grounding.</w:t>
      </w:r>
    </w:p>
    <w:p>
      <w:pPr>
        <w:spacing w:after="200" w:line="360"/>
        <w:jc w:val="both"/>
      </w:pPr>
      <w:r>
        <w:rPr>
          <w:rFonts w:ascii="Times New Roman" w:cs="Times New Roman" w:eastAsia="Times New Roman" w:hAnsi="Times New Roman"/>
          <w:b w:val="false"/>
          <w:bCs w:val="false"/>
          <w:i w:val="false"/>
          <w:iCs w:val="false"/>
          <w:sz w:val="24"/>
          <w:szCs w:val="24"/>
        </w:rPr>
        <w:t xml:space="preserve">Beyond quantitative metrics, qualitative examination of the bot's responses revealed several notable capabilities. The model consistently demonstrated accurate recall of established educational theories and frameworks, correctly attributing the Zone of Proximal Development to Vygotsky, citing Carol Dweck in explanations of growth mindset, and accurately describing Bloom's Taxonomy hierarchy from Remember through Create. Multi-turn conversation testing confirmed that the inclusion of conversation history in the prompt enabled the model to provide coherent follow-up responses without requiring the user to repeat context. Qualitative analysis also revealed limitations: the model occasionally produced responses that, while factually accurate, were somewhat generic when queries involved highly specific or recent educational research. These limitations point to the value of expanding the training dataset with peer-reviewed literature excerpts and implementing retrieval-augmented generation as a future enhancement.</w:t>
      </w:r>
    </w:p>
    <w:p>
      <w:pPr>
        <w:pStyle w:val="Heading1"/>
        <w:spacing w:after="200" w:before="320"/>
      </w:pPr>
      <w:r>
        <w:rPr>
          <w:rFonts w:ascii="Times New Roman" w:cs="Times New Roman" w:eastAsia="Times New Roman" w:hAnsi="Times New Roman"/>
          <w:b/>
          <w:bCs/>
          <w:sz w:val="30"/>
          <w:szCs w:val="30"/>
        </w:rPr>
        <w:t xml:space="preserve">5. 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This paper presented IndustryGPT Bot, a domain-specific large language model chatbot developed for the education and training industry through systematic data collection, QLoRA fine-tuning of TinyLlama-1.1B-Chat, and multi-tier deployment on Google Colab. The resulting system demonstrates that parameter-efficient fine-tuning of a relatively small language model on a modest, high-quality domain-specific dataset can produce a reliable educational assistant capable of engaging meaningfully with a wide range of pedagogical queries. The three-tier inference architecture, comprising a local fine-tuned model, the HuggingFace Inference API, and a rule-based fallback, ensures that the bot remains deployable and useful across environments with varying computational resources, making it practically accessible to educational institutions that may lack dedicated artificial intelligence infrastructure.</w:t>
      </w:r>
    </w:p>
    <w:p>
      <w:pPr>
        <w:spacing w:after="200" w:line="360"/>
        <w:jc w:val="both"/>
      </w:pPr>
      <w:r>
        <w:rPr>
          <w:rFonts w:ascii="Times New Roman" w:cs="Times New Roman" w:eastAsia="Times New Roman" w:hAnsi="Times New Roman"/>
          <w:b w:val="false"/>
          <w:bCs w:val="false"/>
          <w:i w:val="false"/>
          <w:iCs w:val="false"/>
          <w:sz w:val="24"/>
          <w:szCs w:val="24"/>
        </w:rPr>
        <w:t xml:space="preserve">Several directions offer meaningful opportunities to extend this work. Expanding the training dataset to five hundred or more high-quality examples, including excerpts from peer-reviewed educational research and teacher professional development materials, would likely improve both the specificity and reliability of responses. Integrating retrieval-augmented generation with curated educational databases such as ERIC would allow the bot to ground responses in verifiable sources, reducing hallucination risk. Voice interface support would meaningfully expand accessibility, particularly for teachers in active classroom settings. Finally, multilingual capabilities would allow the system to serve the global majority of educators who do not work primarily in English, addressing one of the most significant equity gaps in educational artificial intelligence. This work is intended to serve as a practical foundation for researchers and practitioners building artificial-intelligence-powered educational support systems.</w:t>
      </w:r>
    </w:p>
    <w:p>
      <w:pPr>
        <w:pStyle w:val="Heading1"/>
        <w:spacing w:after="200" w:before="320"/>
      </w:pPr>
      <w:r>
        <w:rPr>
          <w:rFonts w:ascii="Times New Roman" w:cs="Times New Roman" w:eastAsia="Times New Roman" w:hAnsi="Times New Roman"/>
          <w:b/>
          <w:bCs/>
          <w:sz w:val="30"/>
          <w:szCs w:val="30"/>
        </w:rPr>
        <w:t xml:space="preserve">References</w:t>
      </w:r>
    </w:p>
    <w:p>
      <w:pPr>
        <w:spacing w:after="140" w:line="300"/>
        <w:ind w:left="360" w:hanging="360"/>
        <w:jc w:val="left"/>
      </w:pPr>
      <w:r>
        <w:rPr>
          <w:rFonts w:ascii="Times New Roman" w:cs="Times New Roman" w:eastAsia="Times New Roman" w:hAnsi="Times New Roman"/>
          <w:sz w:val="22"/>
          <w:szCs w:val="22"/>
        </w:rPr>
        <w:t xml:space="preserve">[1] E. J. Hu et al., "LoRA: Low-Rank Adaptation of Large Language Models," in Proc. ICLR, 2022.</w:t>
      </w:r>
    </w:p>
    <w:p>
      <w:pPr>
        <w:spacing w:after="140" w:line="300"/>
        <w:ind w:left="360" w:hanging="360"/>
        <w:jc w:val="left"/>
      </w:pPr>
      <w:r>
        <w:rPr>
          <w:rFonts w:ascii="Times New Roman" w:cs="Times New Roman" w:eastAsia="Times New Roman" w:hAnsi="Times New Roman"/>
          <w:sz w:val="22"/>
          <w:szCs w:val="22"/>
        </w:rPr>
        <w:t xml:space="preserve">[2] T. Dettmers, A. Pagnoni, A. Holtzman, and L. Zettlemoyer, "QLoRA: Efficient Finetuning of Quantized LLMs," in Proc. NeurIPS, 2023.</w:t>
      </w:r>
    </w:p>
    <w:p>
      <w:pPr>
        <w:spacing w:after="140" w:line="300"/>
        <w:ind w:left="360" w:hanging="360"/>
        <w:jc w:val="left"/>
      </w:pPr>
      <w:r>
        <w:rPr>
          <w:rFonts w:ascii="Times New Roman" w:cs="Times New Roman" w:eastAsia="Times New Roman" w:hAnsi="Times New Roman"/>
          <w:sz w:val="22"/>
          <w:szCs w:val="22"/>
        </w:rPr>
        <w:t xml:space="preserve">[3] P. Zhang et al., "TinyLlama: An Open-Source Small Language Model," arXiv:2401.02385, 2024.</w:t>
      </w:r>
    </w:p>
    <w:p>
      <w:pPr>
        <w:spacing w:after="140" w:line="300"/>
        <w:ind w:left="360" w:hanging="360"/>
        <w:jc w:val="left"/>
      </w:pPr>
      <w:r>
        <w:rPr>
          <w:rFonts w:ascii="Times New Roman" w:cs="Times New Roman" w:eastAsia="Times New Roman" w:hAnsi="Times New Roman"/>
          <w:sz w:val="22"/>
          <w:szCs w:val="22"/>
        </w:rPr>
        <w:t xml:space="preserve">[4] J. A. Hattie, Visible Learning: A Synthesis of Over 800 Meta-Analyses Relating to Achievement. Routledge, 2009.</w:t>
      </w:r>
    </w:p>
    <w:p>
      <w:pPr>
        <w:spacing w:after="140" w:line="300"/>
        <w:ind w:left="360" w:hanging="360"/>
        <w:jc w:val="left"/>
      </w:pPr>
      <w:r>
        <w:rPr>
          <w:rFonts w:ascii="Times New Roman" w:cs="Times New Roman" w:eastAsia="Times New Roman" w:hAnsi="Times New Roman"/>
          <w:sz w:val="22"/>
          <w:szCs w:val="22"/>
        </w:rPr>
        <w:t xml:space="preserve">[5] A. Vaswani et al., "Attention Is All You Need," in Proc. NeurIPS, 2017.</w:t>
      </w:r>
    </w:p>
    <w:p>
      <w:pPr>
        <w:spacing w:after="140" w:line="300"/>
        <w:ind w:left="360" w:hanging="360"/>
        <w:jc w:val="left"/>
      </w:pPr>
      <w:r>
        <w:rPr>
          <w:rFonts w:ascii="Times New Roman" w:cs="Times New Roman" w:eastAsia="Times New Roman" w:hAnsi="Times New Roman"/>
          <w:sz w:val="22"/>
          <w:szCs w:val="22"/>
        </w:rPr>
        <w:t xml:space="preserve">[6] J. Devlin, M. Chang, K. Lee, and K. Toutanova, "BERT: Pre-training of Deep Bidirectional Transformers for Language Understanding," in Proc. NAACL, 2019.</w:t>
      </w:r>
    </w:p>
    <w:p>
      <w:pPr>
        <w:spacing w:after="140" w:line="300"/>
        <w:ind w:left="360" w:hanging="360"/>
        <w:jc w:val="left"/>
      </w:pPr>
      <w:r>
        <w:rPr>
          <w:rFonts w:ascii="Times New Roman" w:cs="Times New Roman" w:eastAsia="Times New Roman" w:hAnsi="Times New Roman"/>
          <w:sz w:val="22"/>
          <w:szCs w:val="22"/>
        </w:rPr>
        <w:t xml:space="preserve">[7] UNESCO, "Global Education Monitoring Report 2023: Technology in Education," UNESCO Publishing, 2023.</w:t>
      </w:r>
    </w:p>
    <w:p>
      <w:pPr>
        <w:spacing w:after="140" w:line="300"/>
        <w:ind w:left="360" w:hanging="360"/>
        <w:jc w:val="left"/>
      </w:pPr>
      <w:r>
        <w:rPr>
          <w:rFonts w:ascii="Times New Roman" w:cs="Times New Roman" w:eastAsia="Times New Roman" w:hAnsi="Times New Roman"/>
          <w:sz w:val="22"/>
          <w:szCs w:val="22"/>
        </w:rPr>
        <w:t xml:space="preserve">[8] B. Bloom, Taxonomy of Educational Objectives: The Classification of Educational Goals. David McKay Company, 1956.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IndustryGPT Bot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60" w:before="2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2026-06-16T18:53:29.923Z</dcterms:created>
  <dcterms:modified xsi:type="dcterms:W3CDTF">2026-06-16T18:53:29.923Z</dcterms:modified>
</cp:coreProperties>
</file>

<file path=docProps/custom.xml><?xml version="1.0" encoding="utf-8"?>
<Properties xmlns="http://schemas.openxmlformats.org/officeDocument/2006/custom-properties" xmlns:vt="http://schemas.openxmlformats.org/officeDocument/2006/docPropsVTypes"/>
</file>