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560"/>
              <w:left w:type="dxa" w:w="520"/>
              <w:bottom w:type="dxa" w:w="560"/>
              <w:right w:type="dxa" w:w="5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8AABCC"/>
                <w:sz w:val="24"/>
                <w:szCs w:val="24"/>
              </w:rPr>
              <w:t xml:space="preserve">PRODUCT REQUIREMENTS DOCUMENT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Bharath Aadhya Intelligence</w:t>
            </w:r>
          </w:p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color w:val="A8C4E0"/>
                <w:sz w:val="32"/>
                <w:szCs w:val="32"/>
              </w:rPr>
              <w:t xml:space="preserve">Corporate Introduction Website</w:t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8C50"/>
                <w:sz w:val="38"/>
                <w:szCs w:val="38"/>
              </w:rPr>
              <w:t xml:space="preserve">Empowering the Smarter India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888AA"/>
                <w:sz w:val="20"/>
                <w:szCs w:val="20"/>
              </w:rPr>
              <w:t xml:space="preserve">Version 1.0   |   2026   |   CONFIDENTIAL</w:t>
            </w:r>
          </w:p>
        </w:tc>
      </w:tr>
    </w:tbl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Ready for Design &amp; Development Execution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Bharath Aadhya Intelligence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V1 Corporate Introduction Website — Landing Page &amp; Core Architecture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Design Team, Engineering Team, Leadership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Product Management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2026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55A1B" w:sz="18"/>
              <w:bottom w:val="none" w:color="FFFFFF" w:sz="0"/>
              <w:right w:val="none" w:color="FFFFFF" w:sz="0"/>
            </w:tcBorders>
            <w:shd w:fill="F2F5FA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1"/>
                <w:szCs w:val="21"/>
              </w:rPr>
              <w:t xml:space="preserve">This PRD defines the complete requirements for building Bharath Aadhya Intelligence's corporate introduction website — a high-performance, enterprise-grade digital presence that communicates the organization's IT services, values, and capabilities to businesses across India and beyond.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TABLE OF CONTENTS</w:t>
            </w:r>
          </w:p>
        </w:tc>
      </w:tr>
    </w:tbl>
    <w:p>
      <w:pPr>
        <w:spacing w:before="160"/>
      </w:pPr>
    </w:p>
    <w:p>
      <w:pPr>
        <w:tabs>
          <w:tab w:val="right" w:pos="9026" w:leader="dot"/>
        </w:tabs>
        <w:spacing w:after="80" w:before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1.  Product Vision &amp; Goals</w:t>
      </w:r>
      <w:r>
        <w:rPr>
          <w:rFonts w:ascii="Arial" w:cs="Arial" w:eastAsia="Arial" w:hAnsi="Arial"/>
          <w:color w:val="4A5C80"/>
          <w:sz w:val="24"/>
          <w:szCs w:val="24"/>
        </w:rPr>
        <w:t xml:space="preserve">	3</w:t>
      </w:r>
    </w:p>
    <w:p>
      <w:pPr>
        <w:tabs>
          <w:tab w:val="right" w:pos="9026" w:leader="dot"/>
        </w:tabs>
        <w:spacing w:after="80" w:before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2.  Target Audience &amp; User Personas</w:t>
      </w:r>
      <w:r>
        <w:rPr>
          <w:rFonts w:ascii="Arial" w:cs="Arial" w:eastAsia="Arial" w:hAnsi="Arial"/>
          <w:color w:val="4A5C80"/>
          <w:sz w:val="24"/>
          <w:szCs w:val="24"/>
        </w:rPr>
        <w:t xml:space="preserve">	5</w:t>
      </w:r>
    </w:p>
    <w:p>
      <w:pPr>
        <w:tabs>
          <w:tab w:val="right" w:pos="9026" w:leader="dot"/>
        </w:tabs>
        <w:spacing w:after="80" w:before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3.  Website Structure &amp; Section Requirements</w:t>
      </w:r>
      <w:r>
        <w:rPr>
          <w:rFonts w:ascii="Arial" w:cs="Arial" w:eastAsia="Arial" w:hAnsi="Arial"/>
          <w:color w:val="4A5C80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3.1  Header / Navigation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3.2  Hero Section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3.3  Services / Offerings Section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3.4  About / Impact Section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3.5  Testimonials Section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3.6  Partners &amp; Clients Showcase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3.7  Final Call-to-Action Block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  3.8  Footer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4.  User Flow &amp; Interactions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5.  Design System &amp; Visual Language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6.  Non-Functional Requirements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7.  Technology Stack &amp; Integrations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8.  Future Phases &amp; Roadmap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21</w:t>
      </w:r>
    </w:p>
    <w:p>
      <w:pPr>
        <w:tabs>
          <w:tab w:val="right" w:pos="9026" w:leader="dot"/>
        </w:tabs>
        <w:spacing w:after="50" w:before="50"/>
      </w:pPr>
      <w:r>
        <w:rPr>
          <w:rFonts w:ascii="Arial" w:cs="Arial" w:eastAsia="Arial" w:hAnsi="Arial"/>
          <w:b w:val="false"/>
          <w:bCs w:val="false"/>
          <w:color w:val="1A2340"/>
          <w:sz w:val="20"/>
          <w:szCs w:val="20"/>
        </w:rPr>
        <w:t xml:space="preserve">9.  Acceptance Criteria &amp; Launch Checklist</w:t>
      </w:r>
      <w:r>
        <w:rPr>
          <w:rFonts w:ascii="Arial" w:cs="Arial" w:eastAsia="Arial" w:hAnsi="Arial"/>
          <w:color w:val="4A5C80"/>
          <w:sz w:val="20"/>
          <w:szCs w:val="20"/>
        </w:rPr>
        <w:t xml:space="preserve">	22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Product Vision &amp; Goals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1.1  Executive Summary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This document defines the complete product, design, and engineering requirements for the official corporate introduction website of Bharath Aadhya Intelligence (BAI) — an India-based IT services organisation.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website is BAI's primary digital front-door. It must communicate organisational credibility, articulate the breadth of IT service capabilities, build trust with decision-makers, and convert qualified visitors into business conversations. The design and structural approach is inspired by the HackCulture.io aesthetic — dark, modern, enterprise-grade, and conversion-optimised — adapted entirely for an IT services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55A1B" w:sz="18"/>
              <w:bottom w:val="none" w:color="FFFFFF" w:sz="0"/>
              <w:right w:val="none" w:color="FFFFFF" w:sz="0"/>
            </w:tcBorders>
            <w:shd w:fill="F2F5FA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1"/>
                <w:szCs w:val="21"/>
              </w:rPr>
              <w:t xml:space="preserve">Core Mission: Bharath Aadhya Intelligence exists to empower India's digital future. The website must communicate this mission instantly, confidently, and memorably to every visitor.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1.2  Strategic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Establish BAI as a credible, premium IT services brand for Indian enterprises, SMBs, startups, and government institutions.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Generate qualified inbound leads — primarily 'Get In Touch' form submissions and direct contact initiations.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Communicate BAI's six core IT service capabilities clearly and with tangible business outcomes.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Build immediate trust through impact statistics, client testimonials, and partner/client logos.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Achieve top-tier performance: sub-2s load time, mobile-first, accessibility compliant.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Support organic discoverability through on-page SEO optimised for high-intent IT services keywords in India.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Serve as the foundation for future digital growth — blog, case studies, careers, and client portal.</w:t>
      </w:r>
    </w:p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1.3  Success Metrics — KPIs for V1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Monthly organic visitors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3,000+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Google Analytics 4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'Get In Touch' form submissions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40+ qualified leads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CRM / HubSpot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&gt; 2 minutes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&lt; 50%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Core Web Vitals — LCP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Google PageSpeed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Mobile responsiveness score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95+ / 100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SEO keyword ranking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Top 10 for 5 target keywords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SEMrush / Ahrefs</w:t>
            </w:r>
          </w:p>
        </w:tc>
      </w:tr>
      <w:tr>
        <w:tc>
          <w:tcPr>
            <w:tcW w:type="dxa" w:w="3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Accessibility score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90+ / 100</w:t>
            </w:r>
          </w:p>
        </w:tc>
        <w:tc>
          <w:tcPr>
            <w:tcW w:type="dxa" w:w="28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Lighthouse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2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Target Audience &amp; User Personas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2.1  Primary Audience Segments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BAI website serves multiple audience segments simultaneously. Every design, copy, and UX decision must account for this diversity.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Enterprises</w:t>
            </w:r>
          </w:p>
        </w:tc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E5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SMBs &amp; Startups</w:t>
            </w:r>
          </w:p>
        </w:tc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A6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6B2D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 Professionals</w:t>
            </w:r>
          </w:p>
        </w:tc>
      </w:tr>
      <w:tr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9"/>
                <w:szCs w:val="19"/>
              </w:rPr>
              <w:t xml:space="preserve">CTOs, CIOs, Digital Transformation Officers, Procurement Heads at large Indian corporations.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C80"/>
                <w:sz w:val="18"/>
                <w:szCs w:val="18"/>
              </w:rPr>
              <w:t xml:space="preserve">Need: Reliable IT partner for scale.</w:t>
            </w:r>
          </w:p>
        </w:tc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9"/>
                <w:szCs w:val="19"/>
              </w:rPr>
              <w:t xml:space="preserve">Founders and tech leads looking for affordable, quality IT execution without building a large in-house team.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C80"/>
                <w:sz w:val="18"/>
                <w:szCs w:val="18"/>
              </w:rPr>
              <w:t xml:space="preserve">Need: Cost-efficient expert delivery.</w:t>
            </w:r>
          </w:p>
        </w:tc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9"/>
                <w:szCs w:val="19"/>
              </w:rPr>
              <w:t xml:space="preserve">Government bodies and PSUs seeking compliant digital infrastructure and e-governance solutions.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C80"/>
                <w:sz w:val="18"/>
                <w:szCs w:val="18"/>
              </w:rPr>
              <w:t xml:space="preserve">Need: Trusted, compliant technology partner.</w:t>
            </w:r>
          </w:p>
        </w:tc>
        <w:tc>
          <w:tcPr>
            <w:tcW w:type="dxa" w:w="234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9"/>
                <w:szCs w:val="19"/>
              </w:rPr>
              <w:t xml:space="preserve">Developers and IT professionals evaluating BAI as an employer or technology collaborator.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C80"/>
                <w:sz w:val="18"/>
                <w:szCs w:val="18"/>
              </w:rPr>
              <w:t xml:space="preserve">Need: Company culture and career signals.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2.2  Primary Persona — Enterprise Decision Maker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Aditya Nair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CTO / VP Engineering, mid-to-large Indian enterprise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Find a reliable IT services partner for a cloud migration or AI implementation initiative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Sceptical of vendor claims; needs proof of delivery; time-poor; risk-averse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Journey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Google search → lands on homepage → hero resonates → scrolls services → reads stats + testimonials → fills 'Get In Touch' form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Key Trigger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Sees recognisable client logos + strong ROI metrics + clear service descriptions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2.3  Secondary Persona — SMB Founder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Priya Menon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Founder, 20-person B2B SaaS startup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Hire an IT services partner to build their core product faster than hiring in-house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Budget conscious; needs transparent communication; has been burned by agencies before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Journey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LinkedIn referral → homepage → services section → about / team section → contact form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Key Trigger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Concise service descriptions, visible track record, easy contact flow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3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Website Structure &amp; Section Requirements</w:t>
            </w:r>
          </w:p>
        </w:tc>
      </w:tr>
    </w:tbl>
    <w:p>
      <w:pPr>
        <w:spacing w:before="200"/>
      </w:pP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V1 website is a single-page scrollable experience with anchor navigation. All eight sections below must be treated as independent UI components, each with defined content, interactions, design specs, and responsive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55A1B" w:sz="18"/>
              <w:bottom w:val="none" w:color="FFFFFF" w:sz="0"/>
              <w:right w:val="none" w:color="FFFFFF" w:sz="0"/>
            </w:tcBorders>
            <w:shd w:fill="F2F5FA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1"/>
                <w:szCs w:val="21"/>
              </w:rPr>
              <w:t xml:space="preserve">Design and engineering teams: treat each sub-section below as one Figma frame and one React/HTML component. Build, review, and sign off each independently before integrating into the full page.</w:t>
            </w:r>
          </w:p>
        </w:tc>
      </w:tr>
    </w:tbl>
    <w:p>
      <w:pPr>
        <w:spacing w:before="120"/>
      </w:pPr>
    </w:p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3.1  Header / Navigation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navigation bar is the persistent wayfinding and brand anchor element. It must be sticky, fast-loading, and always accessible.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Content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 / Label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Logo / Brand Mark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BAI logotype (initials block) + 'Bharath Aadhya' wordmark + 'Intelligence' subtitle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Left-aligned. Click scrolls to top / navigates to '/'. SVG + PNG fallback.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Nav Item 1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"Services"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Smooth-scrolls to #services section on click.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Nav Item 2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"About Us"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Smooth-scrolls to #about section.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Nav Item 3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"Our Impact"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Smooth-scrolls to #impact / stats section.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Nav Item 4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"Contact"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Smooth-scrolls to #contact / footer section.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CTA Button 1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"Explore Services"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Ghost/outlined style. Smooth-scrolls to #services.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CTA Button 2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"Get In Touch"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Filled, accent-orange. Opens contact form or scrolls to #contact.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Mobile Menu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Hamburger icon (≡)</w:t>
            </w:r>
          </w:p>
        </w:tc>
        <w:tc>
          <w:tcPr>
            <w:tcW w:type="dxa" w:w="4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Full-screen overlay menu on viewports &lt; 768px. All nav links + CTAs visible.</w:t>
            </w:r>
          </w:p>
        </w:tc>
      </w:tr>
    </w:tbl>
    <w:p>
      <w:pPr>
        <w:spacing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Design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Height: 72px desktop / 60px mobile. Position: sticky, top: 0. Z-index: 1000.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Default state: Transparent background over hero.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Scrolled state (after 60px scroll): Dark navy background (#050B18) with blur/glass effect and subtle bottom border.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Transition: CSS transition on background-color and backdrop-filter, 0.3s 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Logo icon: 38×38px, gradient fill (orange→blue), 9px border-radius, bold 'BAI' monogram.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Active/current section: Accent-coloured underline or dot indicator on the active nav link.</w:t>
      </w:r>
    </w:p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3.2  Hero Section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hero is the highest-impact conversion moment. It must communicate BAI's value proposition within 3 seconds and provide clear pathways to the next action for every visitor type.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Content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Eyebrow / Badge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"India's Intelligent IT Partner" — small pill badge with animated pulse dot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Primary Headline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"Empowering the Smarter India"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"From Vision to Value"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Body Copy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"Bharath Aadhya Intelligence delivers end-to-end IT services that drive digital transformation, accelerate growth, and build the technology backbone of tomorrow's India."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CTA Button 1 (Primary)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"Work With Us" — accent-orange, large. Scrolls to #contact.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CTA Button 2 (Secondary)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"Explore Services" — ghost/outlined style. Scrolls to #services.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Social Proof Strip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Row of client/sector labels: Enterprises, Startups, Government, SMBs, NGOs — displayed as rounded pills below CTAs.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Full-screen dark navy with radial gradient glows (blue top, orange bottom-right). Subtle CSS grid overlay pattern with radial mask-fade.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Scroll Indicator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Animated chevron/arrow at viewport bottom hinting at scrollable content.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Design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Viewport: 100vh desktop, min-height: 100dvh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Headline font: Syne / display font, 64–80px desktop / 36–48px mobile, weight 800, tight letter-spacing.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'Smarter India' text: Gradient text fill (orange→blue) using CSS background-clip.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Badge: Pill-shaped, 1px orange-tinted border, subtle orange-tinted background, small animated dot.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CTA primary: 48px height min, 14–15px 32px padding, box-shadow glow on hover.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Social proof pills: Semi-transparent background, 1px border, small text, hover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Animation: All hero elements fade up with staggered animation-delay (0.1s increments).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Background animations: CSS-only radial gradient, no heavy canvas required. prefers-reduced-motion: remove animations.</w:t>
      </w:r>
    </w:p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3.3  Services / Offerings Section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services section details BAI's six core IT capabilities. It is the primary decision-making section for evaluators and must communicate scope and business value with clarity.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Section Header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"What We Do"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"IT Solutions Built for Modern India"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Subtext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"We combine deep technical expertise with a thorough understanding of India's unique digital landscape to deliver solutions that matter."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The 6 Core Services — Detailed Requirements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4960"/>
        <w:gridCol w:w="2300"/>
      </w:tblGrid>
      <w:tr>
        <w:tc>
          <w:tcPr>
            <w:tcW w:type="dxa" w:w="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4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Icon Colour Theme</w:t>
            </w:r>
          </w:p>
        </w:tc>
      </w:tr>
      <w:tr>
        <w:tc>
          <w:tcPr>
            <w:tcW w:type="dxa" w:w="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Digital Transformation</w:t>
            </w:r>
          </w:p>
        </w:tc>
        <w:tc>
          <w:tcPr>
            <w:tcW w:type="dxa" w:w="4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Re-engineer operations with intelligent digital solutions. Guide organisations from legacy systems to future-ready, cloud-native architectures. Covers process automation, ERP modernisation, and enterprise platform re-platforming.</w:t>
            </w:r>
          </w:p>
        </w:tc>
        <w:tc>
          <w:tcPr>
            <w:tcW w:type="dxa" w:w="2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Cloud Services</w:t>
            </w:r>
          </w:p>
        </w:tc>
        <w:tc>
          <w:tcPr>
            <w:tcW w:type="dxa" w:w="4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Design, migrate, and optimise cloud infrastructure on AWS, Azure, or GCP. Scalable, secure, cost-efficient cloud environments tailored to specific workloads. Includes FinOps, cloud security, and managed services.</w:t>
            </w:r>
          </w:p>
        </w:tc>
        <w:tc>
          <w:tcPr>
            <w:tcW w:type="dxa" w:w="2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AI &amp; Data Intelligence</w:t>
            </w:r>
          </w:p>
        </w:tc>
        <w:tc>
          <w:tcPr>
            <w:tcW w:type="dxa" w:w="4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Unlock data with AI-driven analytics, machine learning models, and intelligent automation. Covers predictive analytics, NLP, computer vision, and data engineering pipelines that turn raw data into competitive advantage.</w:t>
            </w:r>
          </w:p>
        </w:tc>
        <w:tc>
          <w:tcPr>
            <w:tcW w:type="dxa" w:w="2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4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Enterprise-grade security frameworks, compliance audits, threat detection, and 24×7 SOC monitoring tailored for the Indian regulatory environment. Covers VAPT, ISO 27001 readiness, and incident response.</w:t>
            </w:r>
          </w:p>
        </w:tc>
        <w:tc>
          <w:tcPr>
            <w:tcW w:type="dxa" w:w="2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Software Development</w:t>
            </w:r>
          </w:p>
        </w:tc>
        <w:tc>
          <w:tcPr>
            <w:tcW w:type="dxa" w:w="4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Custom web, mobile, and enterprise software built by seasoned engineers. From MVP to full-scale platforms — quality code on time and on budget. Stack-agnostic. Covers frontend, backend, APIs, and DevOps.</w:t>
            </w:r>
          </w:p>
        </w:tc>
        <w:tc>
          <w:tcPr>
            <w:tcW w:type="dxa" w:w="2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Cyan</w:t>
            </w:r>
          </w:p>
        </w:tc>
      </w:tr>
      <w:tr>
        <w:tc>
          <w:tcPr>
            <w:tcW w:type="dxa" w:w="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IT Consulting &amp; Strategy</w:t>
            </w:r>
          </w:p>
        </w:tc>
        <w:tc>
          <w:tcPr>
            <w:tcW w:type="dxa" w:w="4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Strategic technology advisory aligning IT investments with business objectives. Helps leadership teams make smarter, faster, more confident technology decisions. Covers IT roadmaps, vendor selection, and architecture reviews.</w:t>
            </w:r>
          </w:p>
        </w:tc>
        <w:tc>
          <w:tcPr>
            <w:tcW w:type="dxa" w:w="23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Rose/Pink</w:t>
            </w:r>
          </w:p>
        </w:tc>
      </w:tr>
    </w:tbl>
    <w:p>
      <w:pPr>
        <w:spacing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UI Layout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Desktop: 3-column × 2-row card grid. Each card: icon (48×48px), title, 2-line description, 'Learn more →'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Tablet: 2-column grid.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Mobile: Single-column stacked cards.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Grid layout: Separated by 1.5px dividers, creating a unified bordered grid aesthetic (not floating cards).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Card hover: Subtle background lightening + top accent border slides in from left (CSS transform scaleX).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'Learn more →' arrow gap animates on hover (+4px gap transition).</w:t>
      </w:r>
    </w:p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3.4  About / Impact Section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This dual-purpose section humanises the BAI brand and builds trust through quantified outcomes. It targets the rational decision-maker who has already seen the services and wants to know: 'Can they actually deliver?'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Left Panel — Brand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"Who We Are"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"Technology with a Purpose"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Body Para 1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"Bharath Aadhya Intelligence is an Indian-born IT services organisation committed to building intelligent, inclusive, and impactful technology for businesses across every sector."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Body Para 2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"Our name carries our belief — India's ancient wisdom (Aadhya) fused with modern intelligence creates something extraordinary. Grounded, thoughtful, and forward-looking."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"Start a Conversation" — filled accent button, links to #contact.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Right Panel — Impact Statistics (4 stat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5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 Theme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200+</w:t>
            </w:r>
          </w:p>
        </w:tc>
        <w:tc>
          <w:tcPr>
            <w:tcW w:type="dxa" w:w="5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Projects successfully delivered across India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Accent Orange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50+</w:t>
            </w:r>
          </w:p>
        </w:tc>
        <w:tc>
          <w:tcPr>
            <w:tcW w:type="dxa" w:w="5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Enterprise &amp; SMB clients served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98%</w:t>
            </w:r>
          </w:p>
        </w:tc>
        <w:tc>
          <w:tcPr>
            <w:tcW w:type="dxa" w:w="5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Client satisfaction &amp; retention rate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Accent Orange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15+</w:t>
            </w:r>
          </w:p>
        </w:tc>
        <w:tc>
          <w:tcPr>
            <w:tcW w:type="dxa" w:w="5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Years of combined technology leadership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Blue</w:t>
            </w:r>
          </w:p>
        </w:tc>
      </w:tr>
    </w:tbl>
    <w:p>
      <w:pPr>
        <w:spacing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Design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Layout: 2-column on desktop (left: text, right: 2×2 stat grid). Single column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Stat numbers: Bold, extra-large (clamp 2.2rem to 3rem), gradient text fill matching colour theme.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Animation: Count-up effect on stat numbers, triggered by IntersectionObserver when section enters viewport.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Stat card hover: Subtle background lightening.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Background: Near-black, slightly different from hero for visual section separation.</w:t>
      </w:r>
    </w:p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3.5  Testimonials Section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 social proof section that builds trust through real client voices. Critical for reducing hesitation at the consideration stage of the decision-making process.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Section Header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"Client Stories"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"Trusted by India's Innovators"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Subtext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"Hear from the organisations we have helped transform through technology."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Testimonial Card Data Schema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Each testimonial card must carry the following content. A minimum of 6 real testimonials must be sourced before launch.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Quote Text</w:t>
            </w:r>
          </w:p>
        </w:tc>
        <w:tc>
          <w:tcPr>
            <w:tcW w:type="dxa" w:w="3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1–3 sentence outcome-focused testimonial.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"Our cloud migration was delivered on time and 20% under budget."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Full name of the client contact.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Vikram Rao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Title &amp; Company</w:t>
            </w:r>
          </w:p>
        </w:tc>
        <w:tc>
          <w:tcPr>
            <w:tcW w:type="dxa" w:w="3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Job title and employer name.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CTO, FinTech Ventures Pvt Ltd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Avatar</w:t>
            </w:r>
          </w:p>
        </w:tc>
        <w:tc>
          <w:tcPr>
            <w:tcW w:type="dxa" w:w="3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Circular headshot (60×60px real photo, or initials avatar fallback).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VR initials on gradient circle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Service Tag</w:t>
            </w:r>
          </w:p>
        </w:tc>
        <w:tc>
          <w:tcPr>
            <w:tcW w:type="dxa" w:w="3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Colour-coded badge: which BAI service they used.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Cloud Services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39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Optional 5-star display if 4+ stars.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Service Tag Colour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Digital Transformation — Orange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Cloud Services — Blue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AI &amp; Data Intelligence — Purple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Cybersecurity — 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Software Development — Cyan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IT Consulting &amp; Strategy — Rose/Pink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UI / Interaction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Layout: Auto-playing horizontal marquee/carousel (Swiper.js or CSS marquee animation).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Desktop: 3 cards visible; 1 partial card hinting at scroll.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Mobile: Single card, full width, touch/swipe enabled.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Marquee speed: Smooth CSS infinite scroll animation. Pauses on hover.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Fade masks on left and right edges (gradient overlay) to create depth.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Accessibility: Cards reachable by keyboard. ARIA labels on navigation controls.</w:t>
      </w:r>
    </w:p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3.6  Partners &amp; Clients Showcase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 continuous marquee of client/partner brand logos signalling market validation and reducing new-prospect scepticism.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"Our Partners &amp; Clients"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Minimum Logos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12 logos for V1 (mix of clients and technology partners)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Logo Format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SVG preferred, PNG fallback. Consistent height (40–48px). Greyscale default; hover reveals colour.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Continuous horizontal CSS marquee (infinite loop). Pause on hover. Respects prefers-reduced-motion.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Same marquee at reduced logo height (32px).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Edge Treatment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Gradient fade masks on left and right edges for polished depth effect.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Rows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Single row for ≤ 12 logos. Two staggered rows scrolling in opposite directions for &gt; 12 logos.</w:t>
            </w:r>
          </w:p>
        </w:tc>
      </w:tr>
    </w:tbl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3.7  Final Call-to-Action Block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highest-intent conversion section placed immediately before the footer. Targets visitors who have read enough to be ready to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"Ready to Build Something Smarter?"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"Our team of IT architects is ready to understand your challenges and design solutions that deliver real business outcomes. No jargon. No pressure."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CTA Button 1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"Book a Discovery Call" — Filled, accent-orange, large. Links to Calendly or contact form.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CTA Button 2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"Download Our Capabilities Deck" — Ghost/outlined. Triggers PDF download or gated email capture.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Dark navy card with inner glow. Subtle radial orange gradient at top-centre.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3 micro-copy trust items below buttons: 'No commitment required', 'Response within 24 hours', 'Working with 50+ organisations'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Visual Detail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Background decorative pattern or subtle grid overlay within the CTA card for visual richness.</w:t>
            </w:r>
          </w:p>
        </w:tc>
      </w:tr>
    </w:tbl>
    <w:p>
      <w:pPr>
        <w:pBdr>
          <w:bottom w:val="single" w:color="E55A1B" w:sz="4" w:space="1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3.8  Footer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footer is the secondary navigation system, legal compliance anchor, and contact information hub.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Content Architecture — 4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Column 1 — Brand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BAI logo (full colour)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2-line mission statement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Social links: LinkedIn, Twitter/X, GitHub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Newsletter email input + Subscribe button</w:t>
            </w:r>
          </w:p>
        </w:tc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Column 2 — Company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"Our Services" — #services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"About Us" — #about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"Our Impact" — #impact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"Careers" — /careers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"Blog" — /blog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"Contact" — #contact</w:t>
            </w:r>
          </w:p>
        </w:tc>
      </w:tr>
    </w:tbl>
    <w:p>
      <w:pPr>
        <w:spacing w:before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Column 3 —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Digital Transformation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Cloud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AI &amp; Data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Cybersecurity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Software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IT Consulting &amp; Strategy</w:t>
            </w:r>
          </w:p>
        </w:tc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Column 4 — Contact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Email: [org email address]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Phone: [org phone number]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Address: [registered address]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City: India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CIN / GST (if applicable)</w:t>
            </w:r>
          </w:p>
        </w:tc>
      </w:tr>
    </w:tbl>
    <w:p>
      <w:pPr>
        <w:spacing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Footer Bottom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© 2026 Bharath Aadhya Intelligence. All rights reserved.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Privacy Policy — /privacy-policy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Terms &amp; Conditions — /terms-and-conditions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Cookie Policy — /cookie-policy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4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User Flow &amp; Interactions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4.1  Enterprise Decision-Maker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000"/>
        <w:gridCol w:w="4160"/>
      </w:tblGrid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Website Response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Awareness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Arrives via Google search 'IT services company India' or LinkedIn referral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Fast LCP load. Hero immediately visible, badge + headline communicates value within 3 seconds.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Reads hero headline, sees social proof client-type pills, clicks 'Explore Services'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Smooth-scrolls to services section. Sticky nav already visible on scroll.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Reads all 6 service cards. Hovers for interaction cues.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Card hover states engage. 'Learn more →' arrow animates. Clear service descriptions with business outcomes.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Trust-Building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Scrolls to stats. Reads 200+ projects, 98% satisfaction.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Count-up animation triggers on scroll-enter. Numbers anchor credibility.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Reads testimonials carousel. Looks for recognisable sectors or client types.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Marquee pauses on hover. Service tags show which capability they used.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Intent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Scrolls to CTA block or clicks 'Get In Touch' in nav.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CTA section loads with booking option. Contact form is simple, 5 fields max.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Fills form / books Calendly call. Submits.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Inline success confirmation. Lead created in CRM. Team receives Slack/email alert.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Nurture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Receives confirmation email with BAI capabilities deck PDF.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Automated drip sequence begins. Retargeting pixel fires.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4.2  SMB Founder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000"/>
        <w:gridCol w:w="4160"/>
      </w:tblGrid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Website Response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Arrives via LinkedIn referral or word-of-mouth recommendation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Fast load. Hero communicates 'India's IT Partner' clearly.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Scrolls quickly — checks services, stats, and testimonials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Concise service descriptions. Stats are digestible. Testimonials have relevant sector tags.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About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Reads 'Technology with a Purpose' — checking for authenticity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Genuine narrative, no corporate jargon. Mission feels aligned.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Clicks 'Work With Us' or 'Start a Conversation'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Smooth scroll to contact section or Calendly modal.</w:t>
            </w:r>
          </w:p>
        </w:tc>
      </w:tr>
      <w:tr>
        <w:tc>
          <w:tcPr>
            <w:tcW w:type="dxa" w:w="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Fills short form or books call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5-field form max. Mobile-friendly. Instant confirmation.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4.3  'Get In Touch' / Contact Interaction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55A1B" w:sz="18"/>
              <w:bottom w:val="none" w:color="FFFFFF" w:sz="0"/>
              <w:right w:val="none" w:color="FFFFFF" w:sz="0"/>
            </w:tcBorders>
            <w:shd w:fill="F2F5FA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1"/>
                <w:szCs w:val="21"/>
              </w:rPr>
              <w:t xml:space="preserve">This is the primary conversion action for the website. Every element of the contact flow must be optimised for completion rate and lead quality.</w:t>
            </w:r>
          </w:p>
        </w:tc>
      </w:tr>
    </w:tbl>
    <w:p>
      <w:pPr>
        <w:spacing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Option A — Calendly Embed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On 'Book a Discovery Call' click: Open full-screen modal overlay. Load Calendly inline widget.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Event type: 30-minute 'Discovery Call'. Automated reminders at 24h and 1h prior.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UTM parameters passed through to Calendly as custom fields for source attribution.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Post-booking: Thank-you page with confirmation + 'Download Capabilities Deck' CTA.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CRM: Calendly webhook → Zapier → HubSpot creates Contact + Deal record automatically.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50D0"/>
          <w:sz w:val="26"/>
          <w:szCs w:val="26"/>
        </w:rPr>
        <w:t xml:space="preserve">Option B — Inline Contact Form (Fallback)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5-field form, inline on page at the #contact anchor: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Full Name (text,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Business Email (email, required — corporate domain preferred)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Organisation Name (text,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Service of Interest (dropdown: 6 services,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Brief description of requirement (textarea, optional, max 500 chars)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Submit: POST to CRM API. Show inline success state — no redirect. SDR notified via Slack + email instantly.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5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Design System &amp; Visual Language</w:t>
            </w:r>
          </w:p>
        </w:tc>
      </w:tr>
    </w:tbl>
    <w:p>
      <w:pPr>
        <w:spacing w:before="200"/>
      </w:pP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visual design philosophy is: dark, modern, enterprise-grade — drawing from the HackCulture.io aesthetic and adapted for a premium IT services organisation. The look must signal technical sophistication and corporate trustworthiness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55A1B" w:sz="18"/>
              <w:bottom w:val="none" w:color="FFFFFF" w:sz="0"/>
              <w:right w:val="none" w:color="FFFFFF" w:sz="0"/>
            </w:tcBorders>
            <w:shd w:fill="F2F5FA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1"/>
                <w:szCs w:val="21"/>
              </w:rPr>
              <w:t xml:space="preserve">Design direction: Deep navy backgrounds, orange-blue accent system, Syne display typeface, subtle grid overlays, radial gradient glows, and card-grid layout patterns. Zero generic AI aesthetics.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5.1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#050B18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Deep navy — main page background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Secondary Background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#080F20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Section alternates (Offerings, Testimonials)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#0C1628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Cards, modals, elevated surfaces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Card Surface (hover)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#0F1C35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Card hover state background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Accent — Primary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#FF6B2B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CTA buttons, badges, highlights, animated accents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Accent — Light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#FF9357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Hover states, gradient ends, icon fills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Blue — Primary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#2563EB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Secondary accent, logo gradient end, stat highlights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Blue — Light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#3B82F6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Hover blue states, tags, icon fills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Border — Subtle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rgba(255,255,255,0.07)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Default card/section borders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Border — Emphasis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Hover borders, CTA borders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Text — Primary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#F0F4FF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Headlines, body on dark bg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Text — Muted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#7B8DB5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Body copy, secondary text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Text — Dim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#4A5880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Captions, metadata, footer secondary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Light BG (for PRD tables)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#F2F5FA</w:t>
            </w:r>
          </w:p>
        </w:tc>
        <w:tc>
          <w:tcPr>
            <w:tcW w:type="dxa" w:w="4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Light sections — not used in website dark mode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5.2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3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3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Syne (Google Fonts) — weight 800</w:t>
            </w:r>
          </w:p>
        </w:tc>
        <w:tc>
          <w:tcPr>
            <w:tcW w:type="dxa" w:w="3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Hero headlines, section titles, nav logo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Body / UI</w:t>
            </w:r>
          </w:p>
        </w:tc>
        <w:tc>
          <w:tcPr>
            <w:tcW w:type="dxa" w:w="3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DM Sans (Google Fonts) — weight 300/400/500</w:t>
            </w:r>
          </w:p>
        </w:tc>
        <w:tc>
          <w:tcPr>
            <w:tcW w:type="dxa" w:w="3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All body copy, nav links, form fields, buttons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Monospace</w:t>
            </w:r>
          </w:p>
        </w:tc>
        <w:tc>
          <w:tcPr>
            <w:tcW w:type="dxa" w:w="3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JetBrains Mono (optional)</w:t>
            </w:r>
          </w:p>
        </w:tc>
        <w:tc>
          <w:tcPr>
            <w:tcW w:type="dxa" w:w="3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Code snippets, technical specs if needed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Type scale: Modular 1.25 ratio. Base 16px. H1: clamp(2.8rem,7vw,5.2rem). H2: clamp(2rem,4.5vw,3.2rem). Body: 16–18px.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Hero headline: letter-spacing: -0.03em. Section titles: letter-spacing: -0.025em.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Line height: 1.7 body, 1.08–1.1 display headings.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Gradient text: CSS background-clip on orange→blue gradient for hero 'Smarter India' and key title spans.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5.3  Component Visual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Recurring Patterns — Use Throughout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Card grid: 1.5px gap, shared border creates unified grid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Section labels: uppercase, small, accent-coloured, left-line decoration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Pill badges: rounded 100px, tinted bg + border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Marquee animations: smooth infinite scroll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Hover: background lighten + accent border reveal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Radial glow: orange/blue radial-gradient behind hero + CTA</w:t>
            </w:r>
          </w:p>
        </w:tc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Never Use — Anti-Patterns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White/light page backgrounds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Generic purple-on-white gradients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Comic Sans, Inter, Roboto, Arial (system fonts)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Stock photo hero images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Busy, cluttered card designs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Rainbow multi-colour accent schemes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6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Non-Functional Requirements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6.1 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Core Web Vitals Targets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LCP (Largest Contentful Paint): &lt; 2.5s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INP (Interaction to Next Paint): &lt; 100ms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CLS (Cumulative Layout Shift): &lt; 0.1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FCP (First Contentful Paint): &lt; 1.2s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TTFB (Time to First Byte): &lt; 600ms</w:t>
            </w:r>
          </w:p>
        </w:tc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Optimisation Methods Required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Images: WebP/AVIF with lazy loading + width/height attrs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Fonts: preconnect hints + font-display: swap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JS: code-split bundles, defer non-critical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CDN: Vercel Edge or Cloudflare for static assets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SSG: All pages statically generated (Next.js ISR)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6.2  Responsive Design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5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Mobile (xs)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&lt; 480px</w:t>
            </w:r>
          </w:p>
        </w:tc>
        <w:tc>
          <w:tcPr>
            <w:tcW w:type="dxa" w:w="5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Single column, stacked CTAs, hamburger nav, touch targets ≥ 48×48px.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Mobile (sm)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480–767px</w:t>
            </w:r>
          </w:p>
        </w:tc>
        <w:tc>
          <w:tcPr>
            <w:tcW w:type="dxa" w:w="5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Single column, slightly wider gutters.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Tablet (md)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5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2-col grid for services and stats. Full nav visible or condensed.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Desktop (lg)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1024–1279px</w:t>
            </w:r>
          </w:p>
        </w:tc>
        <w:tc>
          <w:tcPr>
            <w:tcW w:type="dxa" w:w="5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3-col grid. Full nav. Standard desktop layout.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Desktop (xl)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1280–1535px</w:t>
            </w:r>
          </w:p>
        </w:tc>
        <w:tc>
          <w:tcPr>
            <w:tcW w:type="dxa" w:w="5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Wider content container. More breathing room.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Desktop (2xl)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≥ 1536px</w:t>
            </w:r>
          </w:p>
        </w:tc>
        <w:tc>
          <w:tcPr>
            <w:tcW w:type="dxa" w:w="5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Max content width 1200px centred. Background patterns visible.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6.3  SEO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page has a unique &lt;title&gt; (50–60 chars) and &lt;meta description&gt; (150–160 chars).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Structured data (JSON-LD): Organisation, WebSite, LocalBusiness schemas.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Open Graph + Twitter Card meta tags on all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Canonical URLs on all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XML sitemap auto-generated and submitted to Google Search Console.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Priority target keywords: 'IT services company India', 'digital transformation services India', 'cloud services India', 'AI solutions India', 'custom software development India', 'cybersecurity services India'.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6.4  Accessibility — WCAG 2.1 AA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images: descriptive alt attributes.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interactive elements: keyboard-navigable. Visible focus indicators.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Colour contrast: minimum 4.5:1 for body text, 3:1 for large text and UI components.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Carousels/marquees: pause control, ARIA roles and live region announcements.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Forms: &lt;label&gt; elements associated, error messages programmatically linked.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Semantic HTML: &lt;header&gt;, &lt;nav&gt;, &lt;main&gt;, &lt;section&gt;, &lt;footer&gt;, correct heading hierarchy.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Animated elements: honour prefers-reduced-motion media query.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6.5  Security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HTTPS enforced. Force redirect from HTTP to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Content Security Policy (CSP) headers to prevent XSS.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GDPR / India DPDP Act 2023: Cookie consent banner required before analytics/ad pixels fire.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Form rate limiting to prevent spam submissions.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No sensitive data stored client-side.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environment variables server-side only; never exposed in client bundle.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7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Technology Stack &amp; Integrations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7.1  Recommended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14+ (App Router)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SSG/ISR = best SEO + performance. Industry standard for B2B marketing sites.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18+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Component architecture. Required by Next.js.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3+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Utility-first. Fast, consistent, mobile-first styling.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Accessible Radix UI primitives. Fully customisable.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10+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Scroll reveals, count-up animations, hero entrance.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Marquee/Carousel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Embla Carousel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8+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Lightweight, accessible. Testimonials + partner logos.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Tree-shakeable SVG icon set.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Performant form management + type-safe validation.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5+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Type safety throughout; reduces bugs.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next/font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Built-in</w:t>
            </w:r>
          </w:p>
        </w:tc>
        <w:tc>
          <w:tcPr>
            <w:tcW w:type="dxa" w:w="3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Optimised Google Fonts loading, no layout shift.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7.2  Hosting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Vercel (primary recommendation)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Why Vercel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Native Next.js deployment, global edge network, auto SSL, preview deployments, built-in analytics.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Netlify or Cloudflare Pages for cost optimisation.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Domain / DNS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Route 53 or Cloudflare DNS. Vercel auto-provisions SSL via Let's Encrypt.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Vercel Edge Network (included). Cloudflare as secondary CDN layer for DDoS protection.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GitHub (private). Protected main branch, required PR reviews before merge.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Vercel GitHub integration — auto-deploy on merge to main. Preview deploys on all PRs.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5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Production (main), Preview (feature branches), Development (local).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7.3 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HubSpot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Free CRM tier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Lead capture from all forms. Contact + Deal creation.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Calendly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Standard ($10/mo)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Book a Discovery Call modal. 30-min meeting type.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Traffic, conversions, scroll depth, CTA click events.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Tag Manager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Single container: GA4, Meta Pixel, LinkedIn Insight.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Heatmaps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Session recordings, click heatmaps, UX insights.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Brevo (Sendinblue)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Newsletter, welcome drip sequence for new leads.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JS error tracking in production.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Zapier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Starter ($20/mo)</w:t>
            </w:r>
          </w:p>
        </w:tc>
        <w:tc>
          <w:tcPr>
            <w:tcW w:type="dxa" w:w="37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0"/>
                <w:szCs w:val="20"/>
              </w:rPr>
              <w:t xml:space="preserve">Calendly → HubSpot → Slack lead notification pipeline.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8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Future Phases &amp; Roadmap (Out of Scope for V1)</w:t>
            </w:r>
          </w:p>
        </w:tc>
      </w:tr>
    </w:tbl>
    <w:p>
      <w:pPr>
        <w:spacing w:before="200"/>
      </w:pP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following are explicitly out of scope for V1 but must be considered in V1 architecture decisions to avoid technical debt in later phases.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8.1  V2 — Content &amp;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Blog &amp; Thought Leadership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SEO-driven blog — technical articles, case studies, IT trends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CMS-managed posts (Sanity or Contentful)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Category pages for each service area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Author profiles for team members</w:t>
            </w:r>
          </w:p>
        </w:tc>
        <w:tc>
          <w:tcPr>
            <w:tcW w:type="dxa" w:w="46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Case Studies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Detailed client outcome stories per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Filterable by industry and service type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Gated download option for lead generation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Linked to matching service pages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8.2  V3 — Client &amp; Team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Client portal: Authenticated dashboard for existing clients to track project status, raise tickets, and access deliverables.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Careers page: Job listings integrated with ATS (Zoho Recruit / Lever). Application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Team / About page: Full team profiles, values section, and company timeline.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Events / Webinars: BAI-hosted virtual events listing and registration.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8.3  V4 — Platform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IT Assessment Tool: Interactive diagnostic tool for prospects to self-assess their digital maturity and receive a tailored BAI service recommendation.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ROI Calculator: Interactive calculator estimating cost savings from cloud migration or automation.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Knowledge Base: Public technical documentation and guides authored by BAI engineers.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API / Developer Docs: If BAI builds any SaaS products — a dedicated developer portal.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8.4  V1 → V2 Technical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55A1B" w:sz="18"/>
              <w:bottom w:val="none" w:color="FFFFFF" w:sz="0"/>
              <w:right w:val="none" w:color="FFFFFF" w:sz="0"/>
            </w:tcBorders>
            <w:shd w:fill="F2F5FA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1"/>
                <w:szCs w:val="21"/>
              </w:rPr>
              <w:t xml:space="preserve">CRITICAL: These V1 decisions prevent technical debt blocking V2 delivery.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Use Next.js App Router from day one — routing structure must accommodate future pages (/blog, /case-studies, /careers).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Content: Even static V1 content should be authored in a JSON/MDX structure to make CMS migration seamless.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Design system: Document all Tailwind tokens and component variants in Figma before V2 begins.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Analytics: Configure GA4 custom events from day one (form_submit, cta_click, scroll_depth, service_view).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Monorepo: Consider Turborepo from the start to accommodate future packages (marketing site, client portal, shared UI library).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9</w:t>
            </w:r>
          </w:p>
          <w:p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Acceptance Criteria &amp; Launch Checklist</w:t>
            </w:r>
          </w:p>
        </w:tc>
      </w:tr>
    </w:tbl>
    <w:p>
      <w:pPr>
        <w:spacing w:before="200"/>
      </w:pP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All items below must be verified and signed off by Product, Design, and Engineering leads before the V1 website goes live to the public.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9.1  Design Sign-Off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8 sections have approved Figma designs for desktop (1440px), tablet (768px), and mobile (375px).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component states (default, hover, focus, active, disabled) are designed and documented.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copy is finalised, reviewed, and approved by BAI leadership.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icons, illustrations, and visual assets are sourced under commercial licences.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Brand guidelines document (logo, colour, font rules) produced and distributed to all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Dark-mode contrast checked for all text elements — all pass WCAG AA.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9.2  Engineering Sign-Off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8 sections implemented pixel-accurately per Figma designs.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3 responsive breakpoints tested across Chrome, Firefox, Safari, and 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Google PageSpeed Insights: Performance ≥ 90, Accessibility ≥ 90, Best Practices ≥ 90, SEO ≥ 95.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Core Web Vitals: LCP &lt; 2.5s, CLS &lt; 0.1, INP &lt; 100ms verified in field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Contact form submits correctly and creates records in CRM.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Calendly integration tested end-to-end including CRM record creation via Zapier.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outbound links open in new tab with rel='noopener noreferrer'.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No console errors or warnings in production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Cookie consent banner fires correctly before analytics pixels.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robots.txt and sitemap.xml accessible and correctly configured.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SSL active. All HTTP traffic auto-redirects to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Hamburger mobile menu fully functional on all mobile breakpoints.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9.3  Content Sign-Off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Minimum 6 real testimonials with photos (or initials avatars), names, titles, and service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Minimum 12 partner/client logos sourced with permission for public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6 services have finalised descriptions, icons, and use-case copy.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Impact statistics (200+ projects, 98% satisfaction, etc.) verified by BAI leadership.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Footer contact details (email, phone, address) accurate and current.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Privacy Policy and Terms &amp; Conditions pages live with legally reviewed content.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9.4  Pre-Launch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Google Analytics 4 property created, tracking code verified firing on all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Google Search Console property verified for the domain.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HubSpot CRM pipeline configured — lead stages match the prospect funnel.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Calendly event type configured with correct owner, buffer times, and reminder emails.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LinkedIn company page created and linked from footer.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DNS records updated, propagation verified — A and CNAME records pointing to Vercel.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Internal team trained on any CMS (if used) for ongoing content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Stakeholder UAT (User Acceptance Testing) session completed and sign-off received.</w:t>
      </w:r>
    </w:p>
    <w:p>
      <w:pPr>
        <w:spacing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END OF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AABCC"/>
                <w:sz w:val="20"/>
                <w:szCs w:val="20"/>
              </w:rPr>
              <w:t xml:space="preserve">Bharath Aadhya Intelligence  —  Corporate Website PRD v1.0  —  2026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7AA0"/>
                <w:sz w:val="18"/>
                <w:szCs w:val="18"/>
              </w:rPr>
              <w:t xml:space="preserve">Confidential. Intended solely for internal design and engineering teams.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5A1B" w:sz="4" w:space="1"/>
      </w:pBdr>
      <w:spacing w:after="0" w:before="80"/>
    </w:pPr>
  </w:p>
  <w:p>
    <w:pPr>
      <w:jc w:val="center"/>
    </w:pPr>
    <w:r>
      <w:rPr>
        <w:rFonts w:ascii="Arial" w:cs="Arial" w:eastAsia="Arial" w:hAnsi="Arial"/>
        <w:color w:val="8090B0"/>
        <w:sz w:val="18"/>
        <w:szCs w:val="18"/>
      </w:rPr>
      <w:t xml:space="preserve">Page </w:t>
    </w:r>
    <w:r>
      <w:rPr>
        <w:rFonts w:ascii="Arial" w:cs="Arial" w:eastAsia="Arial" w:hAnsi="Arial"/>
        <w:color w:val="8090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90B0"/>
        <w:sz w:val="18"/>
        <w:szCs w:val="18"/>
      </w:rPr>
      <w:t xml:space="preserve"> of </w:t>
    </w:r>
    <w:r>
      <w:rPr>
        <w:rFonts w:ascii="Arial" w:cs="Arial" w:eastAsia="Arial" w:hAnsi="Arial"/>
        <w:color w:val="8090B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090B0"/>
        <w:sz w:val="18"/>
        <w:szCs w:val="18"/>
      </w:rPr>
      <w:t xml:space="preserve">     |     BAI Corporate Website PRD     |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A1628"/>
              <w:sz w:val="18"/>
              <w:szCs w:val="18"/>
            </w:rPr>
            <w:t xml:space="preserve">PRODUCT REQUIREMENTS DOCUMENT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090B0"/>
              <w:sz w:val="18"/>
              <w:szCs w:val="18"/>
            </w:rPr>
            <w:t xml:space="preserve">Bharath Aadhya Intelligence  |  CONFIDENTIAL</w:t>
          </w:r>
        </w:p>
      </w:tc>
    </w:tr>
  </w:tbl>
  <w:p>
    <w:pPr>
      <w:pBdr>
        <w:bottom w:val="single" w:color="E55A1B" w:sz="6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50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2026-04-01T10:47:37.608Z</dcterms:created>
  <dcterms:modified xsi:type="dcterms:W3CDTF">2026-04-01T10:47:37.609Z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