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136FB" w14:textId="5FDE5A9F" w:rsidR="00B500B3" w:rsidRPr="00B500B3" w:rsidRDefault="00B500B3" w:rsidP="00B500B3">
      <w:pPr>
        <w:pStyle w:val="Title"/>
        <w:spacing w:after="110" w:line="440" w:lineRule="exact"/>
        <w:jc w:val="center"/>
        <w:rPr>
          <w:rFonts w:ascii="Palatino Linotype" w:hAnsi="Palatino Linotype" w:cs="Times New Roman (Headings CS)"/>
          <w:spacing w:val="0"/>
          <w:kern w:val="16"/>
          <w:sz w:val="34"/>
          <w:szCs w:val="34"/>
          <w:lang w:eastAsia="en-US"/>
          <w14:numForm w14:val="lining"/>
          <w14:numSpacing w14:val="tabular"/>
        </w:rPr>
      </w:pPr>
      <w:r>
        <w:rPr>
          <w:rFonts w:ascii="Palatino Linotype" w:hAnsi="Palatino Linotype" w:cs="Times New Roman (Headings CS)"/>
          <w:spacing w:val="0"/>
          <w:kern w:val="16"/>
          <w:sz w:val="34"/>
          <w:szCs w:val="34"/>
          <w:lang w:eastAsia="en-US"/>
          <w14:numForm w14:val="lining"/>
          <w14:numSpacing w14:val="tabular"/>
        </w:rPr>
        <w:t>Mandarin Tone Coach: Real-Time Pitch Feedback for Computer-Assisted Pronunciation Training</w:t>
      </w:r>
    </w:p>
    <w:p w14:paraId="58E720C9" w14:textId="4DE2B5FC" w:rsidR="00B500B3" w:rsidRPr="00B500B3" w:rsidRDefault="006F00A7" w:rsidP="00B500B3">
      <w:pPr>
        <w:pStyle w:val="Subtitle"/>
        <w:spacing w:after="170" w:line="340" w:lineRule="exact"/>
        <w:jc w:val="center"/>
        <w:rPr>
          <w:rFonts w:ascii="Palatino Linotype" w:eastAsiaTheme="minorEastAsia" w:hAnsi="Palatino Linotype" w:cs="Times New Roman"/>
          <w:color w:val="auto"/>
          <w:spacing w:val="2"/>
          <w:kern w:val="16"/>
          <w:sz w:val="22"/>
          <w:szCs w:val="22"/>
          <w:lang w:eastAsia="en-US"/>
          <w14:numForm w14:val="oldStyle"/>
          <w14:numSpacing w14:val="proportional"/>
        </w:rPr>
      </w:pPr>
      <w:r>
        <w:rPr>
          <w:rFonts w:ascii="Palatino Linotype" w:eastAsiaTheme="minorEastAsia" w:hAnsi="Palatino Linotype" w:cs="Times New Roman"/>
          <w:color w:val="auto"/>
          <w:spacing w:val="2"/>
          <w:kern w:val="16"/>
          <w:sz w:val="22"/>
          <w:szCs w:val="22"/>
          <w:lang w:eastAsia="en-US"/>
          <w14:numForm w14:val="oldStyle"/>
          <w14:numSpacing w14:val="proportional"/>
        </w:rPr>
        <w:t>Bharath Jagadish</w:t>
      </w:r>
      <w:r w:rsidR="00B500B3" w:rsidRPr="00B500B3">
        <w:rPr>
          <w:rFonts w:ascii="Palatino Linotype" w:eastAsiaTheme="minorEastAsia" w:hAnsi="Palatino Linotype" w:cs="Times New Roman"/>
          <w:color w:val="auto"/>
          <w:spacing w:val="2"/>
          <w:kern w:val="16"/>
          <w:sz w:val="22"/>
          <w:szCs w:val="22"/>
          <w:lang w:eastAsia="en-US"/>
          <w14:numForm w14:val="oldStyle"/>
          <w14:numSpacing w14:val="proportional"/>
        </w:rPr>
        <w:br/>
      </w:r>
      <w:r>
        <w:rPr>
          <w:rFonts w:ascii="Palatino Linotype" w:eastAsiaTheme="minorEastAsia" w:hAnsi="Palatino Linotype" w:cs="Times New Roman"/>
          <w:color w:val="auto"/>
          <w:spacing w:val="2"/>
          <w:kern w:val="16"/>
          <w:sz w:val="22"/>
          <w:szCs w:val="22"/>
          <w:lang w:eastAsia="en-US"/>
          <w14:numForm w14:val="oldStyle"/>
          <w14:numSpacing w14:val="proportional"/>
        </w:rPr>
        <w:t>bjagadish3</w:t>
      </w:r>
      <w:r w:rsidR="00B500B3" w:rsidRPr="00B500B3">
        <w:rPr>
          <w:rFonts w:ascii="Palatino Linotype" w:eastAsiaTheme="minorEastAsia" w:hAnsi="Palatino Linotype" w:cs="Times New Roman"/>
          <w:color w:val="auto"/>
          <w:spacing w:val="2"/>
          <w:kern w:val="16"/>
          <w:sz w:val="22"/>
          <w:szCs w:val="22"/>
          <w:lang w:eastAsia="en-US"/>
          <w14:numForm w14:val="oldStyle"/>
          <w14:numSpacing w14:val="proportional"/>
        </w:rPr>
        <w:t>@gatech.edu</w:t>
      </w:r>
    </w:p>
    <w:p w14:paraId="3BE8C328" w14:textId="2C264AC4" w:rsidR="00C13C33" w:rsidRPr="0054029E" w:rsidRDefault="00C13C33" w:rsidP="00C13C33">
      <w:pPr>
        <w:pStyle w:val="Abstract"/>
      </w:pPr>
      <w:r w:rsidRPr="0054029E">
        <w:rPr>
          <w:b/>
          <w:bCs/>
          <w:i/>
          <w:iCs/>
        </w:rPr>
        <w:t>Abstract—</w:t>
      </w:r>
      <w:r>
        <w:rPr>
          <w:rFonts w:eastAsiaTheme="minorHAnsi"/>
        </w:rPr>
        <w:t xml:space="preserve">This project is on the development track and pertains to helping speakers of non-tonal languages acquire Mandarin Chinese lexical tones. The author designed and implemented a web-based Computer-Assisted Pronunciation Training (CAPT) system called Mandarin Tone Coach. In this application, </w:t>
      </w:r>
      <w:r w:rsidR="002F48A4">
        <w:rPr>
          <w:rFonts w:eastAsiaTheme="minorHAnsi"/>
        </w:rPr>
        <w:t>learners record themselves pronouncing Mandarin words, and the system classifies the spoken tone using a machine learning model trained on native speaker recordings. The system then overlays the learner’s pitch contour against a canonical reference shape, allowing learners to see exactly where their pronunciation diverges from the target. Through this visual and textual feedback, learners develop awareness of their tonal errors and receive guidance on how to correct them. The system supports both monosyllabic and disyllabic practice across all four Mandarin tones. A user study was conducted to evaluate the system’s impact on perceptual tone discrimination and overall usability.</w:t>
      </w:r>
    </w:p>
    <w:p w14:paraId="1254D162" w14:textId="6A53A460" w:rsidR="00AB237F" w:rsidRDefault="00AB237F" w:rsidP="00AB237F">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 xml:space="preserve">1 </w:t>
      </w:r>
      <w:r w:rsidR="00D912B1">
        <w:rPr>
          <w:rFonts w:ascii="Palatino Linotype" w:hAnsi="Palatino Linotype" w:cs="Times New Roman (Headings CS)"/>
          <w:b/>
          <w:caps/>
          <w:color w:val="auto"/>
          <w:spacing w:val="13"/>
          <w:kern w:val="16"/>
          <w:sz w:val="22"/>
          <w:szCs w:val="48"/>
          <w:lang w:eastAsia="en-US"/>
          <w14:numForm w14:val="lining"/>
          <w14:numSpacing w14:val="tabular"/>
        </w:rPr>
        <w:t>INTRODUCTION</w:t>
      </w:r>
    </w:p>
    <w:p w14:paraId="52673EC0"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Mandarin Chinese is the second most widely spoken language in the world, yet it presents one of the most persistent challenges for non-native learners: the acquisition of lexical tones. Unlike Indo-European languages, Mandarin encodes word meaning through pitch contours, with four distinct tones that can completely alter the semantic content of an otherwise identical syllable. For learners whose native language does not use pitch lexically - including speakers of English and most South Asian languages - this tonal dimension represents a fundamental discontinuity from their prior linguistic experience. Even after extended study, many learners plateau in tone accuracy, particularly in continuous speech and naturally occurring conversational contexts.</w:t>
      </w:r>
    </w:p>
    <w:p w14:paraId="36A54F29"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lastRenderedPageBreak/>
        <w:t xml:space="preserve">This challenge is not simply a matter of exposure or effort. Research in second language acquisition (SLA) has established that tone perception and production involve distinct cognitive mechanisms, and that learners from non-tonal language backgrounds must develop entirely new phonological representations rather than mapping Mandarin tones onto existing L1 categories (Wang, Jongman, &amp; Sereno, n.d.; Zou, 2017). Theoretical frameworks including the Perceptual Assimilation Model (Tyler &amp; Best, 2024), the Speech Learning Model (Hao, 2014), and the L2 Linguistic Perception Model (van </w:t>
      </w:r>
      <w:proofErr w:type="spellStart"/>
      <w:r w:rsidRPr="008C66A0">
        <w:rPr>
          <w:rFonts w:ascii="Palatino Linotype" w:eastAsia="Times New Roman" w:hAnsi="Palatino Linotype" w:cs="Times New Roman"/>
          <w:spacing w:val="2"/>
          <w:kern w:val="16"/>
          <w:lang w:eastAsia="en-US"/>
          <w14:numForm w14:val="oldStyle"/>
          <w14:numSpacing w14:val="proportional"/>
        </w:rPr>
        <w:t>Leussen</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Escudero, 2015) each offer partial accounts of why tone acquisition is difficult, but together they reinforce a shared conclusion: learners require structured, perceptually grounded feedback in order to notice and correct tonal errors - feedback that classroom instruction alone rarely provides at sufficient scale or frequency.</w:t>
      </w:r>
    </w:p>
    <w:p w14:paraId="0332291E"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Technology-assisted pronunciation training has long been proposed as a solution to this instructional gap. Computer-assisted pronunciation training (CAPT) systems can offer self-paced, repeatable practice with immediate feedback, addressing the shortage of individualized instruction that classroom settings impose (</w:t>
      </w:r>
      <w:proofErr w:type="spellStart"/>
      <w:r w:rsidRPr="008C66A0">
        <w:rPr>
          <w:rFonts w:ascii="Palatino Linotype" w:eastAsia="Times New Roman" w:hAnsi="Palatino Linotype" w:cs="Times New Roman"/>
          <w:spacing w:val="2"/>
          <w:kern w:val="16"/>
          <w:lang w:eastAsia="en-US"/>
          <w14:numForm w14:val="oldStyle"/>
          <w14:numSpacing w14:val="proportional"/>
        </w:rPr>
        <w:t>Amrate</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Tsai, 2025). Visual feedback tools such as </w:t>
      </w:r>
      <w:proofErr w:type="spellStart"/>
      <w:r w:rsidRPr="008C66A0">
        <w:rPr>
          <w:rFonts w:ascii="Palatino Linotype" w:eastAsia="Times New Roman" w:hAnsi="Palatino Linotype" w:cs="Times New Roman"/>
          <w:spacing w:val="2"/>
          <w:kern w:val="16"/>
          <w:lang w:eastAsia="en-US"/>
          <w14:numForm w14:val="oldStyle"/>
          <w14:numSpacing w14:val="proportional"/>
        </w:rPr>
        <w:t>Praat</w:t>
      </w:r>
      <w:proofErr w:type="spellEnd"/>
      <w:r w:rsidRPr="008C66A0">
        <w:rPr>
          <w:rFonts w:ascii="Palatino Linotype" w:eastAsia="Times New Roman" w:hAnsi="Palatino Linotype" w:cs="Times New Roman"/>
          <w:spacing w:val="2"/>
          <w:kern w:val="16"/>
          <w:lang w:eastAsia="en-US"/>
          <w14:numForm w14:val="oldStyle"/>
          <w14:numSpacing w14:val="proportional"/>
        </w:rPr>
        <w:t>-based pitch contour displays have demonstrated measurable improvements in learner tone production under controlled conditions (Chen, 2024; Chun, Jiang, &amp; Ávila, 2013), and more recent work on deep learning-based mispronunciation detection - including BLSTM-based models with soft-target tone labels (Li et al., 2019) and Siamese network architectures for pitch contour comparison (Bu et al., 2025) - suggests that automatic tone assessment is technically feasible at a level of accuracy suitable for learner-facing applications.</w:t>
      </w:r>
    </w:p>
    <w:p w14:paraId="46333E6F"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 xml:space="preserve">However, a critical gap persists between what these technologies can detect and what helps learners improve. Existing tools disproportionately focus on segmental accuracy evaluated against native-speaker norms, while neglecting suprasegmental features such as tone contour shape, coarticulation, and contextual tone variation that are central to intelligibility (Rogerson-Revell, 2021). Feedback is frequently represented in technical formats - spectrograms, F0 curves, confidence scores - that learners cannot interpret without guidance, reducing its pedagogical </w:t>
      </w:r>
      <w:r w:rsidRPr="008C66A0">
        <w:rPr>
          <w:rFonts w:ascii="Palatino Linotype" w:eastAsia="Times New Roman" w:hAnsi="Palatino Linotype" w:cs="Times New Roman"/>
          <w:spacing w:val="2"/>
          <w:kern w:val="16"/>
          <w:lang w:eastAsia="en-US"/>
          <w14:numForm w14:val="oldStyle"/>
          <w14:numSpacing w14:val="proportional"/>
        </w:rPr>
        <w:lastRenderedPageBreak/>
        <w:t>value even when technically accurate (</w:t>
      </w:r>
      <w:proofErr w:type="spellStart"/>
      <w:r w:rsidRPr="008C66A0">
        <w:rPr>
          <w:rFonts w:ascii="Palatino Linotype" w:eastAsia="Times New Roman" w:hAnsi="Palatino Linotype" w:cs="Times New Roman"/>
          <w:spacing w:val="2"/>
          <w:kern w:val="16"/>
          <w:lang w:eastAsia="en-US"/>
          <w14:numForm w14:val="oldStyle"/>
          <w14:numSpacing w14:val="proportional"/>
        </w:rPr>
        <w:t>Amrate</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Tsai, 2025). Furthermore, studies on learner experience consistently show that perceived usefulness, interpretability of feedback, and usability are as important as technical accuracy in determining whether learners adopt and persist with pronunciation tools (Davis, 1989; Yuen &amp; Schlote, 2024).</w:t>
      </w:r>
    </w:p>
    <w:p w14:paraId="11E77B3E" w14:textId="3968F9A3" w:rsidR="00AB237F" w:rsidRPr="008C66A0" w:rsidRDefault="00AB237F" w:rsidP="00AB237F">
      <w:pPr>
        <w:spacing w:after="170" w:line="340" w:lineRule="exact"/>
        <w:jc w:val="both"/>
        <w:rPr>
          <w:rFonts w:ascii="Palatino Linotype" w:eastAsia="Times New Roman" w:hAnsi="Palatino Linotype" w:cs="Times New Roman"/>
          <w:spacing w:val="2"/>
          <w:kern w:val="16"/>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This project addresse</w:t>
      </w:r>
      <w:r w:rsidR="00902D36">
        <w:rPr>
          <w:rFonts w:ascii="Palatino Linotype" w:eastAsia="Times New Roman" w:hAnsi="Palatino Linotype" w:cs="Times New Roman"/>
          <w:spacing w:val="2"/>
          <w:kern w:val="16"/>
          <w:lang w:eastAsia="en-US"/>
          <w14:numForm w14:val="oldStyle"/>
          <w14:numSpacing w14:val="proportional"/>
        </w:rPr>
        <w:t>d</w:t>
      </w:r>
      <w:r w:rsidRPr="008C66A0">
        <w:rPr>
          <w:rFonts w:ascii="Palatino Linotype" w:eastAsia="Times New Roman" w:hAnsi="Palatino Linotype" w:cs="Times New Roman"/>
          <w:spacing w:val="2"/>
          <w:kern w:val="16"/>
          <w:lang w:eastAsia="en-US"/>
          <w14:numForm w14:val="oldStyle"/>
          <w14:numSpacing w14:val="proportional"/>
        </w:rPr>
        <w:t xml:space="preserve"> that gap by developing a learner-centered, web-based tool for Mandarin tone perception and production training. The tool provides non-native learners with real-time tone classification feedback, visual pitch contour comparison between their productions and native speaker references, and interpretable, actionable guidance designed around established principles from both SLA theory and user experience design. Unlike existing research prototypes, which are largely confined to laboratory settings or require instructor mediation, this tool is designed for autonomous, out-of-class practice by learners with no prior phonetic training. By grounding both the feedback design and the evaluation methodology in empirically supported principles, this project</w:t>
      </w:r>
      <w:r w:rsidR="00902D36">
        <w:rPr>
          <w:rFonts w:ascii="Palatino Linotype" w:eastAsia="Times New Roman" w:hAnsi="Palatino Linotype" w:cs="Times New Roman"/>
          <w:spacing w:val="2"/>
          <w:kern w:val="16"/>
          <w:lang w:eastAsia="en-US"/>
          <w14:numForm w14:val="oldStyle"/>
          <w14:numSpacing w14:val="proportional"/>
        </w:rPr>
        <w:t xml:space="preserve"> </w:t>
      </w:r>
      <w:r w:rsidRPr="008C66A0">
        <w:rPr>
          <w:rFonts w:ascii="Palatino Linotype" w:eastAsia="Times New Roman" w:hAnsi="Palatino Linotype" w:cs="Times New Roman"/>
          <w:spacing w:val="2"/>
          <w:kern w:val="16"/>
          <w:lang w:eastAsia="en-US"/>
          <w14:numForm w14:val="oldStyle"/>
          <w14:numSpacing w14:val="proportional"/>
        </w:rPr>
        <w:t>move</w:t>
      </w:r>
      <w:r w:rsidR="00902D36">
        <w:rPr>
          <w:rFonts w:ascii="Palatino Linotype" w:eastAsia="Times New Roman" w:hAnsi="Palatino Linotype" w:cs="Times New Roman"/>
          <w:spacing w:val="2"/>
          <w:kern w:val="16"/>
          <w:lang w:eastAsia="en-US"/>
          <w14:numForm w14:val="oldStyle"/>
          <w14:numSpacing w14:val="proportional"/>
        </w:rPr>
        <w:t>s</w:t>
      </w:r>
      <w:r w:rsidRPr="008C66A0">
        <w:rPr>
          <w:rFonts w:ascii="Palatino Linotype" w:eastAsia="Times New Roman" w:hAnsi="Palatino Linotype" w:cs="Times New Roman"/>
          <w:spacing w:val="2"/>
          <w:kern w:val="16"/>
          <w:lang w:eastAsia="en-US"/>
          <w14:numForm w14:val="oldStyle"/>
          <w14:numSpacing w14:val="proportional"/>
        </w:rPr>
        <w:t xml:space="preserve"> beyond technical accuracy as the sole criterion of success and </w:t>
      </w:r>
      <w:r w:rsidR="00902D36">
        <w:rPr>
          <w:rFonts w:ascii="Palatino Linotype" w:eastAsia="Times New Roman" w:hAnsi="Palatino Linotype" w:cs="Times New Roman"/>
          <w:spacing w:val="2"/>
          <w:kern w:val="16"/>
          <w:lang w:eastAsia="en-US"/>
          <w14:numForm w14:val="oldStyle"/>
          <w14:numSpacing w14:val="proportional"/>
        </w:rPr>
        <w:t>demonstrates that brief exposure to visual pitch feedback can produce measurable perceptual gains in learners from non-tonal language backgrounds.</w:t>
      </w:r>
    </w:p>
    <w:p w14:paraId="2F50AB90" w14:textId="20906252" w:rsidR="00AB237F" w:rsidRDefault="00D912B1" w:rsidP="00AB237F">
      <w:pPr>
        <w:rPr>
          <w:rFonts w:ascii="Palatino Linotype" w:eastAsiaTheme="majorEastAsia" w:hAnsi="Palatino Linotype" w:cs="Times New Roman (Headings CS)"/>
          <w:b/>
          <w:caps/>
          <w:spacing w:val="13"/>
          <w:kern w:val="16"/>
          <w:sz w:val="22"/>
          <w:szCs w:val="48"/>
          <w:lang w:eastAsia="en-US"/>
          <w14:numForm w14:val="lining"/>
          <w14:numSpacing w14:val="tabular"/>
        </w:rPr>
      </w:pPr>
      <w:r>
        <w:rPr>
          <w:rFonts w:ascii="Palatino Linotype" w:eastAsiaTheme="majorEastAsia" w:hAnsi="Palatino Linotype" w:cs="Times New Roman (Headings CS)"/>
          <w:b/>
          <w:caps/>
          <w:spacing w:val="13"/>
          <w:kern w:val="16"/>
          <w:sz w:val="22"/>
          <w:szCs w:val="48"/>
          <w:lang w:eastAsia="en-US"/>
          <w14:numForm w14:val="lining"/>
          <w14:numSpacing w14:val="tabular"/>
        </w:rPr>
        <w:t xml:space="preserve">2 </w:t>
      </w:r>
      <w:r w:rsidRPr="00A63BC1">
        <w:rPr>
          <w:rFonts w:ascii="Palatino Linotype" w:eastAsiaTheme="majorEastAsia" w:hAnsi="Palatino Linotype" w:cs="Times New Roman (Headings CS)"/>
          <w:b/>
          <w:caps/>
          <w:spacing w:val="13"/>
          <w:kern w:val="16"/>
          <w:sz w:val="22"/>
          <w:szCs w:val="48"/>
          <w:lang w:eastAsia="en-US"/>
          <w14:numForm w14:val="lining"/>
          <w14:numSpacing w14:val="tabular"/>
        </w:rPr>
        <w:t>RELATED WORKS</w:t>
      </w:r>
    </w:p>
    <w:p w14:paraId="6A4DB880" w14:textId="77777777" w:rsidR="00D912B1" w:rsidRDefault="00D912B1" w:rsidP="00D912B1">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Research on technology-assisted Mandarin tone learning spans three broad areas relevant to this project: computer-assisted pronunciation training (CAPT) systems, automatic tone detection and mispronunciation identification, and multimodal feedback design. Together, these bodies of work establish both the technical feasibility of automated tone feedback and the persistent gap between system capability and learner-centered design.</w:t>
      </w:r>
      <w:bookmarkStart w:id="0" w:name="_oit4t5xndhbu" w:colFirst="0" w:colLast="0"/>
      <w:bookmarkEnd w:id="0"/>
    </w:p>
    <w:p w14:paraId="5128FE4B" w14:textId="77777777" w:rsidR="00D912B1" w:rsidRPr="00EC316B" w:rsidRDefault="00D912B1" w:rsidP="00D912B1">
      <w:pPr>
        <w:pStyle w:val="Heading2"/>
        <w:tabs>
          <w:tab w:val="num" w:pos="360"/>
        </w:tabs>
        <w:suppressAutoHyphens/>
        <w:spacing w:before="170"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 xml:space="preserve">2.1 </w:t>
      </w:r>
      <w:r w:rsidRPr="00A63BC1">
        <w:rPr>
          <w:rFonts w:ascii="Palatino Linotype" w:hAnsi="Palatino Linotype" w:cs="Times New Roman (Headings CS)"/>
          <w:b/>
          <w:color w:val="000000"/>
          <w:spacing w:val="2"/>
          <w:kern w:val="16"/>
          <w:sz w:val="22"/>
          <w:szCs w:val="22"/>
          <w:lang w:eastAsia="en-US"/>
          <w14:numForm w14:val="oldStyle"/>
          <w14:numSpacing w14:val="proportional"/>
        </w:rPr>
        <w:t>Computer-Assisted Pronunciation Training for Mandarin Tones</w:t>
      </w:r>
    </w:p>
    <w:p w14:paraId="70EB77D0" w14:textId="2CB0578B"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CAPT systems have been used to support Mandarin tone learning for over two decades, with visual pitch contour feedback emerging as one of the most consistently effective approaches. Qin and Wang (2014) developed an early computer-aided Chinese pronunciation training system that </w:t>
      </w:r>
      <w:r w:rsidRPr="00A63BC1">
        <w:rPr>
          <w:rFonts w:ascii="Palatino Linotype" w:eastAsia="Times New Roman" w:hAnsi="Palatino Linotype" w:cs="Times New Roman"/>
          <w:spacing w:val="2"/>
          <w:kern w:val="16"/>
          <w:lang w:eastAsia="en-US"/>
          <w14:numForm w14:val="oldStyle"/>
          <w14:numSpacing w14:val="proportional"/>
        </w:rPr>
        <w:lastRenderedPageBreak/>
        <w:t xml:space="preserve">extracted pitch contours from learner speech and displayed them alongside native speaker references, demonstrating measurable improvements in tone production among L2 learners. Chen (2024) extended this line of work using </w:t>
      </w:r>
      <w:proofErr w:type="spellStart"/>
      <w:r w:rsidRPr="00A63BC1">
        <w:rPr>
          <w:rFonts w:ascii="Palatino Linotype" w:eastAsia="Times New Roman" w:hAnsi="Palatino Linotype" w:cs="Times New Roman"/>
          <w:spacing w:val="2"/>
          <w:kern w:val="16"/>
          <w:lang w:eastAsia="en-US"/>
          <w14:numForm w14:val="oldStyle"/>
          <w14:numSpacing w14:val="proportional"/>
        </w:rPr>
        <w:t>Praat</w:t>
      </w:r>
      <w:proofErr w:type="spellEnd"/>
      <w:r w:rsidRPr="00A63BC1">
        <w:rPr>
          <w:rFonts w:ascii="Palatino Linotype" w:eastAsia="Times New Roman" w:hAnsi="Palatino Linotype" w:cs="Times New Roman"/>
          <w:spacing w:val="2"/>
          <w:kern w:val="16"/>
          <w:lang w:eastAsia="en-US"/>
          <w14:numForm w14:val="oldStyle"/>
          <w14:numSpacing w14:val="proportional"/>
        </w:rPr>
        <w:t>, showing that feedback incorporating learners' own recorded voices produced greater improvement than feedback based on a model speaker's voice alone, and that combining audio and visual feedback outperformed either modality in isolation. Chun, Jiang, and Ávila (2013) similarly reported approximately 50% improvement in tonal pronunciation among learners who used side-by-side pitch contour comparisons, with participants reporting that visual feedback helped them perceive and correct errors they could not detect by ear alone.</w:t>
      </w:r>
    </w:p>
    <w:p w14:paraId="438DA068" w14:textId="325FFD19"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Despite these promising results, existing </w:t>
      </w:r>
      <w:proofErr w:type="spellStart"/>
      <w:r w:rsidRPr="00A63BC1">
        <w:rPr>
          <w:rFonts w:ascii="Palatino Linotype" w:eastAsia="Times New Roman" w:hAnsi="Palatino Linotype" w:cs="Times New Roman"/>
          <w:spacing w:val="2"/>
          <w:kern w:val="16"/>
          <w:lang w:eastAsia="en-US"/>
          <w14:numForm w14:val="oldStyle"/>
          <w14:numSpacing w14:val="proportional"/>
        </w:rPr>
        <w:t>Praat</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-based tools share a common limitation: they require instructor mediation, offline analysis, and controlled recording conditions, making them poorly suited for autonomous, out-of-class learner practice. A systematic review of CAPT research by </w:t>
      </w:r>
      <w:proofErr w:type="spellStart"/>
      <w:r w:rsidRPr="00A63BC1">
        <w:rPr>
          <w:rFonts w:ascii="Palatino Linotype" w:eastAsia="Times New Roman" w:hAnsi="Palatino Linotype" w:cs="Times New Roman"/>
          <w:spacing w:val="2"/>
          <w:kern w:val="16"/>
          <w:lang w:eastAsia="en-US"/>
          <w14:numForm w14:val="oldStyle"/>
          <w14:numSpacing w14:val="proportional"/>
        </w:rPr>
        <w:t>Amrate</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and Tsai (2025) found that most systems continue to evaluate learner speech against native-speaker norms, with limited attention to suprasegmental features and little accommodation of diverse learner backgrounds. Rogerson-Revell (2021) further notes that feedback representations such as spectrograms and F0 curves frequently exceed learners' interpretive capacity without scaffolding, limiting their pedagogical value even when technically accurate.</w:t>
      </w:r>
    </w:p>
    <w:p w14:paraId="5EF3B35E" w14:textId="77777777" w:rsidR="00D912B1" w:rsidRPr="00A63BC1" w:rsidRDefault="00D912B1" w:rsidP="00D912B1">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sidRPr="00A63BC1">
        <w:rPr>
          <w:rFonts w:ascii="Palatino Linotype" w:hAnsi="Palatino Linotype" w:cs="Times New Roman (Headings CS)"/>
          <w:b/>
          <w:color w:val="000000"/>
          <w:spacing w:val="2"/>
          <w:kern w:val="16"/>
          <w:sz w:val="22"/>
          <w:szCs w:val="22"/>
          <w:lang w:eastAsia="en-US"/>
          <w14:numForm w14:val="oldStyle"/>
          <w14:numSpacing w14:val="proportional"/>
        </w:rPr>
        <w:t>2.2 Automatic Tone Detection and Mispronunciation Identification</w:t>
      </w:r>
    </w:p>
    <w:p w14:paraId="4634F377" w14:textId="77777777" w:rsidR="00D912B1" w:rsidRPr="00A63BC1" w:rsidRDefault="00D912B1" w:rsidP="00D912B1">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On the technical side, significant advances have been made in automatic tone classification and mispronunciation detection for Mandarin. Li et al. (2019) demonstrated that BLSTM-based deep tone models using soft-target tone labels substantially outperform traditional hard-label classifiers in detecting tonal errors, particularly for tones with high confusion rates. Bu et al. (2025) introduced a Siamese neural network architecture that compares learner pitch contours against native references using a learned similarity metric, achieving strong robustness </w:t>
      </w:r>
      <w:r w:rsidRPr="00A63BC1">
        <w:rPr>
          <w:rFonts w:ascii="Palatino Linotype" w:eastAsia="Times New Roman" w:hAnsi="Palatino Linotype" w:cs="Times New Roman"/>
          <w:spacing w:val="2"/>
          <w:kern w:val="16"/>
          <w:lang w:eastAsia="en-US"/>
          <w14:numForm w14:val="oldStyle"/>
          <w14:numSpacing w14:val="proportional"/>
        </w:rPr>
        <w:lastRenderedPageBreak/>
        <w:t>to speaker variation and recording conditions. More recently, Gan and Wei (2025) proposed a BIDFSMN-based CAPT system achieving approximately 90% detection accuracy on Mandarin pronunciation errors in non-native speakers.</w:t>
      </w:r>
    </w:p>
    <w:p w14:paraId="033EBE5F" w14:textId="362BAD83"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A recurring finding across these studies is that modeling tonal context - the influence of neighboring tones on each other through coarticulation - substantially improves detection accuracy over systems that classify tones in isolation (Tang &amp; Li, 2021; Tong et al., 2018). However, these technical systems are evaluated almost exclusively on classification metrics such as accuracy and F1 score, with little attention to how detected errors are communicated to learners or whether the feedback supports measurable improvement in production.</w:t>
      </w:r>
    </w:p>
    <w:p w14:paraId="358604C3" w14:textId="77777777" w:rsidR="00D912B1" w:rsidRPr="00A63BC1" w:rsidRDefault="00D912B1" w:rsidP="00D912B1">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sidRPr="00A63BC1">
        <w:rPr>
          <w:rFonts w:ascii="Palatino Linotype" w:hAnsi="Palatino Linotype" w:cs="Times New Roman (Headings CS)"/>
          <w:b/>
          <w:color w:val="000000"/>
          <w:spacing w:val="2"/>
          <w:kern w:val="16"/>
          <w:sz w:val="22"/>
          <w:szCs w:val="22"/>
          <w:lang w:eastAsia="en-US"/>
          <w14:numForm w14:val="oldStyle"/>
          <w14:numSpacing w14:val="proportional"/>
        </w:rPr>
        <w:t>2.3 Multimodal Feedback and Learner Experience</w:t>
      </w:r>
    </w:p>
    <w:p w14:paraId="7C206A09" w14:textId="7171810E"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A separate strand of research has examined how feedback modality affects tone acquisition outcomes. </w:t>
      </w:r>
      <w:proofErr w:type="spellStart"/>
      <w:r w:rsidRPr="00A63BC1">
        <w:rPr>
          <w:rFonts w:ascii="Palatino Linotype" w:eastAsia="Times New Roman" w:hAnsi="Palatino Linotype" w:cs="Times New Roman"/>
          <w:spacing w:val="2"/>
          <w:kern w:val="16"/>
          <w:lang w:eastAsia="en-US"/>
          <w14:numForm w14:val="oldStyle"/>
          <w14:numSpacing w14:val="proportional"/>
        </w:rPr>
        <w:t>Godfroid</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Lin, and Ryu (2017) demonstrated that color-coded visual representations of lexical tones, when combined with auditory input, produced significantly greater perceptual gains than audio-only training, particularly for difficult tone contrasts. Farran and Morett (2024) review evidence that beginner learners benefit from visual pitch representations before relying solely on auditory cues, suggesting a developmental role for multimodal feedback in early tone acquisition. Meng et al. (2023) showed that perception-guided learning - where the system </w:t>
      </w:r>
      <w:proofErr w:type="spellStart"/>
      <w:r w:rsidRPr="00A63BC1">
        <w:rPr>
          <w:rFonts w:ascii="Palatino Linotype" w:eastAsia="Times New Roman" w:hAnsi="Palatino Linotype" w:cs="Times New Roman"/>
          <w:spacing w:val="2"/>
          <w:kern w:val="16"/>
          <w:lang w:eastAsia="en-US"/>
          <w14:numForm w14:val="oldStyle"/>
          <w14:numSpacing w14:val="proportional"/>
        </w:rPr>
        <w:t>optimises</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for the learner's ability to perceive their own errors rather than acoustic matching to a native target - produces stronger tone learning outcomes than contour-matching feedback alone.</w:t>
      </w:r>
    </w:p>
    <w:p w14:paraId="59CA9600" w14:textId="73751655"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Learner experience research highlights that technical capability alone does not determine adoption or persistence. Studies of language learning app usage consistently find a gap between perceived usefulness and sustained engagement, with usability, feedback interpretability, and learner trust emerging as critical mediating factors (Yuen &amp; Schlote, 2024; Leva et al., 2025). Liu et al. (2025) specifically found that time pressure during voice </w:t>
      </w:r>
      <w:r w:rsidRPr="00A63BC1">
        <w:rPr>
          <w:rFonts w:ascii="Palatino Linotype" w:eastAsia="Times New Roman" w:hAnsi="Palatino Linotype" w:cs="Times New Roman"/>
          <w:spacing w:val="2"/>
          <w:kern w:val="16"/>
          <w:lang w:eastAsia="en-US"/>
          <w14:numForm w14:val="oldStyle"/>
          <w14:numSpacing w14:val="proportional"/>
        </w:rPr>
        <w:lastRenderedPageBreak/>
        <w:t>input tasks significantly increases cognitive load and error rates for Mandarin learners, reinforcing the importance of learner-controlled pacing in pronunciation tool design.</w:t>
      </w:r>
    </w:p>
    <w:p w14:paraId="10C9E878" w14:textId="36C706C1" w:rsidR="0000628F" w:rsidRPr="0000628F" w:rsidRDefault="0000628F" w:rsidP="0000628F">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3 SYSTEM DESIGN</w:t>
      </w:r>
    </w:p>
    <w:p w14:paraId="32960BA8" w14:textId="2282368F" w:rsidR="0000628F" w:rsidRPr="0000628F" w:rsidRDefault="00F90D3D" w:rsidP="0000628F">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3.1 System Overview</w:t>
      </w:r>
    </w:p>
    <w:p w14:paraId="6A3DE8B7" w14:textId="7BD26529" w:rsidR="0000628F" w:rsidRDefault="00F90D3D" w:rsidP="0000628F">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Mandarin Tone Coach is implemented as two browser-based web applications deployed on </w:t>
      </w:r>
      <w:proofErr w:type="spellStart"/>
      <w:r>
        <w:rPr>
          <w:rFonts w:ascii="Palatino Linotype" w:eastAsia="Times New Roman" w:hAnsi="Palatino Linotype" w:cs="Times New Roman"/>
          <w:spacing w:val="2"/>
          <w:kern w:val="16"/>
          <w:sz w:val="22"/>
          <w:szCs w:val="22"/>
          <w:lang w:eastAsia="en-US"/>
          <w14:numForm w14:val="oldStyle"/>
          <w14:numSpacing w14:val="proportional"/>
        </w:rPr>
        <w:t>Streamlit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Cloud. The primary practice application supports learner production and delivers immediate corrective feedback; companion perception test application was used for the pre/post study described in Section 4. Both require no local installation. The production pipeline follows five sequential stages: Record, Extract F0, Classify, Visualize, and Feedback. Audio is captured through the browser microphone and processed entirely within the </w:t>
      </w:r>
      <w:proofErr w:type="spellStart"/>
      <w:r>
        <w:rPr>
          <w:rFonts w:ascii="Palatino Linotype" w:eastAsia="Times New Roman" w:hAnsi="Palatino Linotype" w:cs="Times New Roman"/>
          <w:spacing w:val="2"/>
          <w:kern w:val="16"/>
          <w:sz w:val="22"/>
          <w:szCs w:val="22"/>
          <w:lang w:eastAsia="en-US"/>
          <w14:numForm w14:val="oldStyle"/>
          <w14:numSpacing w14:val="proportional"/>
        </w:rPr>
        <w:t>Streamlit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session; no audio is retained on the server.</w:t>
      </w:r>
    </w:p>
    <w:p w14:paraId="43734514" w14:textId="5E8E9ED2" w:rsidR="00F90D3D" w:rsidRDefault="00F90D3D" w:rsidP="00F90D3D">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3.2 Training Data and Feature Extraction</w:t>
      </w:r>
    </w:p>
    <w:p w14:paraId="53144F5C" w14:textId="214AB7B8" w:rsidR="00F90D3D" w:rsidRDefault="00F90D3D" w:rsidP="00F90D3D">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tone classifier was trained on the Tone Perfect corpus from </w:t>
      </w:r>
      <w:r w:rsidR="00C74A41">
        <w:rPr>
          <w:rFonts w:ascii="Palatino Linotype" w:eastAsia="Times New Roman" w:hAnsi="Palatino Linotype" w:cs="Times New Roman"/>
          <w:spacing w:val="2"/>
          <w:kern w:val="16"/>
          <w:sz w:val="22"/>
          <w:szCs w:val="22"/>
          <w:lang w:eastAsia="en-US"/>
          <w14:numForm w14:val="oldStyle"/>
          <w14:numSpacing w14:val="proportional"/>
        </w:rPr>
        <w:t>Michigan State University, comprising 9,838 monosyllabic MP3 recordings by six native Mandarin speakers (three male, three female) across 410 syllables and all four tones. This corpus was selected because</w:t>
      </w:r>
      <w:r w:rsidR="00572A16">
        <w:rPr>
          <w:rFonts w:ascii="Palatino Linotype" w:eastAsia="Times New Roman" w:hAnsi="Palatino Linotype" w:cs="Times New Roman"/>
          <w:spacing w:val="2"/>
          <w:kern w:val="16"/>
          <w:sz w:val="22"/>
          <w:szCs w:val="22"/>
          <w:lang w:eastAsia="en-US"/>
          <w14:numForm w14:val="oldStyle"/>
          <w14:numSpacing w14:val="proportional"/>
        </w:rPr>
        <w:t xml:space="preserve"> its isolated citation-form recordings match the learner inference context exactly. Larger continuous-speech corpora were considered but rejected because sentence-level F0 declination distorts tone contour shape. The dataset was split speaker-independently: four speakers (6,557 samples) for training, and two held-out speakers (3,280 samples) for evaluation.</w:t>
      </w:r>
    </w:p>
    <w:p w14:paraId="5F70F0E7" w14:textId="622A1ECC" w:rsidR="00B82F2B" w:rsidRDefault="00B82F2B" w:rsidP="00F90D3D">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Pitch extraction was performed using </w:t>
      </w:r>
      <w:proofErr w:type="spellStart"/>
      <w:r>
        <w:rPr>
          <w:rFonts w:ascii="Palatino Linotype" w:eastAsia="Times New Roman" w:hAnsi="Palatino Linotype" w:cs="Times New Roman"/>
          <w:spacing w:val="2"/>
          <w:kern w:val="16"/>
          <w:sz w:val="22"/>
          <w:szCs w:val="22"/>
          <w:lang w:eastAsia="en-US"/>
          <w14:numForm w14:val="oldStyle"/>
          <w14:numSpacing w14:val="proportional"/>
        </w:rPr>
        <w:t>Parselmouth</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(a Python binding for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Praat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with a floor of 75 Hz and ceiling of 500 Hz. Each recording was trimmed to the voiced region with 50 </w:t>
      </w:r>
      <w:proofErr w:type="spellStart"/>
      <w:r>
        <w:rPr>
          <w:rFonts w:ascii="Palatino Linotype" w:eastAsia="Times New Roman" w:hAnsi="Palatino Linotype" w:cs="Times New Roman"/>
          <w:spacing w:val="2"/>
          <w:kern w:val="16"/>
          <w:sz w:val="22"/>
          <w:szCs w:val="22"/>
          <w:lang w:eastAsia="en-US"/>
          <w14:numForm w14:val="oldStyle"/>
          <w14:numSpacing w14:val="proportional"/>
        </w:rPr>
        <w:t>ms</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of padding, and the F0 contour was converted to semitones relative to the speaker’s mean – removing absolute pitch differences between speakers. The normalized contour was resampled to ten evenly spaced points, and nine first-order delta features were computed across adjacent points. Seven statistically summary features (mean, standard deviation, minimum, maximum, slope, duration, and voiced ratio) were appended, along with f0_min_pos - the normalized temporal position of the F0 minimum, which is </w:t>
      </w:r>
      <w:r>
        <w:rPr>
          <w:rFonts w:ascii="Palatino Linotype" w:eastAsia="Times New Roman" w:hAnsi="Palatino Linotype" w:cs="Times New Roman"/>
          <w:spacing w:val="2"/>
          <w:kern w:val="16"/>
          <w:sz w:val="22"/>
          <w:szCs w:val="22"/>
          <w:lang w:eastAsia="en-US"/>
          <w14:numForm w14:val="oldStyle"/>
          <w14:numSpacing w14:val="proportional"/>
        </w:rPr>
        <w:lastRenderedPageBreak/>
        <w:t>particularly discriminative for separating Tone 2 from Tone 3. The complete feature vector contains 27 values per utterance.</w:t>
      </w:r>
    </w:p>
    <w:p w14:paraId="1773C5FD" w14:textId="6AC70F6D" w:rsidR="00487D67" w:rsidRDefault="00487D67" w:rsidP="00487D67">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3.3 Tone Classifier</w:t>
      </w:r>
    </w:p>
    <w:p w14:paraId="07345991" w14:textId="0749D493" w:rsidR="00487D67" w:rsidRDefault="00487D67" w:rsidP="00487D67">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A Support Vector Machine with an RBF kernel (C=10, gamma=scale) was trained on the 27-feature representation. On the held-out speaker-independent test set the classifier achieved 91.95% overall accuracy, with per-</w:t>
      </w:r>
      <w:proofErr w:type="spellStart"/>
      <w:r>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F1 scores of 0.98 (T1), 0.87 (T2), 0.85 (T3), and 0.97 (T4). The primary error was at the T2/T3 boundary (~16% pairwise error rate), reflecting genuine acoustic overlap between the two tones in citation-form speech. The SVM outperformed a multilayer perceptron (90.52%) on this corpus. Deep convolutional architectures were not pursued given the dataset size of under 10,000 samples. Three rule-based post-processing corrections address known systematic edge cases at the T2/T3, T1/T2, and T4/T2 decision boundaries.</w:t>
      </w:r>
    </w:p>
    <w:p w14:paraId="38AC296B" w14:textId="1354ECA7" w:rsidR="00487D67" w:rsidRDefault="00487D67" w:rsidP="00487D67">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3.4 Reference Pitch Contours</w:t>
      </w:r>
    </w:p>
    <w:p w14:paraId="3FBDC157" w14:textId="2BD095B3" w:rsidR="00487D67" w:rsidRDefault="00487D67" w:rsidP="00487D67">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Canonical reference contours were derived from Chao’s (1968) five-level tone letter system: T1 high level (55), T2 high rising (35), T3 low dipping (214), T4 high falling (51)</w:t>
      </w:r>
      <w:hyperlink w:anchor="One" w:history="1">
        <w:r w:rsidR="00A77A2D" w:rsidRPr="00A77A2D">
          <w:rPr>
            <w:rStyle w:val="Hyperlink"/>
            <w:rFonts w:ascii="Palatino Linotype" w:eastAsia="Times New Roman" w:hAnsi="Palatino Linotype" w:cs="Times New Roman"/>
            <w:spacing w:val="2"/>
            <w:kern w:val="16"/>
            <w:sz w:val="22"/>
            <w:szCs w:val="22"/>
            <w:vertAlign w:val="superscript"/>
            <w:lang w:eastAsia="en-US"/>
            <w14:numForm w14:val="oldStyle"/>
            <w14:numSpacing w14:val="proportional"/>
          </w:rPr>
          <w:t>1</w:t>
        </w:r>
      </w:hyperlink>
      <w:r>
        <w:rPr>
          <w:rFonts w:ascii="Palatino Linotype" w:eastAsia="Times New Roman" w:hAnsi="Palatino Linotype" w:cs="Times New Roman"/>
          <w:spacing w:val="2"/>
          <w:kern w:val="16"/>
          <w:sz w:val="22"/>
          <w:szCs w:val="22"/>
          <w:lang w:eastAsia="en-US"/>
          <w14:numForm w14:val="oldStyle"/>
          <w14:numSpacing w14:val="proportional"/>
        </w:rPr>
        <w:t>.</w:t>
      </w:r>
      <w:r w:rsidR="00BE13B0">
        <w:rPr>
          <w:rFonts w:ascii="Palatino Linotype" w:eastAsia="Times New Roman" w:hAnsi="Palatino Linotype" w:cs="Times New Roman"/>
          <w:spacing w:val="2"/>
          <w:kern w:val="16"/>
          <w:sz w:val="22"/>
          <w:szCs w:val="22"/>
          <w:lang w:eastAsia="en-US"/>
          <w14:numForm w14:val="oldStyle"/>
          <w14:numSpacing w14:val="proportional"/>
        </w:rPr>
        <w:t xml:space="preserve"> Discrete tone levels were converted to a semitone scale, sampled at 100 points, and lightly Gaussian-smoothed. Corpus-derived mean contours were considered but rejected because sentence-reading contexts introduce F0 declination that distorts the idealized tone shapes presented in pedagogical materials. The four contours are stored as NumPy archive files loaded at startup.</w:t>
      </w:r>
    </w:p>
    <w:p w14:paraId="2A71F4A2" w14:textId="5B466B52" w:rsidR="00BE13B0" w:rsidRDefault="00BE13B0" w:rsidP="00BE13B0">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3.5 Practice Interface</w:t>
      </w:r>
    </w:p>
    <w:p w14:paraId="15F5EECB" w14:textId="19BD56A3" w:rsidR="00BE13B0" w:rsidRDefault="00BE13B0" w:rsidP="00BE13B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application offers two practice modes. In monosyllabic mode, learners select from 40 words (10 per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Pr>
          <w:rFonts w:ascii="Palatino Linotype" w:eastAsia="Times New Roman" w:hAnsi="Palatino Linotype" w:cs="Times New Roman"/>
          <w:spacing w:val="2"/>
          <w:kern w:val="16"/>
          <w:sz w:val="22"/>
          <w:szCs w:val="22"/>
          <w:lang w:eastAsia="en-US"/>
          <w14:numForm w14:val="oldStyle"/>
          <w14:numSpacing w14:val="proportional"/>
        </w:rPr>
        <w:t>, T1-T4) and record a single syllable. The results panel renders the learner’s pitch contour (red) overlaid against the canonical reference (dashed blue), both normalized in semitones, on a green or red background indicating correctness. A confidence bar chart across all four tones is also shown, followed by tone-pair-specific plain-language corrective feedback covering all twelve incorrect combinations.</w:t>
      </w:r>
    </w:p>
    <w:p w14:paraId="77725E8D" w14:textId="7C649365" w:rsidR="00BE13B0" w:rsidRPr="00BE13B0" w:rsidRDefault="00A77A2D" w:rsidP="00BE13B0">
      <w:pPr>
        <w:pStyle w:val="Footnote"/>
        <w:rPr>
          <w:rStyle w:val="FootnoteReference"/>
          <w:vertAlign w:val="baseline"/>
        </w:rPr>
      </w:pPr>
      <w:bookmarkStart w:id="1" w:name="One"/>
      <w:bookmarkEnd w:id="1"/>
      <w:r>
        <w:t xml:space="preserve">1 </w:t>
      </w:r>
      <w:r w:rsidR="00BE13B0" w:rsidRPr="00BE13B0">
        <w:rPr>
          <w:rStyle w:val="FootnoteReference"/>
          <w:vertAlign w:val="baseline"/>
        </w:rPr>
        <w:t>In Chao’s tone letter system, pitch is represented on a five-level scale where 1 denotes the lowest pitch and 5 the highest. A tone is described by the sequence of levels traversed: for example, 214 indicates a contour that begins at level 2, descends to level 1, and rises to level 4.</w:t>
      </w:r>
    </w:p>
    <w:p w14:paraId="47DB3933" w14:textId="524E5DDA" w:rsidR="008A665A" w:rsidRDefault="008A665A" w:rsidP="008A665A">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lastRenderedPageBreak/>
        <w:t xml:space="preserve">Disyllabic mode covers 20 two-syllable words recorded in a single take. The syllable boundary is located by identifying the RMS energy minimum in the central portion of the utterance, with fallback to </w:t>
      </w:r>
      <w:r w:rsidR="00A77A2D">
        <w:rPr>
          <w:rFonts w:ascii="Palatino Linotype" w:eastAsia="Times New Roman" w:hAnsi="Palatino Linotype" w:cs="Times New Roman"/>
          <w:spacing w:val="2"/>
          <w:kern w:val="16"/>
          <w:sz w:val="22"/>
          <w:szCs w:val="22"/>
          <w:lang w:eastAsia="en-US"/>
          <w14:numForm w14:val="oldStyle"/>
          <w14:numSpacing w14:val="proportional"/>
        </w:rPr>
        <w:t>pitch discontinuity detection when the energy dip is too shallow. Neutral-tone second syllables require a wider search window given their late, unstressed position. Each syllable is then analyzed and displayed independently. For words with an underlying T3+T3 pattern, the classifier accepts T2 as correct for the first syllable, reflecting the standard Mandarin tone sandhi rule.</w:t>
      </w:r>
    </w:p>
    <w:p w14:paraId="5318A5D8" w14:textId="7BF7221F" w:rsidR="00B54525" w:rsidRDefault="00B54525" w:rsidP="00B54525">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4 EVALUATION METHODOLOGY</w:t>
      </w:r>
    </w:p>
    <w:p w14:paraId="345C596A" w14:textId="6C72612B" w:rsidR="00B54525" w:rsidRPr="0000628F" w:rsidRDefault="00B54525" w:rsidP="00B5452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4.1 Study Design and Participants</w:t>
      </w:r>
    </w:p>
    <w:p w14:paraId="55DEFA0B" w14:textId="693FA2C1" w:rsidR="00B54525" w:rsidRDefault="00B54525"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evaluation followed a </w:t>
      </w:r>
      <w:proofErr w:type="gramStart"/>
      <w:r>
        <w:rPr>
          <w:rFonts w:ascii="Palatino Linotype" w:eastAsia="Times New Roman" w:hAnsi="Palatino Linotype" w:cs="Times New Roman"/>
          <w:spacing w:val="2"/>
          <w:kern w:val="16"/>
          <w:sz w:val="22"/>
          <w:szCs w:val="22"/>
          <w:lang w:eastAsia="en-US"/>
          <w14:numForm w14:val="oldStyle"/>
          <w14:numSpacing w14:val="proportional"/>
        </w:rPr>
        <w:t>single-group</w:t>
      </w:r>
      <w:proofErr w:type="gramEnd"/>
      <w:r>
        <w:rPr>
          <w:rFonts w:ascii="Palatino Linotype" w:eastAsia="Times New Roman" w:hAnsi="Palatino Linotype" w:cs="Times New Roman"/>
          <w:spacing w:val="2"/>
          <w:kern w:val="16"/>
          <w:sz w:val="22"/>
          <w:szCs w:val="22"/>
          <w:lang w:eastAsia="en-US"/>
          <w14:numForm w14:val="oldStyle"/>
          <w14:numSpacing w14:val="proportional"/>
        </w:rPr>
        <w:t xml:space="preserve"> pre/post pilot design with two complementary instruments: a tone perception test and a Technology Acceptance Model (TAM) survey. The study was not intended to isolate causal mechanisms, rather, it aimed to detect early evidence of perceptual learning following a single session of self-directed practice and to characterize learner experience with the interface.</w:t>
      </w:r>
    </w:p>
    <w:p w14:paraId="299EF4A2" w14:textId="359CD864" w:rsidR="00B54525" w:rsidRDefault="00B54525"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were recruited through a combination of course peer networks and personal contacts. A total of 19 individuals completed the pre-test perception task. Of these, 13 completed both the pre-test (Form A) and post-test (Form B) and were retained for paired analysis; the remaining six completed Form A only and were excluded from pre/post comparisons. Sixteen participants completed the TAM survey; two respondents who submitted survey responses without completing either perception test form were excluded from TAM analysis.</w:t>
      </w:r>
    </w:p>
    <w:p w14:paraId="070C1EB3" w14:textId="10C6C8B9" w:rsidR="00DE13BD" w:rsidRDefault="00DE13BD"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represented diverse native language backgrounds, including Kannada (2), Hindi (1), Malayalam (1), Farsi (1), Swahili (1), and English (7)</w:t>
      </w:r>
      <w:r w:rsidR="00F30EB6">
        <w:rPr>
          <w:rFonts w:ascii="Palatino Linotype" w:eastAsia="Times New Roman" w:hAnsi="Palatino Linotype" w:cs="Times New Roman"/>
          <w:spacing w:val="2"/>
          <w:kern w:val="16"/>
          <w:sz w:val="22"/>
          <w:szCs w:val="22"/>
          <w:lang w:eastAsia="en-US"/>
          <w14:numForm w14:val="oldStyle"/>
          <w14:numSpacing w14:val="proportional"/>
        </w:rPr>
        <w:t xml:space="preserve">. Three respondents indicated Mandarin or Chinese as a native or heritage language and were retained in the analysis but noted as potential ceiling-effect outliers. </w:t>
      </w:r>
      <w:proofErr w:type="gramStart"/>
      <w:r w:rsidR="00F30EB6">
        <w:rPr>
          <w:rFonts w:ascii="Palatino Linotype" w:eastAsia="Times New Roman" w:hAnsi="Palatino Linotype" w:cs="Times New Roman"/>
          <w:spacing w:val="2"/>
          <w:kern w:val="16"/>
          <w:sz w:val="22"/>
          <w:szCs w:val="22"/>
          <w:lang w:eastAsia="en-US"/>
          <w14:numForm w14:val="oldStyle"/>
          <w14:numSpacing w14:val="proportional"/>
        </w:rPr>
        <w:t>The majority of</w:t>
      </w:r>
      <w:proofErr w:type="gramEnd"/>
      <w:r w:rsidR="00F30EB6">
        <w:rPr>
          <w:rFonts w:ascii="Palatino Linotype" w:eastAsia="Times New Roman" w:hAnsi="Palatino Linotype" w:cs="Times New Roman"/>
          <w:spacing w:val="2"/>
          <w:kern w:val="16"/>
          <w:sz w:val="22"/>
          <w:szCs w:val="22"/>
          <w:lang w:eastAsia="en-US"/>
          <w14:numForm w14:val="oldStyle"/>
          <w14:numSpacing w14:val="proportional"/>
        </w:rPr>
        <w:t xml:space="preserve"> the participants (11 of 16) reported never having studied Mandarin prior to the session; two had studied for less than six months, and three for more than two years.</w:t>
      </w:r>
    </w:p>
    <w:p w14:paraId="4D48E4D7" w14:textId="403AC906" w:rsidR="00F30EB6" w:rsidRPr="0000628F" w:rsidRDefault="00F30EB6" w:rsidP="00F30EB6">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lastRenderedPageBreak/>
        <w:t>4.2 Instruments</w:t>
      </w:r>
    </w:p>
    <w:p w14:paraId="007FE413" w14:textId="41EFB7CE" w:rsidR="00F30EB6" w:rsidRDefault="00F30EB6" w:rsidP="00F30EB6">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Tone perception was assessed using a two-form matched test delivered through the companion web application. Form A served as the pre-test and Form B as the post-test. </w:t>
      </w:r>
      <w:r w:rsidR="00977DA0">
        <w:rPr>
          <w:rFonts w:ascii="Palatino Linotype" w:eastAsia="Times New Roman" w:hAnsi="Palatino Linotype" w:cs="Times New Roman"/>
          <w:spacing w:val="2"/>
          <w:kern w:val="16"/>
          <w:sz w:val="22"/>
          <w:szCs w:val="22"/>
          <w:lang w:eastAsia="en-US"/>
          <w14:numForm w14:val="oldStyle"/>
          <w14:numSpacing w14:val="proportional"/>
        </w:rPr>
        <w:t xml:space="preserve">Each form contained 12 audio clips drawn from the Tone Perfect corpus – three items per </w:t>
      </w:r>
      <w:proofErr w:type="spellStart"/>
      <w:r w:rsidR="00977DA0">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977DA0">
        <w:rPr>
          <w:rFonts w:ascii="Palatino Linotype" w:eastAsia="Times New Roman" w:hAnsi="Palatino Linotype" w:cs="Times New Roman"/>
          <w:spacing w:val="2"/>
          <w:kern w:val="16"/>
          <w:sz w:val="22"/>
          <w:szCs w:val="22"/>
          <w:lang w:eastAsia="en-US"/>
          <w14:numForm w14:val="oldStyle"/>
          <w14:numSpacing w14:val="proportional"/>
        </w:rPr>
        <w:t xml:space="preserve"> (T-T4) – using different words across forms to limit item-specific learning effects. Participants listened to each clip and selected the tone they perceived; no feedback was provided during either form. Forms were locked via URL query parameter, and participants used a session-specific identifier generated at the end of Form A to link their pre- and post-test responses.</w:t>
      </w:r>
    </w:p>
    <w:p w14:paraId="422E288D" w14:textId="282F9E79" w:rsidR="00977DA0" w:rsidRDefault="00977DA0" w:rsidP="00F30EB6">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Learner experience was assessed during an eight-item TAM survey adapted for this application. The instrument covered four dimensions: tonal understanding (one item), feedback utility (two items covering pitch contour visualization and corrective text), overall perceived usefulness (one item), ease of use (two items), and behavioral intention (two items covering intention to reuse and willingness to recommend). All items used a five-point Likert scale anchored at 1 (Strongly Disagree) and 5 (Strongly Agree).</w:t>
      </w:r>
    </w:p>
    <w:p w14:paraId="644C6A1D" w14:textId="68F87C69" w:rsidR="00977DA0" w:rsidRPr="0000628F" w:rsidRDefault="00977DA0" w:rsidP="00977DA0">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4.3 Procedure and Analysis</w:t>
      </w:r>
    </w:p>
    <w:p w14:paraId="628FB845" w14:textId="1603ABEE" w:rsidR="00977DA0" w:rsidRDefault="00977DA0"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were first directed to Form A and asked to complete it without prior use of the practice application. They then used the Mandarin Tone Coach app for a minimum of five to ten minutes, exploring both monosyllabic and disyllabic practice modes at their own pace. Following practice, participants completed Form B using the identifier from Form A and then completed the TAM survey.</w:t>
      </w:r>
    </w:p>
    <w:p w14:paraId="40068E73" w14:textId="41964363" w:rsidR="00977DA0" w:rsidRDefault="00977DA0"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Tone perception accuracy was computed as the proportion of correctly identified tones per form. Statistical comparison of pre- and post-test scores across the 13 paired participants used two complementary tests: a Wilcoxon signed-rank test, preferred for its robustness with small samples, and a paired t-test reported for reference. Per-tone accuracy was disaggregated across T1-T4 to identify tone-specific patterns. TAM results were summarized with item-level means and standard deviation.</w:t>
      </w:r>
    </w:p>
    <w:p w14:paraId="69AD6C1E" w14:textId="77777777" w:rsidR="000F4E35" w:rsidRDefault="000F4E35"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p>
    <w:p w14:paraId="6CCEB733" w14:textId="02165388" w:rsidR="00355409" w:rsidRDefault="00355409" w:rsidP="00355409">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lastRenderedPageBreak/>
        <w:t>5</w:t>
      </w:r>
      <w:r>
        <w:rPr>
          <w:rFonts w:ascii="Palatino Linotype" w:hAnsi="Palatino Linotype" w:cs="Times New Roman (Headings CS)"/>
          <w:b/>
          <w:caps/>
          <w:color w:val="auto"/>
          <w:spacing w:val="13"/>
          <w:kern w:val="16"/>
          <w:sz w:val="22"/>
          <w:szCs w:val="48"/>
          <w:lang w:eastAsia="en-US"/>
          <w14:numForm w14:val="lining"/>
          <w14:numSpacing w14:val="tabular"/>
        </w:rPr>
        <w:t xml:space="preserve"> </w:t>
      </w:r>
      <w:r>
        <w:rPr>
          <w:rFonts w:ascii="Palatino Linotype" w:hAnsi="Palatino Linotype" w:cs="Times New Roman (Headings CS)"/>
          <w:b/>
          <w:caps/>
          <w:color w:val="auto"/>
          <w:spacing w:val="13"/>
          <w:kern w:val="16"/>
          <w:sz w:val="22"/>
          <w:szCs w:val="48"/>
          <w:lang w:eastAsia="en-US"/>
          <w14:numForm w14:val="lining"/>
          <w14:numSpacing w14:val="tabular"/>
        </w:rPr>
        <w:t>RESULTS</w:t>
      </w:r>
    </w:p>
    <w:p w14:paraId="515717C9" w14:textId="4E79209B" w:rsidR="00355409" w:rsidRPr="0000628F" w:rsidRDefault="00355409" w:rsidP="00355409">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w:t>
      </w:r>
      <w:r>
        <w:rPr>
          <w:rFonts w:ascii="Palatino Linotype" w:hAnsi="Palatino Linotype" w:cs="Times New Roman (Headings CS)"/>
          <w:b/>
          <w:color w:val="000000"/>
          <w:spacing w:val="2"/>
          <w:kern w:val="16"/>
          <w:sz w:val="22"/>
          <w:szCs w:val="22"/>
          <w:lang w:eastAsia="en-US"/>
          <w14:numForm w14:val="oldStyle"/>
          <w14:numSpacing w14:val="proportional"/>
        </w:rPr>
        <w:t xml:space="preserve">.1 </w:t>
      </w:r>
      <w:r>
        <w:rPr>
          <w:rFonts w:ascii="Palatino Linotype" w:hAnsi="Palatino Linotype" w:cs="Times New Roman (Headings CS)"/>
          <w:b/>
          <w:color w:val="000000"/>
          <w:spacing w:val="2"/>
          <w:kern w:val="16"/>
          <w:sz w:val="22"/>
          <w:szCs w:val="22"/>
          <w:lang w:eastAsia="en-US"/>
          <w14:numForm w14:val="oldStyle"/>
          <w14:numSpacing w14:val="proportional"/>
        </w:rPr>
        <w:t>Perception Test: Pre/Post Accuracy</w:t>
      </w:r>
    </w:p>
    <w:p w14:paraId="15386864" w14:textId="56286628" w:rsidR="00355409" w:rsidRDefault="00355409" w:rsidP="00355409">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Of 19 participants who submitted perception test responses, 13 completed both Form A (pre-test)</w:t>
      </w:r>
      <w:r w:rsidR="00C906C5">
        <w:rPr>
          <w:rFonts w:ascii="Palatino Linotype" w:eastAsia="Times New Roman" w:hAnsi="Palatino Linotype" w:cs="Times New Roman"/>
          <w:spacing w:val="2"/>
          <w:kern w:val="16"/>
          <w:sz w:val="22"/>
          <w:szCs w:val="22"/>
          <w:lang w:eastAsia="en-US"/>
          <w14:numForm w14:val="oldStyle"/>
          <w14:numSpacing w14:val="proportional"/>
        </w:rPr>
        <w:t xml:space="preserve"> and Form B (post-test) and were included in the paired analysis. Mean pre-test accuracy was 53.8% (SD = 24.4%) and mean post-test accuracy was 64.1% (SD = 29.5%), a mean improvement of 10.3% following a single practice session. 10 of 13 participants maintained or improved their accuracy; 2 showed declines of 16.7% each.</w:t>
      </w:r>
    </w:p>
    <w:p w14:paraId="52626127" w14:textId="22B187E4" w:rsidR="00C906C5" w:rsidRDefault="00C906C5" w:rsidP="00355409">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A Wilcoxon signed-rank test did not yield a statistically significant difference (W = 13.5, p = 0.087); a paired-samples t-test similarly fell short of conventional significance (</w:t>
      </w:r>
      <w:proofErr w:type="gramStart"/>
      <w:r>
        <w:rPr>
          <w:rFonts w:ascii="Palatino Linotype" w:eastAsia="Times New Roman" w:hAnsi="Palatino Linotype" w:cs="Times New Roman"/>
          <w:spacing w:val="2"/>
          <w:kern w:val="16"/>
          <w:sz w:val="22"/>
          <w:szCs w:val="22"/>
          <w:lang w:eastAsia="en-US"/>
          <w14:numForm w14:val="oldStyle"/>
          <w14:numSpacing w14:val="proportional"/>
        </w:rPr>
        <w:t>t(</w:t>
      </w:r>
      <w:proofErr w:type="gramEnd"/>
      <w:r>
        <w:rPr>
          <w:rFonts w:ascii="Palatino Linotype" w:eastAsia="Times New Roman" w:hAnsi="Palatino Linotype" w:cs="Times New Roman"/>
          <w:spacing w:val="2"/>
          <w:kern w:val="16"/>
          <w:sz w:val="22"/>
          <w:szCs w:val="22"/>
          <w:lang w:eastAsia="en-US"/>
          <w14:numForm w14:val="oldStyle"/>
          <w14:numSpacing w14:val="proportional"/>
        </w:rPr>
        <w:t>12) = -2.17, p = 0.051). These results indicate a positive trend in tone perception in tone perception accuracy that the sample size of 13 was insufficient to confirm statistically.</w:t>
      </w:r>
    </w:p>
    <w:p w14:paraId="1A4BF9E5" w14:textId="7E4B4D44" w:rsidR="00C906C5" w:rsidRPr="0000628F" w:rsidRDefault="00C906C5" w:rsidP="00C906C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w:t>
      </w:r>
      <w:r>
        <w:rPr>
          <w:rFonts w:ascii="Palatino Linotype" w:hAnsi="Palatino Linotype" w:cs="Times New Roman (Headings CS)"/>
          <w:b/>
          <w:color w:val="000000"/>
          <w:spacing w:val="2"/>
          <w:kern w:val="16"/>
          <w:sz w:val="22"/>
          <w:szCs w:val="22"/>
          <w:lang w:eastAsia="en-US"/>
          <w14:numForm w14:val="oldStyle"/>
          <w14:numSpacing w14:val="proportional"/>
        </w:rPr>
        <w:t>2</w:t>
      </w:r>
      <w:r>
        <w:rPr>
          <w:rFonts w:ascii="Palatino Linotype" w:hAnsi="Palatino Linotype" w:cs="Times New Roman (Headings CS)"/>
          <w:b/>
          <w:color w:val="000000"/>
          <w:spacing w:val="2"/>
          <w:kern w:val="16"/>
          <w:sz w:val="22"/>
          <w:szCs w:val="22"/>
          <w:lang w:eastAsia="en-US"/>
          <w14:numForm w14:val="oldStyle"/>
          <w14:numSpacing w14:val="proportional"/>
        </w:rPr>
        <w:t xml:space="preserve"> Pe</w:t>
      </w:r>
      <w:r>
        <w:rPr>
          <w:rFonts w:ascii="Palatino Linotype" w:hAnsi="Palatino Linotype" w:cs="Times New Roman (Headings CS)"/>
          <w:b/>
          <w:color w:val="000000"/>
          <w:spacing w:val="2"/>
          <w:kern w:val="16"/>
          <w:sz w:val="22"/>
          <w:szCs w:val="22"/>
          <w:lang w:eastAsia="en-US"/>
          <w14:numForm w14:val="oldStyle"/>
          <w14:numSpacing w14:val="proportional"/>
        </w:rPr>
        <w:t>r-Tone Accuracy</w:t>
      </w:r>
    </w:p>
    <w:p w14:paraId="6FBE765E" w14:textId="08CDBA87" w:rsidR="00C906C5" w:rsidRDefault="00FC2F04" w:rsidP="00C906C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Tone 3 (dipping) showed the largest gain (+20.5%, from 46.2 to 66.7%), consistent with prior reports that the dipping contour is particularly difficult for learners from non-tonal backgrounds (Lin, 2007). Tone 1 (flat) improved by 15.4%</w:t>
      </w:r>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and Tone 2 (rising) by +12.8%. Tone 4 (falling) declined by 7.7%, an outcome likely attributable to sampling variability given only 3 items per </w:t>
      </w:r>
      <w:proofErr w:type="spellStart"/>
      <w:r w:rsidR="008877BA">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per participant. </w:t>
      </w:r>
      <w:r w:rsidR="008877BA">
        <w:rPr>
          <w:rFonts w:ascii="Palatino Linotype" w:eastAsia="Times New Roman" w:hAnsi="Palatino Linotype" w:cs="Times New Roman"/>
          <w:spacing w:val="2"/>
          <w:kern w:val="16"/>
          <w:sz w:val="22"/>
          <w:szCs w:val="22"/>
          <w:lang w:eastAsia="en-US"/>
          <w14:numForm w14:val="oldStyle"/>
          <w14:numSpacing w14:val="proportional"/>
        </w:rPr>
        <w:br/>
        <w:t xml:space="preserve">The T2/T3 confusion observed in the classifier’s error analysis was mirrored in participant behavior, with several </w:t>
      </w:r>
      <w:proofErr w:type="gramStart"/>
      <w:r w:rsidR="008877BA">
        <w:rPr>
          <w:rFonts w:ascii="Palatino Linotype" w:eastAsia="Times New Roman" w:hAnsi="Palatino Linotype" w:cs="Times New Roman"/>
          <w:spacing w:val="2"/>
          <w:kern w:val="16"/>
          <w:sz w:val="22"/>
          <w:szCs w:val="22"/>
          <w:lang w:eastAsia="en-US"/>
          <w14:numForm w14:val="oldStyle"/>
          <w14:numSpacing w14:val="proportional"/>
        </w:rPr>
        <w:t>respondents</w:t>
      </w:r>
      <w:proofErr w:type="gramEnd"/>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reporting difficulty distinguishing the two contours.</w:t>
      </w:r>
    </w:p>
    <w:p w14:paraId="30E62CA3" w14:textId="7FD7BDB6" w:rsidR="000F5C85" w:rsidRDefault="000F5C85" w:rsidP="000F5C8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w:t>
      </w:r>
      <w:r>
        <w:rPr>
          <w:rFonts w:ascii="Palatino Linotype" w:hAnsi="Palatino Linotype" w:cs="Times New Roman (Headings CS)"/>
          <w:b/>
          <w:color w:val="000000"/>
          <w:spacing w:val="2"/>
          <w:kern w:val="16"/>
          <w:sz w:val="22"/>
          <w:szCs w:val="22"/>
          <w:lang w:eastAsia="en-US"/>
          <w14:numForm w14:val="oldStyle"/>
          <w14:numSpacing w14:val="proportional"/>
        </w:rPr>
        <w:t>3</w:t>
      </w:r>
      <w:r>
        <w:rPr>
          <w:rFonts w:ascii="Palatino Linotype" w:hAnsi="Palatino Linotype" w:cs="Times New Roman (Headings CS)"/>
          <w:b/>
          <w:color w:val="000000"/>
          <w:spacing w:val="2"/>
          <w:kern w:val="16"/>
          <w:sz w:val="22"/>
          <w:szCs w:val="22"/>
          <w:lang w:eastAsia="en-US"/>
          <w14:numForm w14:val="oldStyle"/>
          <w14:numSpacing w14:val="proportional"/>
        </w:rPr>
        <w:t xml:space="preserve"> </w:t>
      </w:r>
      <w:r>
        <w:rPr>
          <w:rFonts w:ascii="Palatino Linotype" w:hAnsi="Palatino Linotype" w:cs="Times New Roman (Headings CS)"/>
          <w:b/>
          <w:color w:val="000000"/>
          <w:spacing w:val="2"/>
          <w:kern w:val="16"/>
          <w:sz w:val="22"/>
          <w:szCs w:val="22"/>
          <w:lang w:eastAsia="en-US"/>
          <w14:numForm w14:val="oldStyle"/>
          <w14:numSpacing w14:val="proportional"/>
        </w:rPr>
        <w:t>App Usability Survey</w:t>
      </w:r>
    </w:p>
    <w:p w14:paraId="7751E3B6" w14:textId="7252A6C1"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16 participants completed the TAM usability survey (two survey-only respondents were excluded). The overall mean rating across 8 five-point Likert items was 3.96 (SD = 1.01), reflecting broadly positive perceptions of the application. Willingness to recommend the app to other learners received the highest rating (mean = 4.19, SD = 1.05), followed by perceived overall usefulness (mean = 4.12, SD = 1.02), intent to reuse (mean = 4.06, SD = 1.00), and recording ease (M = 4.00, SD = 0.97). The item assessing whether the app helped participants better understand Mandarin tones received the lowest rating (mean = 3.69, SD = 0.79).</w:t>
      </w:r>
    </w:p>
    <w:p w14:paraId="53AB88B9" w14:textId="5277818A"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lastRenderedPageBreak/>
        <w:t xml:space="preserve">3 of the 16 respondents identified as native or heritage Mandarin speakers who encountered classifier limitations outside the training distribution; their inclusion may depress mean usability scores for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th</w:t>
      </w:r>
      <w:proofErr w:type="spellEnd"/>
      <w:r w:rsidR="000F4E35">
        <w:rPr>
          <w:rFonts w:ascii="Palatino Linotype" w:eastAsia="Times New Roman" w:hAnsi="Palatino Linotype" w:cs="Times New Roman"/>
          <w:spacing w:val="2"/>
          <w:kern w:val="16"/>
          <w:sz w:val="22"/>
          <w:szCs w:val="22"/>
          <w:lang w:eastAsia="en-US"/>
          <w14:numForm w14:val="oldStyle"/>
          <w14:numSpacing w14:val="proportional"/>
        </w:rPr>
        <w:sym w:font="Symbol" w:char="F061"/>
      </w:r>
      <w:r>
        <w:rPr>
          <w:rFonts w:ascii="Palatino Linotype" w:eastAsia="Times New Roman" w:hAnsi="Palatino Linotype" w:cs="Times New Roman"/>
          <w:spacing w:val="2"/>
          <w:kern w:val="16"/>
          <w:sz w:val="22"/>
          <w:szCs w:val="22"/>
          <w:lang w:eastAsia="en-US"/>
          <w14:numForm w14:val="oldStyle"/>
          <w14:numSpacing w14:val="proportional"/>
        </w:rPr>
        <w:t>e intended learner population.</w:t>
      </w:r>
    </w:p>
    <w:p w14:paraId="6AF88085" w14:textId="69A348AE"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Open-ended responses highlighted consistent themes: participants appreciated the pitch contour overlay and found the app intuitive overall. Frequently requested improvements included reference audio playback prior to recording, more specific feedback on recording quality issues, and an expanded word list.</w:t>
      </w:r>
    </w:p>
    <w:p w14:paraId="6FA38268" w14:textId="1FC41B2C" w:rsidR="000F4E35" w:rsidRDefault="000F4E35" w:rsidP="000F4E35">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6</w:t>
      </w:r>
      <w:r>
        <w:rPr>
          <w:rFonts w:ascii="Palatino Linotype" w:hAnsi="Palatino Linotype" w:cs="Times New Roman (Headings CS)"/>
          <w:b/>
          <w:caps/>
          <w:color w:val="auto"/>
          <w:spacing w:val="13"/>
          <w:kern w:val="16"/>
          <w:sz w:val="22"/>
          <w:szCs w:val="48"/>
          <w:lang w:eastAsia="en-US"/>
          <w14:numForm w14:val="lining"/>
          <w14:numSpacing w14:val="tabular"/>
        </w:rPr>
        <w:t xml:space="preserve"> </w:t>
      </w:r>
      <w:proofErr w:type="gramStart"/>
      <w:r>
        <w:rPr>
          <w:rFonts w:ascii="Palatino Linotype" w:hAnsi="Palatino Linotype" w:cs="Times New Roman (Headings CS)"/>
          <w:b/>
          <w:caps/>
          <w:color w:val="auto"/>
          <w:spacing w:val="13"/>
          <w:kern w:val="16"/>
          <w:sz w:val="22"/>
          <w:szCs w:val="48"/>
          <w:lang w:eastAsia="en-US"/>
          <w14:numForm w14:val="lining"/>
          <w14:numSpacing w14:val="tabular"/>
        </w:rPr>
        <w:t>DISCUSSION</w:t>
      </w:r>
      <w:proofErr w:type="gramEnd"/>
    </w:p>
    <w:p w14:paraId="6ECEB036" w14:textId="79090C92" w:rsidR="000F4E35" w:rsidRPr="0000628F" w:rsidRDefault="000F4E35" w:rsidP="000F4E3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w:t>
      </w:r>
      <w:r>
        <w:rPr>
          <w:rFonts w:ascii="Palatino Linotype" w:hAnsi="Palatino Linotype" w:cs="Times New Roman (Headings CS)"/>
          <w:b/>
          <w:color w:val="000000"/>
          <w:spacing w:val="2"/>
          <w:kern w:val="16"/>
          <w:sz w:val="22"/>
          <w:szCs w:val="22"/>
          <w:lang w:eastAsia="en-US"/>
          <w14:numForm w14:val="oldStyle"/>
          <w14:numSpacing w14:val="proportional"/>
        </w:rPr>
        <w:t xml:space="preserve">.1 </w:t>
      </w:r>
      <w:r>
        <w:rPr>
          <w:rFonts w:ascii="Palatino Linotype" w:hAnsi="Palatino Linotype" w:cs="Times New Roman (Headings CS)"/>
          <w:b/>
          <w:color w:val="000000"/>
          <w:spacing w:val="2"/>
          <w:kern w:val="16"/>
          <w:sz w:val="22"/>
          <w:szCs w:val="22"/>
          <w:lang w:eastAsia="en-US"/>
          <w14:numForm w14:val="oldStyle"/>
          <w14:numSpacing w14:val="proportional"/>
        </w:rPr>
        <w:t>Interpretation of Perception Test Results</w:t>
      </w:r>
    </w:p>
    <w:p w14:paraId="1D21ED81" w14:textId="5AE9A08D" w:rsidR="000F5C85" w:rsidRPr="00397E11" w:rsidRDefault="000F4E35" w:rsidP="000F4E35">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w:t>
      </w:r>
      <w:r>
        <w:rPr>
          <w:rFonts w:ascii="Palatino Linotype" w:eastAsia="Times New Roman" w:hAnsi="Palatino Linotype" w:cs="Times New Roman"/>
          <w:spacing w:val="2"/>
          <w:kern w:val="16"/>
          <w:sz w:val="22"/>
          <w:szCs w:val="22"/>
          <w:lang w:eastAsia="en-US"/>
          <w14:numForm w14:val="oldStyle"/>
          <w14:numSpacing w14:val="proportional"/>
        </w:rPr>
        <w:t xml:space="preserve">10.3% improvement in mean tone perception accuracy is encouraging, though the absence of statistical significance (p = 0.087) prevents strong causal claims. The most likely explanation is insufficient power: with 13 paired participants, the study was underpowered to detect the moderate effect size suggested by the data, with an estimated 28 pairs needed for 80% power at </w:t>
      </w:r>
      <w:r>
        <w:rPr>
          <w:rFonts w:ascii="Cambria Math" w:eastAsia="Times New Roman" w:hAnsi="Cambria Math" w:cs="Times New Roman"/>
          <w:spacing w:val="2"/>
          <w:kern w:val="16"/>
          <w:sz w:val="22"/>
          <w:szCs w:val="22"/>
          <w:lang w:eastAsia="en-US"/>
          <w14:numForm w14:val="oldStyle"/>
          <w14:numSpacing w14:val="proportional"/>
        </w:rPr>
        <w:t xml:space="preserve">⍺ </w:t>
      </w:r>
      <w:r w:rsidRPr="00397E11">
        <w:rPr>
          <w:rFonts w:ascii="Palatino Linotype" w:eastAsia="Times New Roman" w:hAnsi="Palatino Linotype" w:cs="Times New Roman"/>
          <w:spacing w:val="2"/>
          <w:kern w:val="16"/>
          <w:sz w:val="22"/>
          <w:szCs w:val="22"/>
          <w:lang w:eastAsia="en-US"/>
          <w14:numForm w14:val="oldStyle"/>
          <w14:numSpacing w14:val="proportional"/>
        </w:rPr>
        <w:t>= 0.05. The positive trend nonetheless aligns with prior CAPT systems for Mandarin that have demonstrated short-term perceptual gains following brief practice (Wang et al., 2003).</w:t>
      </w:r>
    </w:p>
    <w:p w14:paraId="416581E3" w14:textId="111BADEC" w:rsidR="000F4E35" w:rsidRDefault="000F4E35" w:rsidP="000F4E35">
      <w:pPr>
        <w:jc w:val="both"/>
        <w:rPr>
          <w:rFonts w:ascii="Palatino Linotype" w:eastAsia="Times New Roman" w:hAnsi="Palatino Linotype" w:cs="Times New Roman"/>
          <w:spacing w:val="2"/>
          <w:kern w:val="16"/>
          <w:sz w:val="22"/>
          <w:szCs w:val="22"/>
          <w:lang w:eastAsia="en-US"/>
          <w14:numForm w14:val="oldStyle"/>
          <w14:numSpacing w14:val="proportional"/>
        </w:rPr>
      </w:pPr>
      <w:r w:rsidRPr="00397E11">
        <w:rPr>
          <w:rFonts w:ascii="Palatino Linotype" w:eastAsia="Times New Roman" w:hAnsi="Palatino Linotype" w:cs="Times New Roman"/>
          <w:spacing w:val="2"/>
          <w:kern w:val="16"/>
          <w:sz w:val="22"/>
          <w:szCs w:val="22"/>
          <w:lang w:eastAsia="en-US"/>
          <w14:numForm w14:val="oldStyle"/>
          <w14:numSpacing w14:val="proportional"/>
        </w:rPr>
        <w:t>The per-tone results offer additional nuance. The largest gain occurred in Tone 3 (dipping, +20.5%), which was also the most difficult tone at baseline, consistent</w:t>
      </w:r>
      <w:r w:rsidR="00397E11">
        <w:rPr>
          <w:rFonts w:ascii="Palatino Linotype" w:eastAsia="Times New Roman" w:hAnsi="Palatino Linotype" w:cs="Times New Roman"/>
          <w:spacing w:val="2"/>
          <w:kern w:val="16"/>
          <w:sz w:val="22"/>
          <w:szCs w:val="22"/>
          <w:lang w:eastAsia="en-US"/>
          <w14:numForm w14:val="oldStyle"/>
          <w14:numSpacing w14:val="proportional"/>
        </w:rPr>
        <w:t xml:space="preserve"> with the broader literature on the dipping contour’s difficulty for non-tonal language learners (Lin, 2007). The T2/T3 confusion documented in the classifier’s error analysis was clearly present in learner perception as well. The Tone 4 (-7.7%) is most plausibly explained by sampling variability, as only 3 items per </w:t>
      </w:r>
      <w:proofErr w:type="spellStart"/>
      <w:r w:rsidR="00397E11">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397E11">
        <w:rPr>
          <w:rFonts w:ascii="Palatino Linotype" w:eastAsia="Times New Roman" w:hAnsi="Palatino Linotype" w:cs="Times New Roman"/>
          <w:spacing w:val="2"/>
          <w:kern w:val="16"/>
          <w:sz w:val="22"/>
          <w:szCs w:val="22"/>
          <w:lang w:eastAsia="en-US"/>
          <w14:numForm w14:val="oldStyle"/>
          <w14:numSpacing w14:val="proportional"/>
        </w:rPr>
        <w:t xml:space="preserve"> per participant were available.</w:t>
      </w:r>
    </w:p>
    <w:p w14:paraId="744B0714" w14:textId="23868F0D" w:rsidR="00D33402" w:rsidRPr="0000628F" w:rsidRDefault="00D33402" w:rsidP="00D33402">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w:t>
      </w:r>
      <w:r>
        <w:rPr>
          <w:rFonts w:ascii="Palatino Linotype" w:hAnsi="Palatino Linotype" w:cs="Times New Roman (Headings CS)"/>
          <w:b/>
          <w:color w:val="000000"/>
          <w:spacing w:val="2"/>
          <w:kern w:val="16"/>
          <w:sz w:val="22"/>
          <w:szCs w:val="22"/>
          <w:lang w:eastAsia="en-US"/>
          <w14:numForm w14:val="oldStyle"/>
          <w14:numSpacing w14:val="proportional"/>
        </w:rPr>
        <w:t>2</w:t>
      </w:r>
      <w:r>
        <w:rPr>
          <w:rFonts w:ascii="Palatino Linotype" w:hAnsi="Palatino Linotype" w:cs="Times New Roman (Headings CS)"/>
          <w:b/>
          <w:color w:val="000000"/>
          <w:spacing w:val="2"/>
          <w:kern w:val="16"/>
          <w:sz w:val="22"/>
          <w:szCs w:val="22"/>
          <w:lang w:eastAsia="en-US"/>
          <w14:numForm w14:val="oldStyle"/>
          <w14:numSpacing w14:val="proportional"/>
        </w:rPr>
        <w:t xml:space="preserve"> Interpretation of </w:t>
      </w:r>
      <w:r>
        <w:rPr>
          <w:rFonts w:ascii="Palatino Linotype" w:hAnsi="Palatino Linotype" w:cs="Times New Roman (Headings CS)"/>
          <w:b/>
          <w:color w:val="000000"/>
          <w:spacing w:val="2"/>
          <w:kern w:val="16"/>
          <w:sz w:val="22"/>
          <w:szCs w:val="22"/>
          <w:lang w:eastAsia="en-US"/>
          <w14:numForm w14:val="oldStyle"/>
          <w14:numSpacing w14:val="proportional"/>
        </w:rPr>
        <w:t>Usability Results</w:t>
      </w:r>
    </w:p>
    <w:p w14:paraId="7D5B7E1A" w14:textId="42B46D1F" w:rsidR="00D33402" w:rsidRDefault="00D33402" w:rsidP="00D33402">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The</w:t>
      </w:r>
      <w:r>
        <w:rPr>
          <w:rFonts w:ascii="Palatino Linotype" w:eastAsia="Times New Roman" w:hAnsi="Palatino Linotype" w:cs="Times New Roman"/>
          <w:spacing w:val="2"/>
          <w:kern w:val="16"/>
          <w:sz w:val="22"/>
          <w:szCs w:val="22"/>
          <w:lang w:eastAsia="en-US"/>
          <w14:numForm w14:val="oldStyle"/>
          <w14:numSpacing w14:val="proportional"/>
        </w:rPr>
        <w:t xml:space="preserve"> overall TAM mean of 3.96 out of 5 indicates that participants found the application both useful and accessible. The highest-rated items – willingness to recommend (4.19) and overall usefulness (4.12) – suggest the tool’s core value was recognized even after a brief session. The lower rating for whether the app helped participants better understand Mandarin tones (3.69) is unsurprising given the session’s brevity. The 3 native and heritage Mandarin speakers in the </w:t>
      </w:r>
      <w:r>
        <w:rPr>
          <w:rFonts w:ascii="Palatino Linotype" w:eastAsia="Times New Roman" w:hAnsi="Palatino Linotype" w:cs="Times New Roman"/>
          <w:spacing w:val="2"/>
          <w:kern w:val="16"/>
          <w:sz w:val="22"/>
          <w:szCs w:val="22"/>
          <w:lang w:eastAsia="en-US"/>
          <w14:numForm w14:val="oldStyle"/>
          <w14:numSpacing w14:val="proportional"/>
        </w:rPr>
        <w:lastRenderedPageBreak/>
        <w:t>sample encountered classifier errors outside the intended use case and likely depressed mean ratings; their inclusion should be weighed accordingly when interpreting the usability results.</w:t>
      </w:r>
    </w:p>
    <w:p w14:paraId="3AB27155" w14:textId="34C28A90" w:rsidR="00D33402" w:rsidRPr="0000628F" w:rsidRDefault="00D33402" w:rsidP="00D33402">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w:t>
      </w:r>
      <w:r>
        <w:rPr>
          <w:rFonts w:ascii="Palatino Linotype" w:hAnsi="Palatino Linotype" w:cs="Times New Roman (Headings CS)"/>
          <w:b/>
          <w:color w:val="000000"/>
          <w:spacing w:val="2"/>
          <w:kern w:val="16"/>
          <w:sz w:val="22"/>
          <w:szCs w:val="22"/>
          <w:lang w:eastAsia="en-US"/>
          <w14:numForm w14:val="oldStyle"/>
          <w14:numSpacing w14:val="proportional"/>
        </w:rPr>
        <w:t>3</w:t>
      </w:r>
      <w:r>
        <w:rPr>
          <w:rFonts w:ascii="Palatino Linotype" w:hAnsi="Palatino Linotype" w:cs="Times New Roman (Headings CS)"/>
          <w:b/>
          <w:color w:val="000000"/>
          <w:spacing w:val="2"/>
          <w:kern w:val="16"/>
          <w:sz w:val="22"/>
          <w:szCs w:val="22"/>
          <w:lang w:eastAsia="en-US"/>
          <w14:numForm w14:val="oldStyle"/>
          <w14:numSpacing w14:val="proportional"/>
        </w:rPr>
        <w:t xml:space="preserve"> </w:t>
      </w:r>
      <w:r>
        <w:rPr>
          <w:rFonts w:ascii="Palatino Linotype" w:hAnsi="Palatino Linotype" w:cs="Times New Roman (Headings CS)"/>
          <w:b/>
          <w:color w:val="000000"/>
          <w:spacing w:val="2"/>
          <w:kern w:val="16"/>
          <w:sz w:val="22"/>
          <w:szCs w:val="22"/>
          <w:lang w:eastAsia="en-US"/>
          <w14:numForm w14:val="oldStyle"/>
          <w14:numSpacing w14:val="proportional"/>
        </w:rPr>
        <w:t>Limitations and Future Directions</w:t>
      </w:r>
    </w:p>
    <w:p w14:paraId="1352B352" w14:textId="0666117F" w:rsidR="00D33402" w:rsidRDefault="00D33402" w:rsidP="00D33402">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w:t>
      </w:r>
      <w:r>
        <w:rPr>
          <w:rFonts w:ascii="Palatino Linotype" w:eastAsia="Times New Roman" w:hAnsi="Palatino Linotype" w:cs="Times New Roman"/>
          <w:spacing w:val="2"/>
          <w:kern w:val="16"/>
          <w:sz w:val="22"/>
          <w:szCs w:val="22"/>
          <w:lang w:eastAsia="en-US"/>
          <w14:numForm w14:val="oldStyle"/>
          <w14:numSpacing w14:val="proportional"/>
        </w:rPr>
        <w:t>study used a convenience sample with no control group, making it difficult to fully dissociate observed gains from test-retest learning effects or form difficulty differences. No delayed post-test was administered</w:t>
      </w:r>
      <w:r w:rsidR="00A0421D">
        <w:rPr>
          <w:rFonts w:ascii="Palatino Linotype" w:eastAsia="Times New Roman" w:hAnsi="Palatino Linotype" w:cs="Times New Roman"/>
          <w:spacing w:val="2"/>
          <w:kern w:val="16"/>
          <w:sz w:val="22"/>
          <w:szCs w:val="22"/>
          <w:lang w:eastAsia="en-US"/>
          <w14:numForm w14:val="oldStyle"/>
          <w14:numSpacing w14:val="proportional"/>
        </w:rPr>
        <w:t>, so retention effects remain unknown. Future work should employ a larger and more diverse participant pool, a matched control condition, and a longitudinal design with delayed post-testing. On the system side, reference audio playback, adaptive difficulty, and improved speaker normalization would directly address the most common usability concerns raised by participants.</w:t>
      </w:r>
    </w:p>
    <w:p w14:paraId="39577524" w14:textId="6F9721E1" w:rsidR="00A0421D" w:rsidRDefault="00A0421D" w:rsidP="00A0421D">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7</w:t>
      </w:r>
      <w:r>
        <w:rPr>
          <w:rFonts w:ascii="Palatino Linotype" w:hAnsi="Palatino Linotype" w:cs="Times New Roman (Headings CS)"/>
          <w:b/>
          <w:caps/>
          <w:color w:val="auto"/>
          <w:spacing w:val="13"/>
          <w:kern w:val="16"/>
          <w:sz w:val="22"/>
          <w:szCs w:val="48"/>
          <w:lang w:eastAsia="en-US"/>
          <w14:numForm w14:val="lining"/>
          <w14:numSpacing w14:val="tabular"/>
        </w:rPr>
        <w:t xml:space="preserve"> </w:t>
      </w:r>
      <w:proofErr w:type="gramStart"/>
      <w:r>
        <w:rPr>
          <w:rFonts w:ascii="Palatino Linotype" w:hAnsi="Palatino Linotype" w:cs="Times New Roman (Headings CS)"/>
          <w:b/>
          <w:caps/>
          <w:color w:val="auto"/>
          <w:spacing w:val="13"/>
          <w:kern w:val="16"/>
          <w:sz w:val="22"/>
          <w:szCs w:val="48"/>
          <w:lang w:eastAsia="en-US"/>
          <w14:numForm w14:val="lining"/>
          <w14:numSpacing w14:val="tabular"/>
        </w:rPr>
        <w:t>CONCLUSION</w:t>
      </w:r>
      <w:proofErr w:type="gramEnd"/>
    </w:p>
    <w:p w14:paraId="38B88620" w14:textId="50E5504F" w:rsidR="00A0421D" w:rsidRDefault="00A0421D" w:rsidP="00A0421D">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This paper presented Mandarin Tone Coach, a web-based computer-assisted</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pronunciation training system designed to help speakers of non-tonal languages</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develop perceptual and productive competence in the four Mandarin tones. The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system combined an SVM classifier trained on speaker-normalized pitch features</w:t>
      </w:r>
      <w:r>
        <w:rPr>
          <w:rFonts w:ascii="Palatino Linotype" w:eastAsia="Times New Roman" w:hAnsi="Palatino Linotype" w:cs="Times New Roman"/>
          <w:spacing w:val="2"/>
          <w:kern w:val="16"/>
          <w:sz w:val="22"/>
          <w:szCs w:val="22"/>
          <w:lang w:eastAsia="en-US"/>
          <w14:numForm w14:val="oldStyle"/>
          <w14:numSpacing w14:val="proportional"/>
        </w:rPr>
        <w:t xml:space="preserve"> - </w:t>
      </w:r>
      <w:r w:rsidRPr="00A0421D">
        <w:rPr>
          <w:rFonts w:ascii="Palatino Linotype" w:eastAsia="Times New Roman" w:hAnsi="Palatino Linotype" w:cs="Times New Roman"/>
          <w:spacing w:val="2"/>
          <w:kern w:val="16"/>
          <w:sz w:val="22"/>
          <w:szCs w:val="22"/>
          <w:lang w:eastAsia="en-US"/>
          <w14:numForm w14:val="oldStyle"/>
          <w14:numSpacing w14:val="proportional"/>
        </w:rPr>
        <w:t>achieving 91.95% speaker-independent accuracy</w:t>
      </w:r>
      <w:r>
        <w:rPr>
          <w:rFonts w:ascii="Palatino Linotype" w:eastAsia="Times New Roman" w:hAnsi="Palatino Linotype" w:cs="Times New Roman"/>
          <w:spacing w:val="2"/>
          <w:kern w:val="16"/>
          <w:sz w:val="22"/>
          <w:szCs w:val="22"/>
          <w:lang w:eastAsia="en-US"/>
          <w14:numForm w14:val="oldStyle"/>
          <w14:numSpacing w14:val="proportional"/>
        </w:rPr>
        <w:t xml:space="preserve"> - </w:t>
      </w:r>
      <w:r w:rsidRPr="00A0421D">
        <w:rPr>
          <w:rFonts w:ascii="Palatino Linotype" w:eastAsia="Times New Roman" w:hAnsi="Palatino Linotype" w:cs="Times New Roman"/>
          <w:spacing w:val="2"/>
          <w:kern w:val="16"/>
          <w:sz w:val="22"/>
          <w:szCs w:val="22"/>
          <w:lang w:eastAsia="en-US"/>
          <w14:numForm w14:val="oldStyle"/>
          <w14:numSpacing w14:val="proportional"/>
        </w:rPr>
        <w:t>with real-time pitch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contour visualization and tone-pair-specific corrective feedback, deploye</w:t>
      </w:r>
      <w:r>
        <w:rPr>
          <w:rFonts w:ascii="Palatino Linotype" w:eastAsia="Times New Roman" w:hAnsi="Palatino Linotype" w:cs="Times New Roman"/>
          <w:spacing w:val="2"/>
          <w:kern w:val="16"/>
          <w:sz w:val="22"/>
          <w:szCs w:val="22"/>
          <w:lang w:eastAsia="en-US"/>
          <w14:numForm w14:val="oldStyle"/>
          <w14:numSpacing w14:val="proportional"/>
        </w:rPr>
        <w:t xml:space="preserve">d </w:t>
      </w:r>
      <w:r w:rsidRPr="00A0421D">
        <w:rPr>
          <w:rFonts w:ascii="Palatino Linotype" w:eastAsia="Times New Roman" w:hAnsi="Palatino Linotype" w:cs="Times New Roman"/>
          <w:spacing w:val="2"/>
          <w:kern w:val="16"/>
          <w:sz w:val="22"/>
          <w:szCs w:val="22"/>
          <w:lang w:eastAsia="en-US"/>
          <w14:numForm w14:val="oldStyle"/>
          <w14:numSpacing w14:val="proportional"/>
        </w:rPr>
        <w:t>across monosyllabic and disyllabic practice modes.</w:t>
      </w:r>
    </w:p>
    <w:p w14:paraId="20B678E1" w14:textId="014BC63D" w:rsidR="00A0421D" w:rsidRDefault="00A0421D" w:rsidP="00A0421D">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A pilot study with thirteen paired participants found a mean improvement of</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10.3</w:t>
      </w:r>
      <w:r>
        <w:rPr>
          <w:rFonts w:ascii="Palatino Linotype" w:eastAsia="Times New Roman" w:hAnsi="Palatino Linotype" w:cs="Times New Roman"/>
          <w:spacing w:val="2"/>
          <w:kern w:val="16"/>
          <w:sz w:val="22"/>
          <w:szCs w:val="22"/>
          <w:lang w:eastAsia="en-US"/>
          <w14:numForm w14:val="oldStyle"/>
          <w14:numSpacing w14:val="proportional"/>
        </w:rPr>
        <w:t>%</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in tone perception accuracy following a single practice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session, with the largest gains observed in Tone 3, the contour most</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challenging for non-tonal language learners. Although the result did not reach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statistical significance at the current sample size, the direction and</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magnitude of the effect are consistent with prior CAPT research. Usability</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ratings averaged 3.96 out of 5 across </w:t>
      </w:r>
      <w:r>
        <w:rPr>
          <w:rFonts w:ascii="Palatino Linotype" w:eastAsia="Times New Roman" w:hAnsi="Palatino Linotype" w:cs="Times New Roman"/>
          <w:spacing w:val="2"/>
          <w:kern w:val="16"/>
          <w:sz w:val="22"/>
          <w:szCs w:val="22"/>
          <w:lang w:eastAsia="en-US"/>
          <w14:numForm w14:val="oldStyle"/>
          <w14:numSpacing w14:val="proportional"/>
        </w:rPr>
        <w:t>16</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survey respondents, with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participants particularly endorsing the app's overall usefulness and the pitch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contour visualization as a learning tool.</w:t>
      </w:r>
    </w:p>
    <w:p w14:paraId="551F5310" w14:textId="2DC26694" w:rsidR="00802AF3" w:rsidRDefault="00A0421D" w:rsidP="00802AF3">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These findings suggest that lightweight, browser-based CAPT tools can produce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meaningful perceptual gains with minimal instructional </w:t>
      </w:r>
      <w:proofErr w:type="gramStart"/>
      <w:r w:rsidRPr="00A0421D">
        <w:rPr>
          <w:rFonts w:ascii="Palatino Linotype" w:eastAsia="Times New Roman" w:hAnsi="Palatino Linotype" w:cs="Times New Roman"/>
          <w:spacing w:val="2"/>
          <w:kern w:val="16"/>
          <w:sz w:val="22"/>
          <w:szCs w:val="22"/>
          <w:lang w:eastAsia="en-US"/>
          <w14:numForm w14:val="oldStyle"/>
          <w14:numSpacing w14:val="proportional"/>
        </w:rPr>
        <w:t>overhead, and</w:t>
      </w:r>
      <w:proofErr w:type="gramEnd"/>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provide a</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foundation for future work exploring larger-scale deployment, longitudinal</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retention, and adaptive feedback mechanisms.</w:t>
      </w:r>
    </w:p>
    <w:p w14:paraId="6ABEADDE" w14:textId="20878C99" w:rsidR="00802AF3" w:rsidRPr="00802AF3" w:rsidRDefault="00802AF3" w:rsidP="00802AF3">
      <w:pPr>
        <w:pStyle w:val="Heading4"/>
        <w:rPr>
          <w:rFonts w:ascii="Palatino Linotype" w:hAnsi="Palatino Linotype"/>
          <w:b/>
          <w:bCs/>
          <w:i w:val="0"/>
          <w:iCs w:val="0"/>
          <w:color w:val="auto"/>
        </w:rPr>
      </w:pPr>
      <w:r w:rsidRPr="00802AF3">
        <w:rPr>
          <w:rFonts w:ascii="Palatino Linotype" w:hAnsi="Palatino Linotype"/>
          <w:b/>
          <w:bCs/>
          <w:i w:val="0"/>
          <w:iCs w:val="0"/>
          <w:color w:val="auto"/>
        </w:rPr>
        <w:lastRenderedPageBreak/>
        <w:t xml:space="preserve">7 </w:t>
      </w:r>
      <w:r w:rsidRPr="00802AF3">
        <w:rPr>
          <w:rFonts w:ascii="Palatino Linotype" w:hAnsi="Palatino Linotype"/>
          <w:b/>
          <w:bCs/>
          <w:i w:val="0"/>
          <w:iCs w:val="0"/>
          <w:color w:val="auto"/>
        </w:rPr>
        <w:t>REFERENCES</w:t>
      </w:r>
    </w:p>
    <w:p w14:paraId="302102CE"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proofErr w:type="spellStart"/>
      <w:r w:rsidRPr="006A3EBC">
        <w:rPr>
          <w:rFonts w:ascii="Palatino Linotype" w:hAnsi="Palatino Linotype"/>
        </w:rPr>
        <w:t>Amrate</w:t>
      </w:r>
      <w:proofErr w:type="spellEnd"/>
      <w:r w:rsidRPr="006A3EBC">
        <w:rPr>
          <w:rFonts w:ascii="Palatino Linotype" w:hAnsi="Palatino Linotype"/>
        </w:rPr>
        <w:t xml:space="preserve">, M., &amp; Tsai, P. (2025). Computer-assisted pronunciation training: A systematic review. </w:t>
      </w:r>
      <w:proofErr w:type="spellStart"/>
      <w:r w:rsidRPr="006A3EBC">
        <w:rPr>
          <w:rFonts w:ascii="Palatino Linotype" w:hAnsi="Palatino Linotype"/>
          <w:i/>
          <w:iCs/>
        </w:rPr>
        <w:t>ReCALL</w:t>
      </w:r>
      <w:proofErr w:type="spellEnd"/>
      <w:r w:rsidRPr="006A3EBC">
        <w:rPr>
          <w:rFonts w:ascii="Palatino Linotype" w:hAnsi="Palatino Linotype"/>
          <w:i/>
          <w:iCs/>
        </w:rPr>
        <w:t>, 37</w:t>
      </w:r>
      <w:r w:rsidRPr="006A3EBC">
        <w:rPr>
          <w:rFonts w:ascii="Palatino Linotype" w:hAnsi="Palatino Linotype"/>
        </w:rPr>
        <w:t>(1), 22–42.</w:t>
      </w:r>
      <w:hyperlink r:id="rId8">
        <w:r w:rsidRPr="006A3EBC">
          <w:rPr>
            <w:rFonts w:ascii="Palatino Linotype" w:hAnsi="Palatino Linotype"/>
          </w:rPr>
          <w:t xml:space="preserve"> </w:t>
        </w:r>
      </w:hyperlink>
      <w:hyperlink r:id="rId9">
        <w:r w:rsidRPr="006A3EBC">
          <w:rPr>
            <w:rFonts w:ascii="Palatino Linotype" w:hAnsi="Palatino Linotype"/>
            <w:color w:val="1155CC"/>
            <w:u w:val="single"/>
          </w:rPr>
          <w:t>https://doi.org/10.1017/S0958344024000181</w:t>
        </w:r>
      </w:hyperlink>
    </w:p>
    <w:p w14:paraId="7D75548D"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Bu, X., Guo, W., Yang, H., et al. (2025). Evaluating Mandarin tone pronunciation accuracy for second language learners using a </w:t>
      </w:r>
      <w:proofErr w:type="spellStart"/>
      <w:r w:rsidRPr="006A3EBC">
        <w:rPr>
          <w:rFonts w:ascii="Palatino Linotype" w:hAnsi="Palatino Linotype"/>
        </w:rPr>
        <w:t>ResNet</w:t>
      </w:r>
      <w:proofErr w:type="spellEnd"/>
      <w:r w:rsidRPr="006A3EBC">
        <w:rPr>
          <w:rFonts w:ascii="Palatino Linotype" w:hAnsi="Palatino Linotype"/>
        </w:rPr>
        <w:t xml:space="preserve">-based Siamese network. </w:t>
      </w:r>
      <w:r w:rsidRPr="006A3EBC">
        <w:rPr>
          <w:rFonts w:ascii="Palatino Linotype" w:hAnsi="Palatino Linotype"/>
          <w:i/>
          <w:iCs/>
        </w:rPr>
        <w:t>Scientific Reports, 15</w:t>
      </w:r>
      <w:r w:rsidRPr="006A3EBC">
        <w:rPr>
          <w:rFonts w:ascii="Palatino Linotype" w:hAnsi="Palatino Linotype"/>
        </w:rPr>
        <w:t>, Article 24558.</w:t>
      </w:r>
      <w:hyperlink r:id="rId10">
        <w:r w:rsidRPr="006A3EBC">
          <w:rPr>
            <w:rFonts w:ascii="Palatino Linotype" w:hAnsi="Palatino Linotype"/>
          </w:rPr>
          <w:t xml:space="preserve"> </w:t>
        </w:r>
      </w:hyperlink>
      <w:hyperlink r:id="rId11">
        <w:r w:rsidRPr="006A3EBC">
          <w:rPr>
            <w:rFonts w:ascii="Palatino Linotype" w:hAnsi="Palatino Linotype"/>
            <w:color w:val="1155CC"/>
            <w:u w:val="single"/>
          </w:rPr>
          <w:t>https://doi.org/10.1038/s41598-025-08544-8</w:t>
        </w:r>
      </w:hyperlink>
    </w:p>
    <w:p w14:paraId="19399C83"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Chen, M. (2024). Computer-aided feedback on the pronunciation of Mandarin Chinese tones: Using </w:t>
      </w:r>
      <w:proofErr w:type="spellStart"/>
      <w:r w:rsidRPr="006A3EBC">
        <w:rPr>
          <w:rFonts w:ascii="Palatino Linotype" w:hAnsi="Palatino Linotype"/>
        </w:rPr>
        <w:t>Praat</w:t>
      </w:r>
      <w:proofErr w:type="spellEnd"/>
      <w:r w:rsidRPr="006A3EBC">
        <w:rPr>
          <w:rFonts w:ascii="Palatino Linotype" w:hAnsi="Palatino Linotype"/>
        </w:rPr>
        <w:t xml:space="preserve"> to promote multimedia foreign language learning. </w:t>
      </w:r>
      <w:r w:rsidRPr="006A3EBC">
        <w:rPr>
          <w:rFonts w:ascii="Palatino Linotype" w:hAnsi="Palatino Linotype"/>
          <w:i/>
          <w:iCs/>
        </w:rPr>
        <w:t>Computer Assisted Language Learning, 37</w:t>
      </w:r>
      <w:r w:rsidRPr="006A3EBC">
        <w:rPr>
          <w:rFonts w:ascii="Palatino Linotype" w:hAnsi="Palatino Linotype"/>
        </w:rPr>
        <w:t>(3), 363–388.</w:t>
      </w:r>
      <w:hyperlink r:id="rId12">
        <w:r w:rsidRPr="006A3EBC">
          <w:rPr>
            <w:rFonts w:ascii="Palatino Linotype" w:hAnsi="Palatino Linotype"/>
          </w:rPr>
          <w:t xml:space="preserve"> </w:t>
        </w:r>
      </w:hyperlink>
      <w:hyperlink r:id="rId13">
        <w:r w:rsidRPr="006A3EBC">
          <w:rPr>
            <w:rFonts w:ascii="Palatino Linotype" w:hAnsi="Palatino Linotype"/>
            <w:color w:val="1155CC"/>
            <w:u w:val="single"/>
          </w:rPr>
          <w:t>https://doi.org/10.1080/09588221.2022.2037652</w:t>
        </w:r>
      </w:hyperlink>
    </w:p>
    <w:p w14:paraId="523607A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Chun, D. M., Jiang, Y., &amp; Ávila, N. (2013). Visualization of tone for learning Mandarin Chinese. In J. Levis &amp; K. LeVelle (Eds.), </w:t>
      </w:r>
      <w:r w:rsidRPr="006A3EBC">
        <w:rPr>
          <w:rFonts w:ascii="Palatino Linotype" w:hAnsi="Palatino Linotype"/>
          <w:i/>
          <w:iCs/>
        </w:rPr>
        <w:t>Proceedings of the 4th Pronunciation in Second Language Learning and Teaching Conference</w:t>
      </w:r>
      <w:r w:rsidRPr="006A3EBC">
        <w:rPr>
          <w:rFonts w:ascii="Palatino Linotype" w:hAnsi="Palatino Linotype"/>
        </w:rPr>
        <w:t xml:space="preserve"> (pp. 77–89). Iowa State University.</w:t>
      </w:r>
    </w:p>
    <w:p w14:paraId="7DD0AF77"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Davis, F. D. (1989). Perceived usefulness, perceived ease of use, and user acceptance of information technology. </w:t>
      </w:r>
      <w:r w:rsidRPr="006A3EBC">
        <w:rPr>
          <w:rFonts w:ascii="Palatino Linotype" w:hAnsi="Palatino Linotype"/>
          <w:i/>
          <w:iCs/>
        </w:rPr>
        <w:t>MIS Quarterly, 13</w:t>
      </w:r>
      <w:r w:rsidRPr="006A3EBC">
        <w:rPr>
          <w:rFonts w:ascii="Palatino Linotype" w:hAnsi="Palatino Linotype"/>
        </w:rPr>
        <w:t>(3), 319–340.</w:t>
      </w:r>
    </w:p>
    <w:p w14:paraId="49E8569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Farran, B. M., &amp; Morett, L. M. (2024). Multimodal cues in L2 lexical tone acquisition: Current research and future directions. </w:t>
      </w:r>
      <w:r w:rsidRPr="006A3EBC">
        <w:rPr>
          <w:rFonts w:ascii="Palatino Linotype" w:hAnsi="Palatino Linotype"/>
          <w:i/>
          <w:iCs/>
        </w:rPr>
        <w:t>Frontiers in Education, 9</w:t>
      </w:r>
      <w:r w:rsidRPr="006A3EBC">
        <w:rPr>
          <w:rFonts w:ascii="Palatino Linotype" w:hAnsi="Palatino Linotype"/>
        </w:rPr>
        <w:t>, Article 1410795.</w:t>
      </w:r>
      <w:hyperlink r:id="rId14">
        <w:r w:rsidRPr="006A3EBC">
          <w:rPr>
            <w:rFonts w:ascii="Palatino Linotype" w:hAnsi="Palatino Linotype"/>
          </w:rPr>
          <w:t xml:space="preserve"> </w:t>
        </w:r>
      </w:hyperlink>
      <w:hyperlink r:id="rId15">
        <w:r w:rsidRPr="006A3EBC">
          <w:rPr>
            <w:rFonts w:ascii="Palatino Linotype" w:hAnsi="Palatino Linotype"/>
            <w:color w:val="1155CC"/>
            <w:u w:val="single"/>
          </w:rPr>
          <w:t>https://doi.org/10.3389/feduc.2024.1410795</w:t>
        </w:r>
      </w:hyperlink>
    </w:p>
    <w:p w14:paraId="714F1AD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Gan, Z., &amp; Wei, W. (2025). Mispronunciation detection of Mandarin pronunciation errors in Tibetan students based on BIDFSMN. In </w:t>
      </w:r>
      <w:r w:rsidRPr="006A3EBC">
        <w:rPr>
          <w:rFonts w:ascii="Palatino Linotype" w:hAnsi="Palatino Linotype"/>
          <w:i/>
          <w:iCs/>
        </w:rPr>
        <w:t>Proceedings of the 2024 2nd International Conference on Information Education and Artificial Intelligence (ICIEAI '24)</w:t>
      </w:r>
      <w:r w:rsidRPr="006A3EBC">
        <w:rPr>
          <w:rFonts w:ascii="Palatino Linotype" w:hAnsi="Palatino Linotype"/>
        </w:rPr>
        <w:t xml:space="preserve"> (pp. 218–222). Association for Computing Machinery.</w:t>
      </w:r>
      <w:hyperlink r:id="rId16">
        <w:r w:rsidRPr="006A3EBC">
          <w:rPr>
            <w:rFonts w:ascii="Palatino Linotype" w:hAnsi="Palatino Linotype"/>
          </w:rPr>
          <w:t xml:space="preserve"> </w:t>
        </w:r>
      </w:hyperlink>
      <w:hyperlink r:id="rId17">
        <w:r w:rsidRPr="006A3EBC">
          <w:rPr>
            <w:rFonts w:ascii="Palatino Linotype" w:hAnsi="Palatino Linotype"/>
            <w:color w:val="1155CC"/>
            <w:u w:val="single"/>
          </w:rPr>
          <w:t>https://doi.org/10.1145/3724504.3724542</w:t>
        </w:r>
      </w:hyperlink>
    </w:p>
    <w:p w14:paraId="02C5ECEC"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proofErr w:type="spellStart"/>
      <w:r w:rsidRPr="006A3EBC">
        <w:rPr>
          <w:rFonts w:ascii="Palatino Linotype" w:hAnsi="Palatino Linotype"/>
        </w:rPr>
        <w:t>Godfroid</w:t>
      </w:r>
      <w:proofErr w:type="spellEnd"/>
      <w:r w:rsidRPr="006A3EBC">
        <w:rPr>
          <w:rFonts w:ascii="Palatino Linotype" w:hAnsi="Palatino Linotype"/>
        </w:rPr>
        <w:t xml:space="preserve">, A., Lin, C.-H., &amp; Ryu, C. (2017). Hearing and seeing tone through color: An efficacy study of web-based, multimodal Chinese tone perception training. </w:t>
      </w:r>
      <w:r w:rsidRPr="006A3EBC">
        <w:rPr>
          <w:rFonts w:ascii="Palatino Linotype" w:hAnsi="Palatino Linotype"/>
          <w:i/>
          <w:iCs/>
        </w:rPr>
        <w:t>Language Learning, 67</w:t>
      </w:r>
      <w:r w:rsidRPr="006A3EBC">
        <w:rPr>
          <w:rFonts w:ascii="Palatino Linotype" w:hAnsi="Palatino Linotype"/>
        </w:rPr>
        <w:t>(4), 819–857.</w:t>
      </w:r>
      <w:hyperlink r:id="rId18">
        <w:r w:rsidRPr="006A3EBC">
          <w:rPr>
            <w:rFonts w:ascii="Palatino Linotype" w:hAnsi="Palatino Linotype"/>
          </w:rPr>
          <w:t xml:space="preserve"> </w:t>
        </w:r>
      </w:hyperlink>
      <w:hyperlink r:id="rId19">
        <w:r w:rsidRPr="006A3EBC">
          <w:rPr>
            <w:rFonts w:ascii="Palatino Linotype" w:hAnsi="Palatino Linotype"/>
            <w:color w:val="1155CC"/>
            <w:u w:val="single"/>
          </w:rPr>
          <w:t>https://doi.org/10.1111/lang.12246</w:t>
        </w:r>
      </w:hyperlink>
    </w:p>
    <w:p w14:paraId="7E1ED76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Guo, T., Wen, C., Zhang, Z., Hu, Y., Chen, J., Huang, Z., &amp; Li, X. (2021). </w:t>
      </w:r>
      <w:proofErr w:type="spellStart"/>
      <w:r w:rsidRPr="006A3EBC">
        <w:rPr>
          <w:rFonts w:ascii="Palatino Linotype" w:hAnsi="Palatino Linotype"/>
        </w:rPr>
        <w:t>DiDiSpeech</w:t>
      </w:r>
      <w:proofErr w:type="spellEnd"/>
      <w:r w:rsidRPr="006A3EBC">
        <w:rPr>
          <w:rFonts w:ascii="Palatino Linotype" w:hAnsi="Palatino Linotype"/>
        </w:rPr>
        <w:t xml:space="preserve">: A large-scale Mandarin speech corpus. In </w:t>
      </w:r>
      <w:r w:rsidRPr="006A3EBC">
        <w:rPr>
          <w:rFonts w:ascii="Palatino Linotype" w:hAnsi="Palatino Linotype"/>
          <w:i/>
          <w:iCs/>
        </w:rPr>
        <w:t xml:space="preserve">Proceedings of the </w:t>
      </w:r>
      <w:r w:rsidRPr="006A3EBC">
        <w:rPr>
          <w:rFonts w:ascii="Palatino Linotype" w:hAnsi="Palatino Linotype"/>
          <w:i/>
          <w:iCs/>
        </w:rPr>
        <w:lastRenderedPageBreak/>
        <w:t>IEEE International Conference on Acoustics, Speech and Signal Processing (ICASSP 2021)</w:t>
      </w:r>
      <w:r w:rsidRPr="006A3EBC">
        <w:rPr>
          <w:rFonts w:ascii="Palatino Linotype" w:hAnsi="Palatino Linotype"/>
        </w:rPr>
        <w:t xml:space="preserve"> (pp. 6968–6972). IEEE.</w:t>
      </w:r>
      <w:hyperlink r:id="rId20">
        <w:r w:rsidRPr="006A3EBC">
          <w:rPr>
            <w:rFonts w:ascii="Palatino Linotype" w:hAnsi="Palatino Linotype"/>
          </w:rPr>
          <w:t xml:space="preserve"> </w:t>
        </w:r>
      </w:hyperlink>
      <w:hyperlink r:id="rId21">
        <w:r w:rsidRPr="006A3EBC">
          <w:rPr>
            <w:rFonts w:ascii="Palatino Linotype" w:hAnsi="Palatino Linotype"/>
            <w:color w:val="1155CC"/>
            <w:u w:val="single"/>
          </w:rPr>
          <w:t>https://doi.org/10.1109/ICASSP39728.2021.9414423</w:t>
        </w:r>
      </w:hyperlink>
    </w:p>
    <w:p w14:paraId="003A50B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Hao, Y.-C. (2014). The application of the speech learning model to the L2 acquisition of Mandarin tones. In </w:t>
      </w:r>
      <w:r w:rsidRPr="006A3EBC">
        <w:rPr>
          <w:rFonts w:ascii="Palatino Linotype" w:hAnsi="Palatino Linotype"/>
          <w:i/>
          <w:iCs/>
        </w:rPr>
        <w:t>Proceedings of the 4th International Symposium on Tonal Aspects of Languages (TAL 2014)</w:t>
      </w:r>
      <w:r w:rsidRPr="006A3EBC">
        <w:rPr>
          <w:rFonts w:ascii="Palatino Linotype" w:hAnsi="Palatino Linotype"/>
        </w:rPr>
        <w:t xml:space="preserve"> (pp. 67–70).</w:t>
      </w:r>
    </w:p>
    <w:p w14:paraId="5836E27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Li, W., Chen, N. F., Siniscalchi, S. M., &amp; Lee, C.-H. (2019). Improving mispronunciation detection of Mandarin tones for non-native learners with soft-target tone labels and BLSTM-based deep tone models. </w:t>
      </w:r>
      <w:r w:rsidRPr="006A3EBC">
        <w:rPr>
          <w:rFonts w:ascii="Palatino Linotype" w:hAnsi="Palatino Linotype"/>
          <w:i/>
          <w:iCs/>
        </w:rPr>
        <w:t>IEEE/ACM Transactions on Audio, Speech, and Language Processing, 27</w:t>
      </w:r>
      <w:r w:rsidRPr="006A3EBC">
        <w:rPr>
          <w:rFonts w:ascii="Palatino Linotype" w:hAnsi="Palatino Linotype"/>
        </w:rPr>
        <w:t>(12), 2012–2024.</w:t>
      </w:r>
      <w:hyperlink r:id="rId22">
        <w:r w:rsidRPr="006A3EBC">
          <w:rPr>
            <w:rFonts w:ascii="Palatino Linotype" w:hAnsi="Palatino Linotype"/>
          </w:rPr>
          <w:t xml:space="preserve"> </w:t>
        </w:r>
      </w:hyperlink>
      <w:hyperlink r:id="rId23">
        <w:r w:rsidRPr="006A3EBC">
          <w:rPr>
            <w:rFonts w:ascii="Palatino Linotype" w:hAnsi="Palatino Linotype"/>
            <w:color w:val="1155CC"/>
            <w:u w:val="single"/>
          </w:rPr>
          <w:t>https://doi.org/10.1109/TASLP.2019.2936755</w:t>
        </w:r>
      </w:hyperlink>
    </w:p>
    <w:p w14:paraId="4C9B616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Liu, D., Chen, Z., Zhu, W., Jia, G., &amp; Zhou, R. (2025). The effects of tones and time pressure on the user experience of voice input on mobile devices for Mandarin Chinese: An experimental study. </w:t>
      </w:r>
      <w:proofErr w:type="spellStart"/>
      <w:r w:rsidRPr="006A3EBC">
        <w:rPr>
          <w:rFonts w:ascii="Palatino Linotype" w:hAnsi="Palatino Linotype"/>
          <w:i/>
          <w:iCs/>
        </w:rPr>
        <w:t>Behaviour</w:t>
      </w:r>
      <w:proofErr w:type="spellEnd"/>
      <w:r w:rsidRPr="006A3EBC">
        <w:rPr>
          <w:rFonts w:ascii="Palatino Linotype" w:hAnsi="Palatino Linotype"/>
          <w:i/>
          <w:iCs/>
        </w:rPr>
        <w:t xml:space="preserve"> &amp; Information Technology, 44</w:t>
      </w:r>
      <w:r w:rsidRPr="006A3EBC">
        <w:rPr>
          <w:rFonts w:ascii="Palatino Linotype" w:hAnsi="Palatino Linotype"/>
        </w:rPr>
        <w:t>(2), 337–356.</w:t>
      </w:r>
      <w:hyperlink r:id="rId24">
        <w:r w:rsidRPr="006A3EBC">
          <w:rPr>
            <w:rFonts w:ascii="Palatino Linotype" w:hAnsi="Palatino Linotype"/>
          </w:rPr>
          <w:t xml:space="preserve"> </w:t>
        </w:r>
      </w:hyperlink>
      <w:hyperlink r:id="rId25">
        <w:r w:rsidRPr="006A3EBC">
          <w:rPr>
            <w:rFonts w:ascii="Palatino Linotype" w:hAnsi="Palatino Linotype"/>
            <w:color w:val="1155CC"/>
            <w:u w:val="single"/>
          </w:rPr>
          <w:t>https://doi.org/10.1080/0144929X.2024.2317372</w:t>
        </w:r>
      </w:hyperlink>
    </w:p>
    <w:p w14:paraId="7FF470AD"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Long, M. (1996). The role of the linguistic environment in second language acquisition. In W. C. Ritchie &amp; T. K. Bhatia (Eds.), </w:t>
      </w:r>
      <w:r w:rsidRPr="006A3EBC">
        <w:rPr>
          <w:rFonts w:ascii="Palatino Linotype" w:hAnsi="Palatino Linotype"/>
          <w:i/>
          <w:iCs/>
        </w:rPr>
        <w:t>Handbook of second language acquisition</w:t>
      </w:r>
      <w:r w:rsidRPr="006A3EBC">
        <w:rPr>
          <w:rFonts w:ascii="Palatino Linotype" w:hAnsi="Palatino Linotype"/>
        </w:rPr>
        <w:t xml:space="preserve"> (pp. 413–468). Academic Press.</w:t>
      </w:r>
    </w:p>
    <w:p w14:paraId="5F9388E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Meng, H., Chen, C.-T., Chen, Y., Liu, Z., &amp; Xu, Y. (2023). Mandarin tone production can be learned under perceptual guidance: A machine learning simulation. In </w:t>
      </w:r>
      <w:r w:rsidRPr="006A3EBC">
        <w:rPr>
          <w:rFonts w:ascii="Palatino Linotype" w:hAnsi="Palatino Linotype"/>
          <w:i/>
          <w:iCs/>
        </w:rPr>
        <w:t>Proceedings of the 20th International Congress of Phonetic Sciences (</w:t>
      </w:r>
      <w:proofErr w:type="spellStart"/>
      <w:r w:rsidRPr="006A3EBC">
        <w:rPr>
          <w:rFonts w:ascii="Palatino Linotype" w:hAnsi="Palatino Linotype"/>
          <w:i/>
          <w:iCs/>
        </w:rPr>
        <w:t>ICPhS</w:t>
      </w:r>
      <w:proofErr w:type="spellEnd"/>
      <w:r w:rsidRPr="006A3EBC">
        <w:rPr>
          <w:rFonts w:ascii="Palatino Linotype" w:hAnsi="Palatino Linotype"/>
          <w:i/>
          <w:iCs/>
        </w:rPr>
        <w:t xml:space="preserve"> 2023)</w:t>
      </w:r>
      <w:r w:rsidRPr="006A3EBC">
        <w:rPr>
          <w:rFonts w:ascii="Palatino Linotype" w:hAnsi="Palatino Linotype"/>
        </w:rPr>
        <w:t>. International Phonetic Association.</w:t>
      </w:r>
    </w:p>
    <w:p w14:paraId="39F7905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Nielsen, J. (1994). Enhancing the explanatory power of usability heuristics. In </w:t>
      </w:r>
      <w:r w:rsidRPr="006A3EBC">
        <w:rPr>
          <w:rFonts w:ascii="Palatino Linotype" w:hAnsi="Palatino Linotype"/>
          <w:i/>
          <w:iCs/>
        </w:rPr>
        <w:t>Proceedings of the SIGCHI Conference on Human Factors in Computing Systems (CHI '94)</w:t>
      </w:r>
      <w:r w:rsidRPr="006A3EBC">
        <w:rPr>
          <w:rFonts w:ascii="Palatino Linotype" w:hAnsi="Palatino Linotype"/>
        </w:rPr>
        <w:t xml:space="preserve"> (pp. 152–158). Association for Computing Machinery.</w:t>
      </w:r>
      <w:hyperlink r:id="rId26">
        <w:r w:rsidRPr="006A3EBC">
          <w:rPr>
            <w:rFonts w:ascii="Palatino Linotype" w:hAnsi="Palatino Linotype"/>
          </w:rPr>
          <w:t xml:space="preserve"> </w:t>
        </w:r>
      </w:hyperlink>
      <w:hyperlink r:id="rId27">
        <w:r w:rsidRPr="006A3EBC">
          <w:rPr>
            <w:rFonts w:ascii="Palatino Linotype" w:hAnsi="Palatino Linotype"/>
            <w:color w:val="1155CC"/>
            <w:u w:val="single"/>
          </w:rPr>
          <w:t>https://doi.org/10.1145/191666.191729</w:t>
        </w:r>
      </w:hyperlink>
    </w:p>
    <w:p w14:paraId="6968F03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Qin, Z., &amp; Wang, Y. (2014). A computer-aided Chinese pronunciation training program for English-speaking learners. In </w:t>
      </w:r>
      <w:r w:rsidRPr="006A3EBC">
        <w:rPr>
          <w:rFonts w:ascii="Palatino Linotype" w:hAnsi="Palatino Linotype"/>
          <w:i/>
          <w:iCs/>
        </w:rPr>
        <w:t>Proceedings of the 2014 International Conference on Asian Language Processing (IALP)</w:t>
      </w:r>
      <w:r w:rsidRPr="006A3EBC">
        <w:rPr>
          <w:rFonts w:ascii="Palatino Linotype" w:hAnsi="Palatino Linotype"/>
        </w:rPr>
        <w:t xml:space="preserve"> (pp. 1–4). IEEE.</w:t>
      </w:r>
      <w:hyperlink r:id="rId28">
        <w:r w:rsidRPr="006A3EBC">
          <w:rPr>
            <w:rFonts w:ascii="Palatino Linotype" w:hAnsi="Palatino Linotype"/>
          </w:rPr>
          <w:t xml:space="preserve"> </w:t>
        </w:r>
      </w:hyperlink>
      <w:hyperlink r:id="rId29">
        <w:r w:rsidRPr="006A3EBC">
          <w:rPr>
            <w:rFonts w:ascii="Palatino Linotype" w:hAnsi="Palatino Linotype"/>
            <w:color w:val="1155CC"/>
            <w:u w:val="single"/>
          </w:rPr>
          <w:t>https://doi.org/10.1109/ialp.2014.6973499</w:t>
        </w:r>
      </w:hyperlink>
    </w:p>
    <w:p w14:paraId="79D50217"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lastRenderedPageBreak/>
        <w:t xml:space="preserve">Rogerson-Revell, P. M. (2021). Computer-assisted pronunciation training (CAPT): Current issues and future directions. </w:t>
      </w:r>
      <w:r w:rsidRPr="006A3EBC">
        <w:rPr>
          <w:rFonts w:ascii="Palatino Linotype" w:hAnsi="Palatino Linotype"/>
          <w:i/>
          <w:iCs/>
        </w:rPr>
        <w:t>RELC Journal, 52</w:t>
      </w:r>
      <w:r w:rsidRPr="006A3EBC">
        <w:rPr>
          <w:rFonts w:ascii="Palatino Linotype" w:hAnsi="Palatino Linotype"/>
        </w:rPr>
        <w:t>(1), 189–205.</w:t>
      </w:r>
      <w:hyperlink r:id="rId30">
        <w:r w:rsidRPr="006A3EBC">
          <w:rPr>
            <w:rFonts w:ascii="Palatino Linotype" w:hAnsi="Palatino Linotype"/>
          </w:rPr>
          <w:t xml:space="preserve"> </w:t>
        </w:r>
      </w:hyperlink>
      <w:hyperlink r:id="rId31">
        <w:r w:rsidRPr="006A3EBC">
          <w:rPr>
            <w:rFonts w:ascii="Palatino Linotype" w:hAnsi="Palatino Linotype"/>
            <w:color w:val="1155CC"/>
            <w:u w:val="single"/>
          </w:rPr>
          <w:t>https://doi.org/10.1177/0033688220977406</w:t>
        </w:r>
      </w:hyperlink>
    </w:p>
    <w:p w14:paraId="7BBE1374"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Schmidt, R. (1990). The role of consciousness in second language learning. </w:t>
      </w:r>
      <w:r w:rsidRPr="006A3EBC">
        <w:rPr>
          <w:rFonts w:ascii="Palatino Linotype" w:hAnsi="Palatino Linotype"/>
          <w:i/>
          <w:iCs/>
        </w:rPr>
        <w:t>Applied Linguistics, 11</w:t>
      </w:r>
      <w:r w:rsidRPr="006A3EBC">
        <w:rPr>
          <w:rFonts w:ascii="Palatino Linotype" w:hAnsi="Palatino Linotype"/>
        </w:rPr>
        <w:t>(2), 129–158.</w:t>
      </w:r>
    </w:p>
    <w:p w14:paraId="45FD46F2"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Tang, J., &amp; Li, M. (2021). </w:t>
      </w:r>
      <w:r w:rsidRPr="006A3EBC">
        <w:rPr>
          <w:rFonts w:ascii="Palatino Linotype" w:hAnsi="Palatino Linotype"/>
          <w:i/>
          <w:iCs/>
        </w:rPr>
        <w:t>End-to-end Mandarin tone classification with short term context information</w:t>
      </w:r>
      <w:r w:rsidRPr="006A3EBC">
        <w:rPr>
          <w:rFonts w:ascii="Palatino Linotype" w:hAnsi="Palatino Linotype"/>
        </w:rPr>
        <w:t xml:space="preserve"> [Preprint]. </w:t>
      </w:r>
      <w:proofErr w:type="spellStart"/>
      <w:r w:rsidRPr="006A3EBC">
        <w:rPr>
          <w:rFonts w:ascii="Palatino Linotype" w:hAnsi="Palatino Linotype"/>
        </w:rPr>
        <w:t>arXiv</w:t>
      </w:r>
      <w:proofErr w:type="spellEnd"/>
      <w:r w:rsidRPr="006A3EBC">
        <w:rPr>
          <w:rFonts w:ascii="Palatino Linotype" w:hAnsi="Palatino Linotype"/>
        </w:rPr>
        <w:t>.</w:t>
      </w:r>
      <w:hyperlink r:id="rId32">
        <w:r w:rsidRPr="006A3EBC">
          <w:rPr>
            <w:rFonts w:ascii="Palatino Linotype" w:hAnsi="Palatino Linotype"/>
          </w:rPr>
          <w:t xml:space="preserve"> </w:t>
        </w:r>
      </w:hyperlink>
      <w:hyperlink r:id="rId33">
        <w:r w:rsidRPr="006A3EBC">
          <w:rPr>
            <w:rFonts w:ascii="Palatino Linotype" w:hAnsi="Palatino Linotype"/>
            <w:color w:val="1155CC"/>
            <w:u w:val="single"/>
          </w:rPr>
          <w:t>https://arxiv.org/abs/2104.05657</w:t>
        </w:r>
      </w:hyperlink>
    </w:p>
    <w:p w14:paraId="20978AD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Tong, R., Chen, N. F., Ma, B., &amp; Li, H. (2018). Context-aware mispronunciation detection for Mandarin pronunciation training. In </w:t>
      </w:r>
      <w:r w:rsidRPr="006A3EBC">
        <w:rPr>
          <w:rFonts w:ascii="Palatino Linotype" w:hAnsi="Palatino Linotype"/>
          <w:i/>
          <w:iCs/>
        </w:rPr>
        <w:t>Proceedings of the 19th Annual Conference of the International Speech Communication Association (INTERSPEECH 2018)</w:t>
      </w:r>
      <w:r w:rsidRPr="006A3EBC">
        <w:rPr>
          <w:rFonts w:ascii="Palatino Linotype" w:hAnsi="Palatino Linotype"/>
        </w:rPr>
        <w:t xml:space="preserve"> (pp. 381–385). International Speech Communication Association.</w:t>
      </w:r>
    </w:p>
    <w:p w14:paraId="70B6BE5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Tsukada, K., Xu, H. L., &amp; </w:t>
      </w:r>
      <w:proofErr w:type="spellStart"/>
      <w:r w:rsidRPr="006A3EBC">
        <w:rPr>
          <w:rFonts w:ascii="Palatino Linotype" w:hAnsi="Palatino Linotype"/>
        </w:rPr>
        <w:t>Rattanasone</w:t>
      </w:r>
      <w:proofErr w:type="spellEnd"/>
      <w:r w:rsidRPr="006A3EBC">
        <w:rPr>
          <w:rFonts w:ascii="Palatino Linotype" w:hAnsi="Palatino Linotype"/>
        </w:rPr>
        <w:t xml:space="preserve">, N. X. (2014). The perception of Mandarin tones by learners from heritage and non-heritage backgrounds. In </w:t>
      </w:r>
      <w:r w:rsidRPr="006A3EBC">
        <w:rPr>
          <w:rFonts w:ascii="Palatino Linotype" w:hAnsi="Palatino Linotype"/>
          <w:i/>
          <w:iCs/>
        </w:rPr>
        <w:t>Proceedings of the 9th International Symposium on Chinese Spoken Language Processing (ISCSLP)</w:t>
      </w:r>
      <w:r w:rsidRPr="006A3EBC">
        <w:rPr>
          <w:rFonts w:ascii="Palatino Linotype" w:hAnsi="Palatino Linotype"/>
        </w:rPr>
        <w:t xml:space="preserve"> (pp. 260–264). IEEE.</w:t>
      </w:r>
      <w:hyperlink r:id="rId34">
        <w:r w:rsidRPr="006A3EBC">
          <w:rPr>
            <w:rFonts w:ascii="Palatino Linotype" w:hAnsi="Palatino Linotype"/>
          </w:rPr>
          <w:t xml:space="preserve"> </w:t>
        </w:r>
      </w:hyperlink>
      <w:hyperlink r:id="rId35">
        <w:r w:rsidRPr="006A3EBC">
          <w:rPr>
            <w:rFonts w:ascii="Palatino Linotype" w:hAnsi="Palatino Linotype"/>
            <w:color w:val="1155CC"/>
            <w:u w:val="single"/>
          </w:rPr>
          <w:t>https://doi.org/10.1109/ISCSLP.2014.6936587</w:t>
        </w:r>
      </w:hyperlink>
    </w:p>
    <w:p w14:paraId="2DB0CDB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Tyler, M. D., &amp; Best, C. T. (2024). The Perceptual Assimilation Model: Early bilingual adults and developmental foundations. In M. Amengual (Ed.), </w:t>
      </w:r>
      <w:r w:rsidRPr="006A3EBC">
        <w:rPr>
          <w:rFonts w:ascii="Palatino Linotype" w:hAnsi="Palatino Linotype"/>
          <w:i/>
          <w:iCs/>
        </w:rPr>
        <w:t>The Cambridge handbook of bilingual phonetics and phonology</w:t>
      </w:r>
      <w:r w:rsidRPr="006A3EBC">
        <w:rPr>
          <w:rFonts w:ascii="Palatino Linotype" w:hAnsi="Palatino Linotype"/>
        </w:rPr>
        <w:t xml:space="preserve"> (pp. 147–172). Cambridge University Press.</w:t>
      </w:r>
    </w:p>
    <w:p w14:paraId="72D0FC02"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van Leussen, J. W., &amp; Escudero, P. (2015). Learning to perceive and recognize a second language: The L2LP model revised. </w:t>
      </w:r>
      <w:r w:rsidRPr="006A3EBC">
        <w:rPr>
          <w:rFonts w:ascii="Palatino Linotype" w:hAnsi="Palatino Linotype"/>
          <w:i/>
          <w:iCs/>
        </w:rPr>
        <w:t>Frontiers in Psychology, 6</w:t>
      </w:r>
      <w:r w:rsidRPr="006A3EBC">
        <w:rPr>
          <w:rFonts w:ascii="Palatino Linotype" w:hAnsi="Palatino Linotype"/>
        </w:rPr>
        <w:t>, Article 1000.</w:t>
      </w:r>
      <w:hyperlink r:id="rId36">
        <w:r w:rsidRPr="006A3EBC">
          <w:rPr>
            <w:rFonts w:ascii="Palatino Linotype" w:hAnsi="Palatino Linotype"/>
          </w:rPr>
          <w:t xml:space="preserve"> </w:t>
        </w:r>
      </w:hyperlink>
      <w:hyperlink r:id="rId37">
        <w:r w:rsidRPr="006A3EBC">
          <w:rPr>
            <w:rFonts w:ascii="Palatino Linotype" w:hAnsi="Palatino Linotype"/>
            <w:color w:val="1155CC"/>
            <w:u w:val="single"/>
          </w:rPr>
          <w:t>https://doi.org/10.3389/fpsyg.2015.01000</w:t>
        </w:r>
      </w:hyperlink>
    </w:p>
    <w:p w14:paraId="5660D5B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Wang, Y., </w:t>
      </w:r>
      <w:proofErr w:type="spellStart"/>
      <w:r w:rsidRPr="006A3EBC">
        <w:rPr>
          <w:rFonts w:ascii="Palatino Linotype" w:hAnsi="Palatino Linotype"/>
        </w:rPr>
        <w:t>Jongman</w:t>
      </w:r>
      <w:proofErr w:type="spellEnd"/>
      <w:r w:rsidRPr="006A3EBC">
        <w:rPr>
          <w:rFonts w:ascii="Palatino Linotype" w:hAnsi="Palatino Linotype"/>
        </w:rPr>
        <w:t xml:space="preserve">, A., &amp; Sereno, J. A. (n.d.). L2 acquisition of Chinese tone. In R. Sybesma, J. Huang, J. Myers, W. Behr, &amp; Z. Handel (Eds.), </w:t>
      </w:r>
      <w:r w:rsidRPr="006A3EBC">
        <w:rPr>
          <w:rFonts w:ascii="Palatino Linotype" w:hAnsi="Palatino Linotype"/>
          <w:i/>
          <w:iCs/>
        </w:rPr>
        <w:t>Encyclopedia of Chinese languages and linguistics</w:t>
      </w:r>
      <w:r w:rsidRPr="006A3EBC">
        <w:rPr>
          <w:rFonts w:ascii="Palatino Linotype" w:hAnsi="Palatino Linotype"/>
        </w:rPr>
        <w:t>. Brill.</w:t>
      </w:r>
    </w:p>
    <w:p w14:paraId="349A5DFE" w14:textId="77777777" w:rsidR="00802AF3" w:rsidRPr="00802AF3"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Yuen, C. L., &amp; Schlote, N. (2024). Learner experiences of mobile apps and artificial intelligence to support additional language learning in education. </w:t>
      </w:r>
      <w:r w:rsidRPr="006A3EBC">
        <w:rPr>
          <w:rFonts w:ascii="Palatino Linotype" w:hAnsi="Palatino Linotype"/>
          <w:i/>
          <w:iCs/>
        </w:rPr>
        <w:t>Journal of Educational Technology Systems, 52</w:t>
      </w:r>
      <w:r w:rsidRPr="006A3EBC">
        <w:rPr>
          <w:rFonts w:ascii="Palatino Linotype" w:hAnsi="Palatino Linotype"/>
        </w:rPr>
        <w:t>(4), 507–525.</w:t>
      </w:r>
      <w:hyperlink r:id="rId38">
        <w:r w:rsidRPr="006A3EBC">
          <w:rPr>
            <w:rFonts w:ascii="Palatino Linotype" w:hAnsi="Palatino Linotype"/>
          </w:rPr>
          <w:t xml:space="preserve"> </w:t>
        </w:r>
      </w:hyperlink>
      <w:hyperlink r:id="rId39">
        <w:r w:rsidRPr="006A3EBC">
          <w:rPr>
            <w:rFonts w:ascii="Palatino Linotype" w:hAnsi="Palatino Linotype"/>
            <w:color w:val="1155CC"/>
            <w:u w:val="single"/>
          </w:rPr>
          <w:t>https://doi.org/10.1177/00472395241238693</w:t>
        </w:r>
      </w:hyperlink>
    </w:p>
    <w:p w14:paraId="3493071B" w14:textId="32A9BBE7" w:rsidR="00802AF3" w:rsidRPr="00802AF3"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802AF3">
        <w:rPr>
          <w:rFonts w:ascii="Palatino Linotype" w:hAnsi="Palatino Linotype"/>
        </w:rPr>
        <w:lastRenderedPageBreak/>
        <w:t xml:space="preserve">Zou, T. (2017). </w:t>
      </w:r>
      <w:r w:rsidRPr="00802AF3">
        <w:rPr>
          <w:rFonts w:ascii="Palatino Linotype" w:hAnsi="Palatino Linotype"/>
          <w:i/>
          <w:iCs/>
        </w:rPr>
        <w:t>Production and perception of tones by Dutch learners of Mandarin</w:t>
      </w:r>
      <w:r w:rsidRPr="00802AF3">
        <w:rPr>
          <w:rFonts w:ascii="Palatino Linotype" w:hAnsi="Palatino Linotype"/>
        </w:rPr>
        <w:t xml:space="preserve"> [Doctoral thesis]. LOT Publications.</w:t>
      </w:r>
    </w:p>
    <w:p w14:paraId="587D6199" w14:textId="2EC49D81" w:rsidR="001E156D" w:rsidRDefault="001E156D" w:rsidP="008A665A"/>
    <w:sectPr w:rsidR="001E156D" w:rsidSect="008A665A">
      <w:footerReference w:type="even" r:id="rId40"/>
      <w:footerReference w:type="default" r:id="rId41"/>
      <w:pgSz w:w="12240" w:h="15840"/>
      <w:pgMar w:top="1440" w:right="2160" w:bottom="2160" w:left="2160" w:header="720" w:footer="149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1EBF7" w14:textId="77777777" w:rsidR="008338F7" w:rsidRDefault="008338F7" w:rsidP="00C13C33">
      <w:pPr>
        <w:spacing w:after="0" w:line="240" w:lineRule="auto"/>
      </w:pPr>
      <w:r>
        <w:separator/>
      </w:r>
    </w:p>
  </w:endnote>
  <w:endnote w:type="continuationSeparator" w:id="0">
    <w:p w14:paraId="5FEAB07C" w14:textId="77777777" w:rsidR="008338F7" w:rsidRDefault="008338F7" w:rsidP="00C13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8604324"/>
      <w:docPartObj>
        <w:docPartGallery w:val="Page Numbers (Bottom of Page)"/>
        <w:docPartUnique/>
      </w:docPartObj>
    </w:sdtPr>
    <w:sdtContent>
      <w:p w14:paraId="03B4566F" w14:textId="035C2A1C" w:rsidR="00C13C33" w:rsidRDefault="00C13C33" w:rsidP="007C659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ACC8919" w14:textId="77777777" w:rsidR="00C13C33" w:rsidRDefault="00C13C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79645594"/>
      <w:docPartObj>
        <w:docPartGallery w:val="Page Numbers (Bottom of Page)"/>
        <w:docPartUnique/>
      </w:docPartObj>
    </w:sdtPr>
    <w:sdtContent>
      <w:p w14:paraId="0B1F1818" w14:textId="69C41F56" w:rsidR="00C13C33" w:rsidRDefault="00C13C33" w:rsidP="007C659D">
        <w:pPr>
          <w:pStyle w:val="Footer"/>
          <w:framePr w:wrap="none" w:vAnchor="text" w:hAnchor="margin" w:xAlign="center" w:y="1"/>
          <w:rPr>
            <w:rStyle w:val="PageNumber"/>
          </w:rPr>
        </w:pPr>
        <w:r w:rsidRPr="008A665A">
          <w:rPr>
            <w:rStyle w:val="PageNumber"/>
            <w:rFonts w:ascii="Palatino Linotype" w:hAnsi="Palatino Linotype"/>
            <w:sz w:val="22"/>
            <w:szCs w:val="22"/>
          </w:rPr>
          <w:fldChar w:fldCharType="begin"/>
        </w:r>
        <w:r w:rsidRPr="008A665A">
          <w:rPr>
            <w:rStyle w:val="PageNumber"/>
            <w:rFonts w:ascii="Palatino Linotype" w:hAnsi="Palatino Linotype"/>
            <w:sz w:val="22"/>
            <w:szCs w:val="22"/>
          </w:rPr>
          <w:instrText xml:space="preserve"> PAGE </w:instrText>
        </w:r>
        <w:r w:rsidRPr="008A665A">
          <w:rPr>
            <w:rStyle w:val="PageNumber"/>
            <w:rFonts w:ascii="Palatino Linotype" w:hAnsi="Palatino Linotype"/>
            <w:sz w:val="22"/>
            <w:szCs w:val="22"/>
          </w:rPr>
          <w:fldChar w:fldCharType="separate"/>
        </w:r>
        <w:r w:rsidRPr="008A665A">
          <w:rPr>
            <w:rStyle w:val="PageNumber"/>
            <w:rFonts w:ascii="Palatino Linotype" w:hAnsi="Palatino Linotype"/>
            <w:noProof/>
            <w:sz w:val="22"/>
            <w:szCs w:val="22"/>
          </w:rPr>
          <w:t>1</w:t>
        </w:r>
        <w:r w:rsidRPr="008A665A">
          <w:rPr>
            <w:rStyle w:val="PageNumber"/>
            <w:rFonts w:ascii="Palatino Linotype" w:hAnsi="Palatino Linotype"/>
            <w:sz w:val="22"/>
            <w:szCs w:val="22"/>
          </w:rPr>
          <w:fldChar w:fldCharType="end"/>
        </w:r>
      </w:p>
    </w:sdtContent>
  </w:sdt>
  <w:p w14:paraId="1360FEE3" w14:textId="77777777" w:rsidR="00C13C33" w:rsidRDefault="00C13C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79D6" w14:textId="77777777" w:rsidR="008338F7" w:rsidRDefault="008338F7" w:rsidP="00C13C33">
      <w:pPr>
        <w:spacing w:after="0" w:line="240" w:lineRule="auto"/>
      </w:pPr>
      <w:r>
        <w:separator/>
      </w:r>
    </w:p>
  </w:footnote>
  <w:footnote w:type="continuationSeparator" w:id="0">
    <w:p w14:paraId="641E9543" w14:textId="77777777" w:rsidR="008338F7" w:rsidRDefault="008338F7" w:rsidP="00C13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4BE6"/>
    <w:multiLevelType w:val="multilevel"/>
    <w:tmpl w:val="ED36E79C"/>
    <w:lvl w:ilvl="0">
      <w:start w:val="1"/>
      <w:numFmt w:val="decimal"/>
      <w:lvlText w:val="%1."/>
      <w:lvlJc w:val="left"/>
      <w:pPr>
        <w:ind w:left="360" w:hanging="360"/>
      </w:pPr>
      <w:rPr>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19221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9E"/>
    <w:rsid w:val="0000628F"/>
    <w:rsid w:val="00064865"/>
    <w:rsid w:val="00085313"/>
    <w:rsid w:val="000F4E35"/>
    <w:rsid w:val="000F5C85"/>
    <w:rsid w:val="001E156D"/>
    <w:rsid w:val="002F48A4"/>
    <w:rsid w:val="00355409"/>
    <w:rsid w:val="00395A10"/>
    <w:rsid w:val="00397E11"/>
    <w:rsid w:val="00487D67"/>
    <w:rsid w:val="00511F22"/>
    <w:rsid w:val="00544A6A"/>
    <w:rsid w:val="00555E7E"/>
    <w:rsid w:val="00572A16"/>
    <w:rsid w:val="005739A9"/>
    <w:rsid w:val="00694C6F"/>
    <w:rsid w:val="006F00A7"/>
    <w:rsid w:val="007E7644"/>
    <w:rsid w:val="00802AF3"/>
    <w:rsid w:val="008338F7"/>
    <w:rsid w:val="008877BA"/>
    <w:rsid w:val="008A665A"/>
    <w:rsid w:val="00902D36"/>
    <w:rsid w:val="00977DA0"/>
    <w:rsid w:val="00A0421D"/>
    <w:rsid w:val="00A77A2D"/>
    <w:rsid w:val="00AB237F"/>
    <w:rsid w:val="00B500B3"/>
    <w:rsid w:val="00B54525"/>
    <w:rsid w:val="00B82F2B"/>
    <w:rsid w:val="00BA7F9B"/>
    <w:rsid w:val="00BE13B0"/>
    <w:rsid w:val="00C13C33"/>
    <w:rsid w:val="00C50991"/>
    <w:rsid w:val="00C74A41"/>
    <w:rsid w:val="00C906C5"/>
    <w:rsid w:val="00D33402"/>
    <w:rsid w:val="00D65D42"/>
    <w:rsid w:val="00D912B1"/>
    <w:rsid w:val="00DE13BD"/>
    <w:rsid w:val="00E1439E"/>
    <w:rsid w:val="00F30EB6"/>
    <w:rsid w:val="00F90D3D"/>
    <w:rsid w:val="00FB6361"/>
    <w:rsid w:val="00FC2F04"/>
    <w:rsid w:val="00FC3E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984523"/>
  <w15:chartTrackingRefBased/>
  <w15:docId w15:val="{2BE3262C-FBFA-0E43-AE04-E38BA7771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4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4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4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4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4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4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4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4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4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4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4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4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4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4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4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4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439E"/>
    <w:rPr>
      <w:rFonts w:eastAsiaTheme="majorEastAsia" w:cstheme="majorBidi"/>
      <w:color w:val="272727" w:themeColor="text1" w:themeTint="D8"/>
    </w:rPr>
  </w:style>
  <w:style w:type="paragraph" w:styleId="Title">
    <w:name w:val="Title"/>
    <w:basedOn w:val="Normal"/>
    <w:next w:val="Normal"/>
    <w:link w:val="TitleChar"/>
    <w:uiPriority w:val="10"/>
    <w:qFormat/>
    <w:rsid w:val="00E14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4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4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4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439E"/>
    <w:pPr>
      <w:spacing w:before="160"/>
      <w:jc w:val="center"/>
    </w:pPr>
    <w:rPr>
      <w:i/>
      <w:iCs/>
      <w:color w:val="404040" w:themeColor="text1" w:themeTint="BF"/>
    </w:rPr>
  </w:style>
  <w:style w:type="character" w:customStyle="1" w:styleId="QuoteChar">
    <w:name w:val="Quote Char"/>
    <w:basedOn w:val="DefaultParagraphFont"/>
    <w:link w:val="Quote"/>
    <w:uiPriority w:val="29"/>
    <w:rsid w:val="00E1439E"/>
    <w:rPr>
      <w:i/>
      <w:iCs/>
      <w:color w:val="404040" w:themeColor="text1" w:themeTint="BF"/>
    </w:rPr>
  </w:style>
  <w:style w:type="paragraph" w:styleId="ListParagraph">
    <w:name w:val="List Paragraph"/>
    <w:basedOn w:val="Normal"/>
    <w:uiPriority w:val="34"/>
    <w:qFormat/>
    <w:rsid w:val="00E1439E"/>
    <w:pPr>
      <w:ind w:left="720"/>
      <w:contextualSpacing/>
    </w:pPr>
  </w:style>
  <w:style w:type="character" w:styleId="IntenseEmphasis">
    <w:name w:val="Intense Emphasis"/>
    <w:basedOn w:val="DefaultParagraphFont"/>
    <w:uiPriority w:val="21"/>
    <w:qFormat/>
    <w:rsid w:val="00E1439E"/>
    <w:rPr>
      <w:i/>
      <w:iCs/>
      <w:color w:val="0F4761" w:themeColor="accent1" w:themeShade="BF"/>
    </w:rPr>
  </w:style>
  <w:style w:type="paragraph" w:styleId="IntenseQuote">
    <w:name w:val="Intense Quote"/>
    <w:basedOn w:val="Normal"/>
    <w:next w:val="Normal"/>
    <w:link w:val="IntenseQuoteChar"/>
    <w:uiPriority w:val="30"/>
    <w:qFormat/>
    <w:rsid w:val="00E14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439E"/>
    <w:rPr>
      <w:i/>
      <w:iCs/>
      <w:color w:val="0F4761" w:themeColor="accent1" w:themeShade="BF"/>
    </w:rPr>
  </w:style>
  <w:style w:type="character" w:styleId="IntenseReference">
    <w:name w:val="Intense Reference"/>
    <w:basedOn w:val="DefaultParagraphFont"/>
    <w:uiPriority w:val="32"/>
    <w:qFormat/>
    <w:rsid w:val="00E1439E"/>
    <w:rPr>
      <w:b/>
      <w:bCs/>
      <w:smallCaps/>
      <w:color w:val="0F4761" w:themeColor="accent1" w:themeShade="BF"/>
      <w:spacing w:val="5"/>
    </w:rPr>
  </w:style>
  <w:style w:type="paragraph" w:styleId="Footer">
    <w:name w:val="footer"/>
    <w:basedOn w:val="Normal"/>
    <w:link w:val="FooterChar"/>
    <w:uiPriority w:val="99"/>
    <w:unhideWhenUsed/>
    <w:rsid w:val="00C13C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3C33"/>
  </w:style>
  <w:style w:type="character" w:styleId="PageNumber">
    <w:name w:val="page number"/>
    <w:basedOn w:val="DefaultParagraphFont"/>
    <w:uiPriority w:val="99"/>
    <w:semiHidden/>
    <w:unhideWhenUsed/>
    <w:rsid w:val="00C13C33"/>
  </w:style>
  <w:style w:type="character" w:styleId="Hyperlink">
    <w:name w:val="Hyperlink"/>
    <w:basedOn w:val="DefaultParagraphFont"/>
    <w:uiPriority w:val="99"/>
    <w:unhideWhenUsed/>
    <w:rsid w:val="00C13C33"/>
    <w:rPr>
      <w:color w:val="467886" w:themeColor="hyperlink"/>
      <w:u w:val="none"/>
    </w:rPr>
  </w:style>
  <w:style w:type="paragraph" w:customStyle="1" w:styleId="Abstract">
    <w:name w:val="Abstract"/>
    <w:basedOn w:val="Normal"/>
    <w:link w:val="AbstractChar"/>
    <w:qFormat/>
    <w:rsid w:val="00C13C33"/>
    <w:pPr>
      <w:spacing w:after="170" w:line="340" w:lineRule="exact"/>
      <w:ind w:left="720" w:right="720"/>
      <w:jc w:val="both"/>
    </w:pPr>
    <w:rPr>
      <w:rFonts w:ascii="Palatino Linotype" w:eastAsia="Times New Roman" w:hAnsi="Palatino Linotype" w:cs="Times New Roman"/>
      <w:spacing w:val="2"/>
      <w:kern w:val="16"/>
      <w:sz w:val="22"/>
      <w:szCs w:val="22"/>
      <w:lang w:eastAsia="en-US"/>
      <w14:numForm w14:val="oldStyle"/>
      <w14:numSpacing w14:val="proportional"/>
    </w:rPr>
  </w:style>
  <w:style w:type="character" w:customStyle="1" w:styleId="AbstractChar">
    <w:name w:val="Abstract Char"/>
    <w:basedOn w:val="DefaultParagraphFont"/>
    <w:link w:val="Abstract"/>
    <w:rsid w:val="00C13C33"/>
    <w:rPr>
      <w:rFonts w:ascii="Palatino Linotype" w:eastAsia="Times New Roman" w:hAnsi="Palatino Linotype" w:cs="Times New Roman"/>
      <w:spacing w:val="2"/>
      <w:kern w:val="16"/>
      <w:sz w:val="22"/>
      <w:szCs w:val="22"/>
      <w:lang w:eastAsia="en-US"/>
      <w14:numForm w14:val="oldStyle"/>
      <w14:numSpacing w14:val="proportional"/>
    </w:rPr>
  </w:style>
  <w:style w:type="character" w:styleId="FootnoteReference">
    <w:name w:val="footnote reference"/>
    <w:basedOn w:val="DefaultParagraphFont"/>
    <w:uiPriority w:val="99"/>
    <w:semiHidden/>
    <w:unhideWhenUsed/>
    <w:rsid w:val="00C13C33"/>
    <w:rPr>
      <w:vertAlign w:val="superscript"/>
    </w:rPr>
  </w:style>
  <w:style w:type="paragraph" w:customStyle="1" w:styleId="Footnote">
    <w:name w:val="Footnote"/>
    <w:basedOn w:val="Normal"/>
    <w:link w:val="FootnoteChar"/>
    <w:qFormat/>
    <w:rsid w:val="00C13C33"/>
    <w:pPr>
      <w:spacing w:after="110" w:line="280" w:lineRule="exact"/>
      <w:jc w:val="both"/>
    </w:pPr>
    <w:rPr>
      <w:rFonts w:ascii="Palatino Linotype" w:eastAsia="Times New Roman" w:hAnsi="Palatino Linotype" w:cs="Times New Roman"/>
      <w:bCs/>
      <w:spacing w:val="3"/>
      <w:kern w:val="16"/>
      <w:sz w:val="17"/>
      <w:szCs w:val="20"/>
      <w:lang w:eastAsia="en-US"/>
      <w14:numForm w14:val="oldStyle"/>
      <w14:numSpacing w14:val="proportional"/>
    </w:rPr>
  </w:style>
  <w:style w:type="character" w:customStyle="1" w:styleId="FootnoteChar">
    <w:name w:val="Footnote Char"/>
    <w:basedOn w:val="DefaultParagraphFont"/>
    <w:link w:val="Footnote"/>
    <w:rsid w:val="00C13C33"/>
    <w:rPr>
      <w:rFonts w:ascii="Palatino Linotype" w:eastAsia="Times New Roman" w:hAnsi="Palatino Linotype" w:cs="Times New Roman"/>
      <w:bCs/>
      <w:spacing w:val="3"/>
      <w:kern w:val="16"/>
      <w:sz w:val="17"/>
      <w:szCs w:val="20"/>
      <w:lang w:eastAsia="en-US"/>
      <w14:numForm w14:val="oldStyle"/>
      <w14:numSpacing w14:val="proportional"/>
    </w:rPr>
  </w:style>
  <w:style w:type="character" w:customStyle="1" w:styleId="CAPS">
    <w:name w:val="CAPS"/>
    <w:basedOn w:val="DefaultParagraphFont"/>
    <w:uiPriority w:val="1"/>
    <w:qFormat/>
    <w:rsid w:val="00AB237F"/>
    <w:rPr>
      <w:caps/>
      <w:smallCaps w:val="0"/>
      <w:spacing w:val="11"/>
      <w14:numForm w14:val="lining"/>
      <w14:numSpacing w14:val="proportional"/>
    </w:rPr>
  </w:style>
  <w:style w:type="paragraph" w:styleId="Header">
    <w:name w:val="header"/>
    <w:basedOn w:val="Normal"/>
    <w:link w:val="HeaderChar"/>
    <w:uiPriority w:val="99"/>
    <w:unhideWhenUsed/>
    <w:rsid w:val="008A66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665A"/>
  </w:style>
  <w:style w:type="character" w:styleId="UnresolvedMention">
    <w:name w:val="Unresolved Mention"/>
    <w:basedOn w:val="DefaultParagraphFont"/>
    <w:uiPriority w:val="99"/>
    <w:semiHidden/>
    <w:unhideWhenUsed/>
    <w:rsid w:val="00A77A2D"/>
    <w:rPr>
      <w:color w:val="605E5C"/>
      <w:shd w:val="clear" w:color="auto" w:fill="E1DFDD"/>
    </w:rPr>
  </w:style>
  <w:style w:type="character" w:styleId="FollowedHyperlink">
    <w:name w:val="FollowedHyperlink"/>
    <w:basedOn w:val="DefaultParagraphFont"/>
    <w:uiPriority w:val="99"/>
    <w:semiHidden/>
    <w:unhideWhenUsed/>
    <w:rsid w:val="00A77A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8221.2022.2037652" TargetMode="External"/><Relationship Id="rId18" Type="http://schemas.openxmlformats.org/officeDocument/2006/relationships/hyperlink" Target="https://doi.org/10.1111/lang.12246" TargetMode="External"/><Relationship Id="rId26" Type="http://schemas.openxmlformats.org/officeDocument/2006/relationships/hyperlink" Target="https://doi.org/10.1145/191666.191729" TargetMode="External"/><Relationship Id="rId39" Type="http://schemas.openxmlformats.org/officeDocument/2006/relationships/hyperlink" Target="https://doi.org/10.1177/00472395241238693" TargetMode="External"/><Relationship Id="rId21" Type="http://schemas.openxmlformats.org/officeDocument/2006/relationships/hyperlink" Target="https://doi.org/10.1109/ICASSP39728.2021.9414423" TargetMode="External"/><Relationship Id="rId34" Type="http://schemas.openxmlformats.org/officeDocument/2006/relationships/hyperlink" Target="https://doi.org/10.1109/ISCSLP.2014.6936587"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45/3724504.3724542" TargetMode="External"/><Relationship Id="rId20" Type="http://schemas.openxmlformats.org/officeDocument/2006/relationships/hyperlink" Target="https://doi.org/10.1109/ICASSP39728.2021.9414423" TargetMode="External"/><Relationship Id="rId29" Type="http://schemas.openxmlformats.org/officeDocument/2006/relationships/hyperlink" Target="https://doi.org/10.1109/ialp.2014.6973499"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5-08544-8" TargetMode="External"/><Relationship Id="rId24" Type="http://schemas.openxmlformats.org/officeDocument/2006/relationships/hyperlink" Target="https://doi.org/10.1080/0144929X.2024.2317372" TargetMode="External"/><Relationship Id="rId32" Type="http://schemas.openxmlformats.org/officeDocument/2006/relationships/hyperlink" Target="https://arxiv.org/abs/2104.05657" TargetMode="External"/><Relationship Id="rId37" Type="http://schemas.openxmlformats.org/officeDocument/2006/relationships/hyperlink" Target="https://doi.org/10.3389/fpsyg.2015.01000"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3389/feduc.2024.1410795" TargetMode="External"/><Relationship Id="rId23" Type="http://schemas.openxmlformats.org/officeDocument/2006/relationships/hyperlink" Target="https://doi.org/10.1109/TASLP.2019.2936755" TargetMode="External"/><Relationship Id="rId28" Type="http://schemas.openxmlformats.org/officeDocument/2006/relationships/hyperlink" Target="https://doi.org/10.1109/ialp.2014.6973499" TargetMode="External"/><Relationship Id="rId36" Type="http://schemas.openxmlformats.org/officeDocument/2006/relationships/hyperlink" Target="https://doi.org/10.3389/fpsyg.2015.01000" TargetMode="External"/><Relationship Id="rId10" Type="http://schemas.openxmlformats.org/officeDocument/2006/relationships/hyperlink" Target="https://doi.org/10.1038/s41598-025-08544-8" TargetMode="External"/><Relationship Id="rId19" Type="http://schemas.openxmlformats.org/officeDocument/2006/relationships/hyperlink" Target="https://doi.org/10.1111/lang.12246" TargetMode="External"/><Relationship Id="rId31" Type="http://schemas.openxmlformats.org/officeDocument/2006/relationships/hyperlink" Target="https://doi.org/10.1177/0033688220977406" TargetMode="External"/><Relationship Id="rId4" Type="http://schemas.openxmlformats.org/officeDocument/2006/relationships/settings" Target="settings.xml"/><Relationship Id="rId9" Type="http://schemas.openxmlformats.org/officeDocument/2006/relationships/hyperlink" Target="https://doi.org/10.1017/S0958344024000181" TargetMode="External"/><Relationship Id="rId14" Type="http://schemas.openxmlformats.org/officeDocument/2006/relationships/hyperlink" Target="https://doi.org/10.3389/feduc.2024.1410795" TargetMode="External"/><Relationship Id="rId22" Type="http://schemas.openxmlformats.org/officeDocument/2006/relationships/hyperlink" Target="https://doi.org/10.1109/TASLP.2019.2936755" TargetMode="External"/><Relationship Id="rId27" Type="http://schemas.openxmlformats.org/officeDocument/2006/relationships/hyperlink" Target="https://doi.org/10.1145/191666.191729" TargetMode="External"/><Relationship Id="rId30" Type="http://schemas.openxmlformats.org/officeDocument/2006/relationships/hyperlink" Target="https://doi.org/10.1177/0033688220977406" TargetMode="External"/><Relationship Id="rId35" Type="http://schemas.openxmlformats.org/officeDocument/2006/relationships/hyperlink" Target="https://doi.org/10.1109/ISCSLP.2014.6936587" TargetMode="External"/><Relationship Id="rId43" Type="http://schemas.openxmlformats.org/officeDocument/2006/relationships/theme" Target="theme/theme1.xml"/><Relationship Id="rId8" Type="http://schemas.openxmlformats.org/officeDocument/2006/relationships/hyperlink" Target="https://doi.org/10.1017/S0958344024000181" TargetMode="External"/><Relationship Id="rId3" Type="http://schemas.openxmlformats.org/officeDocument/2006/relationships/styles" Target="styles.xml"/><Relationship Id="rId12" Type="http://schemas.openxmlformats.org/officeDocument/2006/relationships/hyperlink" Target="https://doi.org/10.1080/09588221.2022.2037652" TargetMode="External"/><Relationship Id="rId17" Type="http://schemas.openxmlformats.org/officeDocument/2006/relationships/hyperlink" Target="https://doi.org/10.1145/3724504.3724542" TargetMode="External"/><Relationship Id="rId25" Type="http://schemas.openxmlformats.org/officeDocument/2006/relationships/hyperlink" Target="https://doi.org/10.1080/0144929X.2024.2317372" TargetMode="External"/><Relationship Id="rId33" Type="http://schemas.openxmlformats.org/officeDocument/2006/relationships/hyperlink" Target="https://arxiv.org/abs/2104.05657" TargetMode="External"/><Relationship Id="rId38" Type="http://schemas.openxmlformats.org/officeDocument/2006/relationships/hyperlink" Target="https://doi.org/10.1177/004723952412386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ABC72-1F03-0D4E-8E63-A7AFAA7D2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16</Pages>
  <Words>5038</Words>
  <Characters>28721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Jagadish</dc:creator>
  <cp:keywords/>
  <dc:description/>
  <cp:lastModifiedBy>Bharath Jagadish</cp:lastModifiedBy>
  <cp:revision>17</cp:revision>
  <dcterms:created xsi:type="dcterms:W3CDTF">2026-04-18T06:14:00Z</dcterms:created>
  <dcterms:modified xsi:type="dcterms:W3CDTF">2026-04-26T14:09:00Z</dcterms:modified>
</cp:coreProperties>
</file>