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C7DDB" w14:textId="3DFAB05D" w:rsidR="44D1B370" w:rsidRDefault="44D1B370" w:rsidP="35A95C2E">
      <w:pPr>
        <w:pStyle w:val="Title"/>
        <w:jc w:val="center"/>
      </w:pPr>
      <w:r>
        <w:t>Research &amp; Solutions</w:t>
      </w:r>
    </w:p>
    <w:p w14:paraId="07C4DC0B" w14:textId="0621125D" w:rsidR="35A95C2E" w:rsidRDefault="35A95C2E" w:rsidP="35A95C2E"/>
    <w:p w14:paraId="3100E6AA" w14:textId="77777777" w:rsidR="006A718E" w:rsidRPr="006A718E" w:rsidRDefault="006A718E" w:rsidP="006A718E">
      <w:pPr>
        <w:ind w:left="-20" w:right="-20"/>
        <w:rPr>
          <w:rFonts w:ascii="Calibri" w:eastAsia="Calibri" w:hAnsi="Calibri" w:cs="Calibri"/>
          <w:sz w:val="22"/>
          <w:szCs w:val="22"/>
        </w:rPr>
      </w:pPr>
      <w:r w:rsidRPr="006A718E">
        <w:rPr>
          <w:rFonts w:ascii="Calibri" w:eastAsia="Calibri" w:hAnsi="Calibri" w:cs="Calibri"/>
          <w:b/>
          <w:bCs/>
          <w:sz w:val="22"/>
          <w:szCs w:val="22"/>
        </w:rPr>
        <w:t>Bharath</w:t>
      </w:r>
      <w:r w:rsidRPr="006A718E">
        <w:rPr>
          <w:rFonts w:ascii="Calibri" w:eastAsia="Calibri" w:hAnsi="Calibri" w:cs="Calibri"/>
          <w:sz w:val="22"/>
          <w:szCs w:val="22"/>
        </w:rPr>
        <w:br/>
      </w:r>
      <w:r w:rsidRPr="006A718E">
        <w:rPr>
          <w:rFonts w:ascii="Calibri" w:eastAsia="Calibri" w:hAnsi="Calibri" w:cs="Calibri"/>
          <w:b/>
          <w:bCs/>
          <w:sz w:val="22"/>
          <w:szCs w:val="22"/>
        </w:rPr>
        <w:t>Link</w:t>
      </w:r>
      <w:r w:rsidRPr="006A718E">
        <w:rPr>
          <w:rFonts w:ascii="Calibri" w:eastAsia="Calibri" w:hAnsi="Calibri" w:cs="Calibri"/>
          <w:sz w:val="22"/>
          <w:szCs w:val="22"/>
        </w:rPr>
        <w:t xml:space="preserve">: </w:t>
      </w:r>
      <w:hyperlink r:id="rId7" w:tgtFrame="_new" w:history="1">
        <w:r w:rsidRPr="006A718E">
          <w:rPr>
            <w:rStyle w:val="Hyperlink"/>
            <w:rFonts w:ascii="Calibri" w:eastAsia="Calibri" w:hAnsi="Calibri" w:cs="Calibri"/>
            <w:sz w:val="22"/>
            <w:szCs w:val="22"/>
          </w:rPr>
          <w:t>84.51° Exec: What to Expect from Consumers and How to Achieve Omnichannel Success in 2024</w:t>
        </w:r>
      </w:hyperlink>
      <w:r w:rsidRPr="006A718E">
        <w:rPr>
          <w:rFonts w:ascii="Calibri" w:eastAsia="Calibri" w:hAnsi="Calibri" w:cs="Calibri"/>
          <w:sz w:val="22"/>
          <w:szCs w:val="22"/>
        </w:rPr>
        <w:br/>
      </w:r>
      <w:r w:rsidRPr="006A718E">
        <w:rPr>
          <w:rFonts w:ascii="Calibri" w:eastAsia="Calibri" w:hAnsi="Calibri" w:cs="Calibri"/>
          <w:b/>
          <w:bCs/>
          <w:sz w:val="22"/>
          <w:szCs w:val="22"/>
        </w:rPr>
        <w:t>Description</w:t>
      </w:r>
      <w:r w:rsidRPr="006A718E">
        <w:rPr>
          <w:rFonts w:ascii="Calibri" w:eastAsia="Calibri" w:hAnsi="Calibri" w:cs="Calibri"/>
          <w:sz w:val="22"/>
          <w:szCs w:val="22"/>
        </w:rPr>
        <w:t xml:space="preserve">: Consumers still have concerns about inflation, leading to cost-conscious behaviors, such as looking for more deals, cutting back on non-essentials, and trading down to lower-cost (private label) brands. A big emphasis is placed on </w:t>
      </w:r>
      <w:r w:rsidRPr="006A718E">
        <w:rPr>
          <w:rFonts w:ascii="Calibri" w:eastAsia="Calibri" w:hAnsi="Calibri" w:cs="Calibri"/>
          <w:b/>
          <w:bCs/>
          <w:sz w:val="22"/>
          <w:szCs w:val="22"/>
        </w:rPr>
        <w:t>personalization</w:t>
      </w:r>
      <w:r w:rsidRPr="006A718E">
        <w:rPr>
          <w:rFonts w:ascii="Calibri" w:eastAsia="Calibri" w:hAnsi="Calibri" w:cs="Calibri"/>
          <w:sz w:val="22"/>
          <w:szCs w:val="22"/>
        </w:rPr>
        <w:t xml:space="preserve"> to target deal-seekers effectively. The omnichannel experience combines in-store discovery and inspiration with online convenience. The strategy needs to integrate both channels for mutual enhancement.</w:t>
      </w:r>
    </w:p>
    <w:p w14:paraId="0A9DD589" w14:textId="77777777" w:rsidR="006A718E" w:rsidRPr="006A718E" w:rsidRDefault="006A718E" w:rsidP="006A718E">
      <w:pPr>
        <w:ind w:left="-20" w:right="-20"/>
        <w:rPr>
          <w:rFonts w:ascii="Calibri" w:eastAsia="Calibri" w:hAnsi="Calibri" w:cs="Calibri"/>
          <w:sz w:val="22"/>
          <w:szCs w:val="22"/>
        </w:rPr>
      </w:pPr>
      <w:r w:rsidRPr="006A718E">
        <w:rPr>
          <w:rFonts w:ascii="Calibri" w:eastAsia="Calibri" w:hAnsi="Calibri" w:cs="Calibri"/>
          <w:b/>
          <w:bCs/>
          <w:sz w:val="22"/>
          <w:szCs w:val="22"/>
        </w:rPr>
        <w:t>Key Insight</w:t>
      </w:r>
      <w:r w:rsidRPr="006A718E">
        <w:rPr>
          <w:rFonts w:ascii="Calibri" w:eastAsia="Calibri" w:hAnsi="Calibri" w:cs="Calibri"/>
          <w:sz w:val="22"/>
          <w:szCs w:val="22"/>
        </w:rPr>
        <w:t>: National brands should focus on personalized promotions, while private labels should prioritize marketing product quality to build brand loyalty. The strategy must be long-term, extending beyond the inflationary period.</w:t>
      </w:r>
    </w:p>
    <w:p w14:paraId="136D0DBA" w14:textId="602961D3" w:rsidR="1328CD3C" w:rsidRDefault="006A718E" w:rsidP="35A95C2E">
      <w:pPr>
        <w:ind w:left="-20" w:right="-20"/>
      </w:pPr>
      <w:proofErr w:type="gramStart"/>
      <w:r w:rsidRPr="00E050F7">
        <w:rPr>
          <w:rFonts w:ascii="Calibri" w:eastAsia="Calibri" w:hAnsi="Calibri" w:cs="Calibri"/>
          <w:b/>
          <w:bCs/>
          <w:sz w:val="22"/>
          <w:szCs w:val="22"/>
        </w:rPr>
        <w:t>Bharath</w:t>
      </w:r>
      <w:r>
        <w:rPr>
          <w:rFonts w:ascii="Calibri" w:eastAsia="Calibri" w:hAnsi="Calibri" w:cs="Calibri"/>
          <w:sz w:val="22"/>
          <w:szCs w:val="22"/>
        </w:rPr>
        <w:t xml:space="preserve"> </w:t>
      </w:r>
      <w:r w:rsidR="1328CD3C" w:rsidRPr="35A95C2E">
        <w:rPr>
          <w:rFonts w:ascii="Calibri" w:eastAsia="Calibri" w:hAnsi="Calibri" w:cs="Calibri"/>
          <w:sz w:val="22"/>
          <w:szCs w:val="22"/>
        </w:rPr>
        <w:t>:</w:t>
      </w:r>
      <w:proofErr w:type="gramEnd"/>
      <w:r w:rsidR="1328CD3C" w:rsidRPr="35A95C2E">
        <w:rPr>
          <w:rFonts w:ascii="Calibri" w:eastAsia="Calibri" w:hAnsi="Calibri" w:cs="Calibri"/>
          <w:sz w:val="22"/>
          <w:szCs w:val="22"/>
        </w:rPr>
        <w:t xml:space="preserve"> </w:t>
      </w:r>
      <w:hyperlink r:id="rId8">
        <w:r w:rsidR="1328CD3C" w:rsidRPr="35A95C2E">
          <w:rPr>
            <w:rStyle w:val="Hyperlink"/>
            <w:rFonts w:ascii="Calibri" w:eastAsia="Calibri" w:hAnsi="Calibri" w:cs="Calibri"/>
            <w:sz w:val="22"/>
            <w:szCs w:val="22"/>
          </w:rPr>
          <w:t xml:space="preserve">Importance of Consumer </w:t>
        </w:r>
        <w:proofErr w:type="spellStart"/>
        <w:r w:rsidR="1328CD3C" w:rsidRPr="35A95C2E">
          <w:rPr>
            <w:rStyle w:val="Hyperlink"/>
            <w:rFonts w:ascii="Calibri" w:eastAsia="Calibri" w:hAnsi="Calibri" w:cs="Calibri"/>
            <w:sz w:val="22"/>
            <w:szCs w:val="22"/>
          </w:rPr>
          <w:t>Behaviour</w:t>
        </w:r>
        <w:proofErr w:type="spellEnd"/>
        <w:r w:rsidR="1328CD3C" w:rsidRPr="35A95C2E">
          <w:rPr>
            <w:rStyle w:val="Hyperlink"/>
            <w:rFonts w:ascii="Calibri" w:eastAsia="Calibri" w:hAnsi="Calibri" w:cs="Calibri"/>
            <w:sz w:val="22"/>
            <w:szCs w:val="22"/>
          </w:rPr>
          <w:t xml:space="preserve"> : Understanding the Buying Mind</w:t>
        </w:r>
      </w:hyperlink>
    </w:p>
    <w:p w14:paraId="04FB5ADA" w14:textId="6B05DC89" w:rsidR="1328CD3C" w:rsidRDefault="1328CD3C" w:rsidP="35A95C2E">
      <w:pPr>
        <w:ind w:left="-20" w:right="-20"/>
      </w:pPr>
      <w:r w:rsidRPr="35A95C2E">
        <w:rPr>
          <w:rFonts w:ascii="Calibri" w:eastAsia="Calibri" w:hAnsi="Calibri" w:cs="Calibri"/>
          <w:sz w:val="22"/>
          <w:szCs w:val="22"/>
        </w:rPr>
        <w:t xml:space="preserve"> </w:t>
      </w:r>
    </w:p>
    <w:p w14:paraId="4B11335C" w14:textId="2FB1DCC4" w:rsidR="1328CD3C" w:rsidRDefault="1328CD3C" w:rsidP="35A95C2E">
      <w:pPr>
        <w:ind w:left="-20" w:right="-20"/>
      </w:pPr>
      <w:r>
        <w:rPr>
          <w:noProof/>
        </w:rPr>
        <w:drawing>
          <wp:inline distT="0" distB="0" distL="0" distR="0" wp14:anchorId="324116ED" wp14:editId="2D7B8E31">
            <wp:extent cx="3381375" cy="1895475"/>
            <wp:effectExtent l="0" t="0" r="0" b="0"/>
            <wp:docPr id="535737161" name="Picture 53573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1375" cy="1895475"/>
                    </a:xfrm>
                    <a:prstGeom prst="rect">
                      <a:avLst/>
                    </a:prstGeom>
                  </pic:spPr>
                </pic:pic>
              </a:graphicData>
            </a:graphic>
          </wp:inline>
        </w:drawing>
      </w:r>
    </w:p>
    <w:p w14:paraId="3E769648" w14:textId="77777777" w:rsidR="00342F8D" w:rsidRDefault="00342F8D" w:rsidP="35A95C2E">
      <w:pPr>
        <w:ind w:left="-20" w:right="-20"/>
        <w:rPr>
          <w:rFonts w:ascii="Calibri" w:eastAsia="Calibri" w:hAnsi="Calibri" w:cs="Calibri"/>
          <w:sz w:val="22"/>
          <w:szCs w:val="22"/>
        </w:rPr>
      </w:pPr>
      <w:r w:rsidRPr="00342F8D">
        <w:rPr>
          <w:rFonts w:ascii="Calibri" w:eastAsia="Calibri" w:hAnsi="Calibri" w:cs="Calibri"/>
          <w:b/>
          <w:bCs/>
          <w:sz w:val="22"/>
          <w:szCs w:val="22"/>
        </w:rPr>
        <w:t>Summary</w:t>
      </w:r>
      <w:r w:rsidRPr="00342F8D">
        <w:rPr>
          <w:rFonts w:ascii="Calibri" w:eastAsia="Calibri" w:hAnsi="Calibri" w:cs="Calibri"/>
          <w:sz w:val="22"/>
          <w:szCs w:val="22"/>
        </w:rPr>
        <w:t>: Understanding consumer behaviors allows companies to tailor their products, services, and strategies to foster customer growth. Predicting market trends, such as the growing interest in health and wellness, can help companies stay ahead by marketing relevant items. Retention is key, and personalized offers can encourage repeat purchases.</w:t>
      </w:r>
    </w:p>
    <w:p w14:paraId="76B286DC" w14:textId="77777777" w:rsidR="00342F8D" w:rsidRDefault="00342F8D" w:rsidP="35A95C2E">
      <w:pPr>
        <w:ind w:left="-20" w:right="-20"/>
        <w:rPr>
          <w:rFonts w:ascii="Calibri" w:eastAsia="Calibri" w:hAnsi="Calibri" w:cs="Calibri"/>
          <w:sz w:val="22"/>
          <w:szCs w:val="22"/>
        </w:rPr>
      </w:pPr>
    </w:p>
    <w:p w14:paraId="39C5EA14" w14:textId="66702118" w:rsidR="1328CD3C" w:rsidRDefault="1328CD3C" w:rsidP="35A95C2E">
      <w:pPr>
        <w:ind w:left="-20" w:right="-20"/>
      </w:pPr>
      <w:r w:rsidRPr="35A95C2E">
        <w:rPr>
          <w:rFonts w:ascii="Calibri" w:eastAsia="Calibri" w:hAnsi="Calibri" w:cs="Calibri"/>
          <w:sz w:val="22"/>
          <w:szCs w:val="22"/>
        </w:rPr>
        <w:t xml:space="preserve"> </w:t>
      </w:r>
    </w:p>
    <w:p w14:paraId="5C1750EC" w14:textId="5C86A34E" w:rsidR="1328CD3C" w:rsidRDefault="1328CD3C" w:rsidP="35A95C2E">
      <w:pPr>
        <w:ind w:left="-20" w:right="-20"/>
      </w:pPr>
      <w:r w:rsidRPr="35A95C2E">
        <w:rPr>
          <w:rFonts w:ascii="Calibri" w:eastAsia="Calibri" w:hAnsi="Calibri" w:cs="Calibri"/>
          <w:sz w:val="22"/>
          <w:szCs w:val="22"/>
        </w:rPr>
        <w:t xml:space="preserve"> </w:t>
      </w:r>
    </w:p>
    <w:p w14:paraId="004DB44A" w14:textId="2C97546B" w:rsidR="1328CD3C" w:rsidRDefault="00342F8D" w:rsidP="35A95C2E">
      <w:pPr>
        <w:ind w:left="-20" w:right="-20"/>
        <w:rPr>
          <w:rStyle w:val="Hyperlink"/>
          <w:rFonts w:ascii="Calibri" w:eastAsia="Calibri" w:hAnsi="Calibri" w:cs="Calibri"/>
          <w:sz w:val="22"/>
          <w:szCs w:val="22"/>
        </w:rPr>
      </w:pPr>
      <w:r>
        <w:rPr>
          <w:rFonts w:ascii="Calibri" w:eastAsia="Calibri" w:hAnsi="Calibri" w:cs="Calibri"/>
          <w:sz w:val="22"/>
          <w:szCs w:val="22"/>
        </w:rPr>
        <w:t>Bharath</w:t>
      </w:r>
      <w:r w:rsidR="1328CD3C" w:rsidRPr="35A95C2E">
        <w:rPr>
          <w:rFonts w:ascii="Calibri" w:eastAsia="Calibri" w:hAnsi="Calibri" w:cs="Calibri"/>
          <w:sz w:val="22"/>
          <w:szCs w:val="22"/>
        </w:rPr>
        <w:t xml:space="preserve">: Factors that influence consumer behavior: </w:t>
      </w:r>
      <w:hyperlink r:id="rId10">
        <w:r w:rsidR="1328CD3C" w:rsidRPr="35A95C2E">
          <w:rPr>
            <w:rStyle w:val="Hyperlink"/>
            <w:rFonts w:ascii="Calibri" w:eastAsia="Calibri" w:hAnsi="Calibri" w:cs="Calibri"/>
            <w:sz w:val="22"/>
            <w:szCs w:val="22"/>
          </w:rPr>
          <w:t xml:space="preserve">5 Factors Influencing Consumer </w:t>
        </w:r>
        <w:proofErr w:type="spellStart"/>
        <w:r w:rsidR="1328CD3C" w:rsidRPr="35A95C2E">
          <w:rPr>
            <w:rStyle w:val="Hyperlink"/>
            <w:rFonts w:ascii="Calibri" w:eastAsia="Calibri" w:hAnsi="Calibri" w:cs="Calibri"/>
            <w:sz w:val="22"/>
            <w:szCs w:val="22"/>
          </w:rPr>
          <w:t>Behaviour</w:t>
        </w:r>
        <w:proofErr w:type="spellEnd"/>
        <w:r w:rsidR="1328CD3C" w:rsidRPr="35A95C2E">
          <w:rPr>
            <w:rStyle w:val="Hyperlink"/>
            <w:rFonts w:ascii="Calibri" w:eastAsia="Calibri" w:hAnsi="Calibri" w:cs="Calibri"/>
            <w:sz w:val="22"/>
            <w:szCs w:val="22"/>
          </w:rPr>
          <w:t xml:space="preserve"> (+ Buying Decisions)</w:t>
        </w:r>
      </w:hyperlink>
    </w:p>
    <w:p w14:paraId="76CDD066" w14:textId="3D2FF989" w:rsidR="1328CD3C" w:rsidRDefault="1328CD3C" w:rsidP="35A95C2E">
      <w:pPr>
        <w:ind w:left="-20" w:right="-20"/>
      </w:pPr>
      <w:r w:rsidRPr="35A95C2E">
        <w:rPr>
          <w:rFonts w:ascii="Calibri" w:eastAsia="Calibri" w:hAnsi="Calibri" w:cs="Calibri"/>
          <w:sz w:val="22"/>
          <w:szCs w:val="22"/>
        </w:rPr>
        <w:t xml:space="preserve"> </w:t>
      </w:r>
    </w:p>
    <w:p w14:paraId="708D26D6" w14:textId="374EA4D9" w:rsidR="1328CD3C" w:rsidRDefault="1328CD3C" w:rsidP="35A95C2E">
      <w:pPr>
        <w:ind w:left="-20" w:right="-20"/>
      </w:pPr>
      <w:r>
        <w:rPr>
          <w:noProof/>
        </w:rPr>
        <w:lastRenderedPageBreak/>
        <w:drawing>
          <wp:inline distT="0" distB="0" distL="0" distR="0" wp14:anchorId="75F7A2D6" wp14:editId="56EAC782">
            <wp:extent cx="3381375" cy="1895475"/>
            <wp:effectExtent l="0" t="0" r="0" b="0"/>
            <wp:docPr id="472201012" name="Picture 47220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81375" cy="1895475"/>
                    </a:xfrm>
                    <a:prstGeom prst="rect">
                      <a:avLst/>
                    </a:prstGeom>
                  </pic:spPr>
                </pic:pic>
              </a:graphicData>
            </a:graphic>
          </wp:inline>
        </w:drawing>
      </w:r>
    </w:p>
    <w:p w14:paraId="43C31ADE" w14:textId="77777777" w:rsidR="008E7CC9" w:rsidRPr="008E7CC9" w:rsidRDefault="008E7CC9" w:rsidP="008E7CC9">
      <w:pPr>
        <w:spacing w:after="0"/>
        <w:ind w:right="-20"/>
        <w:rPr>
          <w:rFonts w:ascii="Calibri" w:eastAsia="Calibri" w:hAnsi="Calibri" w:cs="Calibri"/>
          <w:sz w:val="22"/>
          <w:szCs w:val="22"/>
        </w:rPr>
      </w:pPr>
      <w:r w:rsidRPr="008E7CC9">
        <w:rPr>
          <w:rFonts w:ascii="Calibri" w:eastAsia="Calibri" w:hAnsi="Calibri" w:cs="Calibri"/>
          <w:b/>
          <w:bCs/>
          <w:sz w:val="22"/>
          <w:szCs w:val="22"/>
        </w:rPr>
        <w:t>Summary</w:t>
      </w:r>
      <w:r w:rsidRPr="008E7CC9">
        <w:rPr>
          <w:rFonts w:ascii="Calibri" w:eastAsia="Calibri" w:hAnsi="Calibri" w:cs="Calibri"/>
          <w:sz w:val="22"/>
          <w:szCs w:val="22"/>
        </w:rPr>
        <w:t>:</w:t>
      </w:r>
    </w:p>
    <w:p w14:paraId="2EEA8181" w14:textId="77777777" w:rsidR="008E7CC9" w:rsidRPr="008E7CC9" w:rsidRDefault="008E7CC9" w:rsidP="008E7CC9">
      <w:pPr>
        <w:numPr>
          <w:ilvl w:val="0"/>
          <w:numId w:val="3"/>
        </w:numPr>
        <w:spacing w:after="0"/>
        <w:ind w:right="-20"/>
        <w:jc w:val="both"/>
        <w:rPr>
          <w:rFonts w:ascii="Calibri" w:eastAsia="Calibri" w:hAnsi="Calibri" w:cs="Calibri"/>
          <w:sz w:val="22"/>
          <w:szCs w:val="22"/>
        </w:rPr>
      </w:pPr>
      <w:r w:rsidRPr="008E7CC9">
        <w:rPr>
          <w:rFonts w:ascii="Calibri" w:eastAsia="Calibri" w:hAnsi="Calibri" w:cs="Calibri"/>
          <w:b/>
          <w:bCs/>
          <w:sz w:val="22"/>
          <w:szCs w:val="22"/>
        </w:rPr>
        <w:t>Psychological Factors</w:t>
      </w:r>
      <w:r w:rsidRPr="008E7CC9">
        <w:rPr>
          <w:rFonts w:ascii="Calibri" w:eastAsia="Calibri" w:hAnsi="Calibri" w:cs="Calibri"/>
          <w:sz w:val="22"/>
          <w:szCs w:val="22"/>
        </w:rPr>
        <w:t>: Motivation, perception, and education play a crucial role. Perception is everything in branding (important for private labels</w:t>
      </w:r>
      <w:proofErr w:type="gramStart"/>
      <w:r w:rsidRPr="008E7CC9">
        <w:rPr>
          <w:rFonts w:ascii="Calibri" w:eastAsia="Calibri" w:hAnsi="Calibri" w:cs="Calibri"/>
          <w:sz w:val="22"/>
          <w:szCs w:val="22"/>
        </w:rPr>
        <w:t>), and</w:t>
      </w:r>
      <w:proofErr w:type="gramEnd"/>
      <w:r w:rsidRPr="008E7CC9">
        <w:rPr>
          <w:rFonts w:ascii="Calibri" w:eastAsia="Calibri" w:hAnsi="Calibri" w:cs="Calibri"/>
          <w:sz w:val="22"/>
          <w:szCs w:val="22"/>
        </w:rPr>
        <w:t xml:space="preserve"> educating consumers about the brand leads to </w:t>
      </w:r>
      <w:proofErr w:type="gramStart"/>
      <w:r w:rsidRPr="008E7CC9">
        <w:rPr>
          <w:rFonts w:ascii="Calibri" w:eastAsia="Calibri" w:hAnsi="Calibri" w:cs="Calibri"/>
          <w:sz w:val="22"/>
          <w:szCs w:val="22"/>
        </w:rPr>
        <w:t>a better</w:t>
      </w:r>
      <w:proofErr w:type="gramEnd"/>
      <w:r w:rsidRPr="008E7CC9">
        <w:rPr>
          <w:rFonts w:ascii="Calibri" w:eastAsia="Calibri" w:hAnsi="Calibri" w:cs="Calibri"/>
          <w:sz w:val="22"/>
          <w:szCs w:val="22"/>
        </w:rPr>
        <w:t xml:space="preserve"> experience and loyalty.</w:t>
      </w:r>
    </w:p>
    <w:p w14:paraId="7576F6F2" w14:textId="77777777" w:rsidR="008E7CC9" w:rsidRPr="008E7CC9" w:rsidRDefault="008E7CC9" w:rsidP="008E7CC9">
      <w:pPr>
        <w:numPr>
          <w:ilvl w:val="0"/>
          <w:numId w:val="3"/>
        </w:numPr>
        <w:spacing w:after="0"/>
        <w:ind w:right="-20"/>
        <w:jc w:val="both"/>
        <w:rPr>
          <w:rFonts w:ascii="Calibri" w:eastAsia="Calibri" w:hAnsi="Calibri" w:cs="Calibri"/>
          <w:sz w:val="22"/>
          <w:szCs w:val="22"/>
        </w:rPr>
      </w:pPr>
      <w:r w:rsidRPr="008E7CC9">
        <w:rPr>
          <w:rFonts w:ascii="Calibri" w:eastAsia="Calibri" w:hAnsi="Calibri" w:cs="Calibri"/>
          <w:b/>
          <w:bCs/>
          <w:sz w:val="22"/>
          <w:szCs w:val="22"/>
        </w:rPr>
        <w:t>Social Factors</w:t>
      </w:r>
      <w:r w:rsidRPr="008E7CC9">
        <w:rPr>
          <w:rFonts w:ascii="Calibri" w:eastAsia="Calibri" w:hAnsi="Calibri" w:cs="Calibri"/>
          <w:sz w:val="22"/>
          <w:szCs w:val="22"/>
        </w:rPr>
        <w:t>: Family influence can create lifelong brand loyalty if introduced early.</w:t>
      </w:r>
    </w:p>
    <w:p w14:paraId="6FEC8DE2" w14:textId="77777777" w:rsidR="008E7CC9" w:rsidRPr="008E7CC9" w:rsidRDefault="008E7CC9" w:rsidP="008E7CC9">
      <w:pPr>
        <w:numPr>
          <w:ilvl w:val="0"/>
          <w:numId w:val="3"/>
        </w:numPr>
        <w:spacing w:after="0"/>
        <w:ind w:right="-20"/>
        <w:jc w:val="both"/>
        <w:rPr>
          <w:rFonts w:ascii="Calibri" w:eastAsia="Calibri" w:hAnsi="Calibri" w:cs="Calibri"/>
          <w:sz w:val="22"/>
          <w:szCs w:val="22"/>
        </w:rPr>
      </w:pPr>
      <w:r w:rsidRPr="008E7CC9">
        <w:rPr>
          <w:rFonts w:ascii="Calibri" w:eastAsia="Calibri" w:hAnsi="Calibri" w:cs="Calibri"/>
          <w:b/>
          <w:bCs/>
          <w:sz w:val="22"/>
          <w:szCs w:val="22"/>
        </w:rPr>
        <w:t>Economic Factors</w:t>
      </w:r>
      <w:r w:rsidRPr="008E7CC9">
        <w:rPr>
          <w:rFonts w:ascii="Calibri" w:eastAsia="Calibri" w:hAnsi="Calibri" w:cs="Calibri"/>
          <w:sz w:val="22"/>
          <w:szCs w:val="22"/>
        </w:rPr>
        <w:t>: Disposable income dictates spending behavior.</w:t>
      </w:r>
    </w:p>
    <w:p w14:paraId="498B4038" w14:textId="5DE9A32A" w:rsidR="35A95C2E" w:rsidRDefault="35A95C2E" w:rsidP="35A95C2E">
      <w:pPr>
        <w:spacing w:after="0"/>
        <w:ind w:right="-20"/>
        <w:rPr>
          <w:rFonts w:ascii="Calibri" w:eastAsia="Calibri" w:hAnsi="Calibri" w:cs="Calibri"/>
          <w:sz w:val="22"/>
          <w:szCs w:val="22"/>
        </w:rPr>
      </w:pPr>
    </w:p>
    <w:p w14:paraId="5E4F3B58" w14:textId="262BC807" w:rsidR="35A95C2E" w:rsidRDefault="35A95C2E" w:rsidP="35A95C2E">
      <w:pPr>
        <w:spacing w:after="0"/>
        <w:ind w:right="-20"/>
        <w:rPr>
          <w:rFonts w:ascii="Calibri" w:eastAsia="Calibri" w:hAnsi="Calibri" w:cs="Calibri"/>
          <w:sz w:val="22"/>
          <w:szCs w:val="22"/>
        </w:rPr>
      </w:pPr>
    </w:p>
    <w:p w14:paraId="08020771" w14:textId="40EDBF3B" w:rsidR="35A95C2E" w:rsidRDefault="35A95C2E" w:rsidP="35A95C2E">
      <w:pPr>
        <w:spacing w:after="0"/>
        <w:ind w:right="-20"/>
        <w:rPr>
          <w:rFonts w:ascii="Calibri" w:eastAsia="Calibri" w:hAnsi="Calibri" w:cs="Calibri"/>
          <w:sz w:val="22"/>
          <w:szCs w:val="22"/>
        </w:rPr>
      </w:pPr>
    </w:p>
    <w:p w14:paraId="32699BE2" w14:textId="77777777" w:rsidR="00030969" w:rsidRPr="00030969" w:rsidRDefault="00030969" w:rsidP="00030969">
      <w:pPr>
        <w:spacing w:after="0"/>
        <w:ind w:right="-20"/>
        <w:rPr>
          <w:b/>
          <w:bCs/>
          <w:sz w:val="28"/>
          <w:szCs w:val="28"/>
        </w:rPr>
      </w:pPr>
      <w:r w:rsidRPr="00030969">
        <w:rPr>
          <w:b/>
          <w:bCs/>
          <w:sz w:val="28"/>
          <w:szCs w:val="28"/>
        </w:rPr>
        <w:t>Potential Solutions</w:t>
      </w:r>
    </w:p>
    <w:p w14:paraId="7CFD453C" w14:textId="77777777" w:rsidR="00030969" w:rsidRPr="00030969" w:rsidRDefault="00030969" w:rsidP="00030969">
      <w:pPr>
        <w:spacing w:after="0"/>
        <w:ind w:right="-20"/>
        <w:rPr>
          <w:b/>
          <w:bCs/>
        </w:rPr>
      </w:pPr>
    </w:p>
    <w:p w14:paraId="188DF69C" w14:textId="77777777" w:rsidR="00030969" w:rsidRPr="00030969" w:rsidRDefault="00030969" w:rsidP="00030969">
      <w:pPr>
        <w:numPr>
          <w:ilvl w:val="0"/>
          <w:numId w:val="4"/>
        </w:numPr>
        <w:spacing w:after="0"/>
        <w:ind w:right="-20"/>
      </w:pPr>
      <w:r w:rsidRPr="00030969">
        <w:rPr>
          <w:b/>
          <w:bCs/>
        </w:rPr>
        <w:t>Deaverage Pricing</w:t>
      </w:r>
      <w:r w:rsidRPr="00030969">
        <w:t>: For important growth drivers, minimize price increases to hold or gain market share. For slower-growing profit generators, raise prices above inflation to maximize contribution, even at the risk of losing share.</w:t>
      </w:r>
    </w:p>
    <w:p w14:paraId="193A796B" w14:textId="77777777" w:rsidR="00030969" w:rsidRPr="00030969" w:rsidRDefault="00030969" w:rsidP="00030969">
      <w:pPr>
        <w:numPr>
          <w:ilvl w:val="0"/>
          <w:numId w:val="4"/>
        </w:numPr>
        <w:spacing w:after="0"/>
        <w:ind w:right="-20"/>
      </w:pPr>
      <w:r w:rsidRPr="00030969">
        <w:rPr>
          <w:b/>
          <w:bCs/>
        </w:rPr>
        <w:t>Shelf Price Increases</w:t>
      </w:r>
      <w:r w:rsidRPr="00030969">
        <w:t>: Current market conditions support raising shelf prices, which allows CPG players to selectively reinvest in trade spending, such as coupons.</w:t>
      </w:r>
    </w:p>
    <w:p w14:paraId="49D3835D" w14:textId="5FE7C782" w:rsidR="025BD490" w:rsidRDefault="00E050F7" w:rsidP="35A95C2E">
      <w:hyperlink r:id="rId12">
        <w:r w:rsidR="025BD490" w:rsidRPr="35A95C2E">
          <w:rPr>
            <w:rStyle w:val="Hyperlink"/>
            <w:rFonts w:ascii="Aptos" w:eastAsia="Aptos" w:hAnsi="Aptos" w:cs="Aptos"/>
          </w:rPr>
          <w:t>A Pricing Playbook for CPG Companies Amid Inflationary Pressure | BCG</w:t>
        </w:r>
      </w:hyperlink>
    </w:p>
    <w:p w14:paraId="2F5D7FEC" w14:textId="72FA9645" w:rsidR="35A95C2E" w:rsidRDefault="35A95C2E" w:rsidP="35A95C2E">
      <w:pPr>
        <w:rPr>
          <w:rFonts w:ascii="Aptos" w:eastAsia="Aptos" w:hAnsi="Aptos" w:cs="Aptos"/>
        </w:rPr>
      </w:pPr>
    </w:p>
    <w:p w14:paraId="3105F1FE" w14:textId="6DDF3CAE" w:rsidR="00030969" w:rsidRDefault="00030969" w:rsidP="35A95C2E">
      <w:pPr>
        <w:rPr>
          <w:rFonts w:ascii="Aptos" w:eastAsia="Aptos" w:hAnsi="Aptos" w:cs="Aptos"/>
        </w:rPr>
      </w:pPr>
      <w:r w:rsidRPr="00030969">
        <w:rPr>
          <w:rFonts w:ascii="Aptos" w:eastAsia="Aptos" w:hAnsi="Aptos" w:cs="Aptos"/>
          <w:b/>
          <w:bCs/>
        </w:rPr>
        <w:t>Notes</w:t>
      </w:r>
      <w:r w:rsidRPr="00030969">
        <w:rPr>
          <w:rFonts w:ascii="Aptos" w:eastAsia="Aptos" w:hAnsi="Aptos" w:cs="Aptos"/>
        </w:rPr>
        <w:t>: A three-tier solution includes deaveraging prices, increasing shelf prices, and offering personalized coupons or bundled coupons. Personalized coupons targeted to specific consumer types (household categories) can create an optimal product mix that drives sales in an inflationary environment by incentivizing consumers to buy additional (more elastic) products while earning coupons for their core (inelastic) products.</w:t>
      </w:r>
    </w:p>
    <w:p w14:paraId="1B5D939F" w14:textId="77777777" w:rsidR="00CF32A0" w:rsidRPr="00CF32A0" w:rsidRDefault="00CF32A0" w:rsidP="00CF32A0">
      <w:pPr>
        <w:rPr>
          <w:rFonts w:ascii="Aptos" w:eastAsia="Aptos" w:hAnsi="Aptos" w:cs="Aptos"/>
          <w:sz w:val="28"/>
          <w:szCs w:val="28"/>
        </w:rPr>
      </w:pPr>
      <w:r w:rsidRPr="00CF32A0">
        <w:rPr>
          <w:rFonts w:ascii="Aptos" w:eastAsia="Aptos" w:hAnsi="Aptos" w:cs="Aptos"/>
          <w:b/>
          <w:bCs/>
          <w:sz w:val="28"/>
          <w:szCs w:val="28"/>
        </w:rPr>
        <w:t>Additional Research</w:t>
      </w:r>
    </w:p>
    <w:p w14:paraId="1F7A72D9" w14:textId="5E2EAAD5" w:rsidR="00F80C71" w:rsidRDefault="00CF32A0" w:rsidP="00F80C71">
      <w:pPr>
        <w:jc w:val="both"/>
        <w:rPr>
          <w:rFonts w:ascii="Aptos" w:eastAsia="Aptos" w:hAnsi="Aptos" w:cs="Aptos"/>
        </w:rPr>
      </w:pPr>
      <w:r w:rsidRPr="00CF32A0">
        <w:rPr>
          <w:rFonts w:ascii="Aptos" w:eastAsia="Aptos" w:hAnsi="Aptos" w:cs="Aptos"/>
          <w:b/>
          <w:bCs/>
        </w:rPr>
        <w:t>Pricing Moves for CPG in a Cost-of-Living Crisis</w:t>
      </w:r>
      <w:r w:rsidRPr="00CF32A0">
        <w:rPr>
          <w:rFonts w:ascii="Aptos" w:eastAsia="Aptos" w:hAnsi="Aptos" w:cs="Aptos"/>
        </w:rPr>
        <w:t xml:space="preserve">: Consumers are changing their buying behavior—spending more on nondiscretionary categories like gas and utilities, while trading </w:t>
      </w:r>
      <w:r w:rsidRPr="00CF32A0">
        <w:rPr>
          <w:rFonts w:ascii="Aptos" w:eastAsia="Aptos" w:hAnsi="Aptos" w:cs="Aptos"/>
        </w:rPr>
        <w:lastRenderedPageBreak/>
        <w:t>down in discretionary categories. CPG companies have responded by increasing prices and reducing package sizes, which have shown a significant short-term impact.</w:t>
      </w:r>
      <w:r w:rsidR="00F80C71" w:rsidRPr="00F80C71">
        <w:rPr>
          <w:rFonts w:ascii="Aptos" w:eastAsia="Aptos" w:hAnsi="Aptos" w:cs="Aptos"/>
        </w:rPr>
        <w:t xml:space="preserve"> </w:t>
      </w:r>
      <w:r w:rsidR="00F80C71" w:rsidRPr="35A95C2E">
        <w:rPr>
          <w:rFonts w:ascii="Aptos" w:eastAsia="Aptos" w:hAnsi="Aptos" w:cs="Aptos"/>
        </w:rPr>
        <w:t>Approximately 60% of CPG companies have done this in the past 18 months (article published 1/3/23)</w:t>
      </w:r>
    </w:p>
    <w:p w14:paraId="2B1FE747" w14:textId="77777777" w:rsidR="00CF32A0" w:rsidRPr="00CF32A0" w:rsidRDefault="00CF32A0" w:rsidP="00F80C71">
      <w:pPr>
        <w:ind w:left="720"/>
        <w:rPr>
          <w:rFonts w:ascii="Aptos" w:eastAsia="Aptos" w:hAnsi="Aptos" w:cs="Aptos"/>
        </w:rPr>
      </w:pPr>
    </w:p>
    <w:p w14:paraId="747C6DAD" w14:textId="6C5FD30C" w:rsidR="02CAC4DC" w:rsidRDefault="02CAC4DC" w:rsidP="35A95C2E">
      <w:r>
        <w:rPr>
          <w:noProof/>
        </w:rPr>
        <w:drawing>
          <wp:inline distT="0" distB="0" distL="0" distR="0" wp14:anchorId="21C8BFAD" wp14:editId="517BED75">
            <wp:extent cx="4572000" cy="2628900"/>
            <wp:effectExtent l="0" t="0" r="0" b="0"/>
            <wp:docPr id="1971179057" name="Picture 197117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31789EC1" w14:textId="3438B340" w:rsidR="35A95C2E" w:rsidRDefault="35A95C2E" w:rsidP="35A95C2E">
      <w:pPr>
        <w:rPr>
          <w:rFonts w:ascii="Aptos" w:eastAsia="Aptos" w:hAnsi="Aptos" w:cs="Aptos"/>
        </w:rPr>
      </w:pPr>
    </w:p>
    <w:p w14:paraId="125F3A67" w14:textId="77777777" w:rsidR="002F4F53" w:rsidRPr="002F4F53" w:rsidRDefault="002F4F53" w:rsidP="002F4F53">
      <w:pPr>
        <w:rPr>
          <w:rFonts w:ascii="Aptos" w:eastAsia="Aptos" w:hAnsi="Aptos" w:cs="Aptos"/>
        </w:rPr>
      </w:pPr>
      <w:r w:rsidRPr="002F4F53">
        <w:rPr>
          <w:rFonts w:ascii="Aptos" w:eastAsia="Aptos" w:hAnsi="Aptos" w:cs="Aptos"/>
          <w:b/>
          <w:bCs/>
        </w:rPr>
        <w:t>5 NRM Imperatives for CPGs to Win Today and Tomorrow</w:t>
      </w:r>
      <w:r w:rsidRPr="002F4F53">
        <w:rPr>
          <w:rFonts w:ascii="Aptos" w:eastAsia="Aptos" w:hAnsi="Aptos" w:cs="Aptos"/>
        </w:rPr>
        <w:t>:</w:t>
      </w:r>
    </w:p>
    <w:p w14:paraId="6A502CB9" w14:textId="77777777" w:rsidR="002F4F53" w:rsidRPr="002F4F53" w:rsidRDefault="002F4F53" w:rsidP="002F4F53">
      <w:pPr>
        <w:numPr>
          <w:ilvl w:val="0"/>
          <w:numId w:val="6"/>
        </w:numPr>
        <w:rPr>
          <w:rFonts w:ascii="Aptos" w:eastAsia="Aptos" w:hAnsi="Aptos" w:cs="Aptos"/>
        </w:rPr>
      </w:pPr>
      <w:r w:rsidRPr="002F4F53">
        <w:rPr>
          <w:rFonts w:ascii="Aptos" w:eastAsia="Aptos" w:hAnsi="Aptos" w:cs="Aptos"/>
        </w:rPr>
        <w:t>Integrate future-facing consumer perspectives.</w:t>
      </w:r>
    </w:p>
    <w:p w14:paraId="20D0B4F6" w14:textId="77777777" w:rsidR="002F4F53" w:rsidRPr="002F4F53" w:rsidRDefault="002F4F53" w:rsidP="002F4F53">
      <w:pPr>
        <w:numPr>
          <w:ilvl w:val="0"/>
          <w:numId w:val="6"/>
        </w:numPr>
        <w:rPr>
          <w:rFonts w:ascii="Aptos" w:eastAsia="Aptos" w:hAnsi="Aptos" w:cs="Aptos"/>
        </w:rPr>
      </w:pPr>
      <w:r w:rsidRPr="002F4F53">
        <w:rPr>
          <w:rFonts w:ascii="Aptos" w:eastAsia="Aptos" w:hAnsi="Aptos" w:cs="Aptos"/>
        </w:rPr>
        <w:t>Synchronize assortment, portfolio simplification, and value engineering efforts.</w:t>
      </w:r>
    </w:p>
    <w:p w14:paraId="01BB0F99" w14:textId="77777777" w:rsidR="002F4F53" w:rsidRPr="002F4F53" w:rsidRDefault="002F4F53" w:rsidP="002F4F53">
      <w:pPr>
        <w:numPr>
          <w:ilvl w:val="0"/>
          <w:numId w:val="6"/>
        </w:numPr>
        <w:rPr>
          <w:rFonts w:ascii="Aptos" w:eastAsia="Aptos" w:hAnsi="Aptos" w:cs="Aptos"/>
        </w:rPr>
      </w:pPr>
      <w:r w:rsidRPr="002F4F53">
        <w:rPr>
          <w:rFonts w:ascii="Aptos" w:eastAsia="Aptos" w:hAnsi="Aptos" w:cs="Aptos"/>
        </w:rPr>
        <w:t>Evaluate NRM levers holistically.</w:t>
      </w:r>
    </w:p>
    <w:p w14:paraId="005205FA" w14:textId="77777777" w:rsidR="002F4F53" w:rsidRPr="002F4F53" w:rsidRDefault="002F4F53" w:rsidP="002F4F53">
      <w:pPr>
        <w:numPr>
          <w:ilvl w:val="0"/>
          <w:numId w:val="6"/>
        </w:numPr>
        <w:rPr>
          <w:rFonts w:ascii="Aptos" w:eastAsia="Aptos" w:hAnsi="Aptos" w:cs="Aptos"/>
        </w:rPr>
      </w:pPr>
      <w:r w:rsidRPr="002F4F53">
        <w:rPr>
          <w:rFonts w:ascii="Aptos" w:eastAsia="Aptos" w:hAnsi="Aptos" w:cs="Aptos"/>
        </w:rPr>
        <w:t>Take the retailer’s perspective into account.</w:t>
      </w:r>
    </w:p>
    <w:p w14:paraId="65BBED6F" w14:textId="77777777" w:rsidR="002F4F53" w:rsidRDefault="002F4F53" w:rsidP="002F4F53">
      <w:pPr>
        <w:numPr>
          <w:ilvl w:val="0"/>
          <w:numId w:val="6"/>
        </w:numPr>
        <w:rPr>
          <w:rFonts w:ascii="Aptos" w:eastAsia="Aptos" w:hAnsi="Aptos" w:cs="Aptos"/>
        </w:rPr>
      </w:pPr>
      <w:r w:rsidRPr="002F4F53">
        <w:rPr>
          <w:rFonts w:ascii="Aptos" w:eastAsia="Aptos" w:hAnsi="Aptos" w:cs="Aptos"/>
        </w:rPr>
        <w:t>Clean up inefficient legacy trade terms.</w:t>
      </w:r>
    </w:p>
    <w:p w14:paraId="380BDF39" w14:textId="77777777" w:rsidR="002F4F53" w:rsidRDefault="002F4F53" w:rsidP="002F4F53">
      <w:pPr>
        <w:rPr>
          <w:rFonts w:ascii="Aptos" w:eastAsia="Aptos" w:hAnsi="Aptos" w:cs="Aptos"/>
        </w:rPr>
      </w:pPr>
    </w:p>
    <w:p w14:paraId="426F91A8" w14:textId="77777777" w:rsidR="002F4F53" w:rsidRDefault="002F4F53" w:rsidP="002F4F53">
      <w:pPr>
        <w:rPr>
          <w:rFonts w:ascii="Aptos" w:eastAsia="Aptos" w:hAnsi="Aptos" w:cs="Aptos"/>
        </w:rPr>
      </w:pPr>
    </w:p>
    <w:p w14:paraId="51BC5860" w14:textId="77777777" w:rsidR="002F4F53" w:rsidRDefault="002F4F53" w:rsidP="002F4F53">
      <w:pPr>
        <w:rPr>
          <w:rFonts w:ascii="Aptos" w:eastAsia="Aptos" w:hAnsi="Aptos" w:cs="Aptos"/>
        </w:rPr>
      </w:pPr>
    </w:p>
    <w:p w14:paraId="61D0D683" w14:textId="77777777" w:rsidR="002F4F53" w:rsidRPr="002F4F53" w:rsidRDefault="002F4F53" w:rsidP="002F4F53">
      <w:pPr>
        <w:rPr>
          <w:rFonts w:ascii="Aptos" w:eastAsia="Aptos" w:hAnsi="Aptos" w:cs="Aptos"/>
        </w:rPr>
      </w:pPr>
    </w:p>
    <w:p w14:paraId="04AA7FEB" w14:textId="77777777" w:rsidR="002F4F53" w:rsidRPr="002F4F53" w:rsidRDefault="002F4F53" w:rsidP="002F4F53">
      <w:pPr>
        <w:rPr>
          <w:rFonts w:ascii="Helvetica" w:eastAsia="Helvetica" w:hAnsi="Helvetica" w:cs="Helvetica"/>
        </w:rPr>
      </w:pPr>
      <w:r w:rsidRPr="002F4F53">
        <w:rPr>
          <w:rFonts w:ascii="Helvetica" w:eastAsia="Helvetica" w:hAnsi="Helvetica" w:cs="Helvetica"/>
          <w:b/>
          <w:bCs/>
        </w:rPr>
        <w:t>Related Articles</w:t>
      </w:r>
      <w:r w:rsidRPr="002F4F53">
        <w:rPr>
          <w:rFonts w:ascii="Helvetica" w:eastAsia="Helvetica" w:hAnsi="Helvetica" w:cs="Helvetica"/>
        </w:rPr>
        <w:t>:</w:t>
      </w:r>
    </w:p>
    <w:p w14:paraId="1BFA12A5" w14:textId="77777777" w:rsidR="002F4F53" w:rsidRPr="002F4F53" w:rsidRDefault="002F4F53" w:rsidP="002F4F53">
      <w:pPr>
        <w:numPr>
          <w:ilvl w:val="0"/>
          <w:numId w:val="7"/>
        </w:numPr>
        <w:rPr>
          <w:rFonts w:ascii="Calibri" w:eastAsia="Helvetica" w:hAnsi="Calibri" w:cs="Calibri"/>
        </w:rPr>
      </w:pPr>
      <w:hyperlink r:id="rId14" w:tgtFrame="_new" w:history="1">
        <w:r w:rsidRPr="002F4F53">
          <w:rPr>
            <w:rStyle w:val="Hyperlink"/>
            <w:rFonts w:ascii="Calibri" w:eastAsia="Helvetica" w:hAnsi="Calibri" w:cs="Calibri"/>
            <w:b/>
            <w:bCs/>
          </w:rPr>
          <w:t>Five Pricing Moves for CPG in a Cost-of-Living Crisis</w:t>
        </w:r>
      </w:hyperlink>
    </w:p>
    <w:p w14:paraId="63AA073A" w14:textId="77777777" w:rsidR="002F4F53" w:rsidRPr="002F4F53" w:rsidRDefault="002F4F53" w:rsidP="002F4F53">
      <w:pPr>
        <w:numPr>
          <w:ilvl w:val="0"/>
          <w:numId w:val="7"/>
        </w:numPr>
        <w:rPr>
          <w:rFonts w:ascii="Calibri" w:eastAsia="Helvetica" w:hAnsi="Calibri" w:cs="Calibri"/>
        </w:rPr>
      </w:pPr>
      <w:hyperlink r:id="rId15" w:tgtFrame="_new" w:history="1">
        <w:r w:rsidRPr="002F4F53">
          <w:rPr>
            <w:rStyle w:val="Hyperlink"/>
            <w:rFonts w:ascii="Calibri" w:eastAsia="Helvetica" w:hAnsi="Calibri" w:cs="Calibri"/>
            <w:b/>
            <w:bCs/>
          </w:rPr>
          <w:t>Tracking Grocery Prices: CPG Inflation Slows, but Consumer Spending Power Still a Concern</w:t>
        </w:r>
      </w:hyperlink>
    </w:p>
    <w:p w14:paraId="0CE41A42" w14:textId="77777777" w:rsidR="002F4F53" w:rsidRPr="002F4F53" w:rsidRDefault="002F4F53" w:rsidP="002F4F53">
      <w:pPr>
        <w:numPr>
          <w:ilvl w:val="0"/>
          <w:numId w:val="7"/>
        </w:numPr>
        <w:rPr>
          <w:rFonts w:ascii="Calibri" w:eastAsia="Helvetica" w:hAnsi="Calibri" w:cs="Calibri"/>
        </w:rPr>
      </w:pPr>
      <w:r w:rsidRPr="002F4F53">
        <w:rPr>
          <w:rFonts w:ascii="Calibri" w:eastAsia="Helvetica" w:hAnsi="Calibri" w:cs="Calibri"/>
          <w:b/>
          <w:bCs/>
        </w:rPr>
        <w:t>USDA ERS - U.S. Consumers Spent More on Food in 2022 Than Ever Before, Even After Adjusting for Inflation</w:t>
      </w:r>
    </w:p>
    <w:p w14:paraId="22B36FD9" w14:textId="0F4928AF" w:rsidR="5AB25B7F" w:rsidRDefault="5AB25B7F" w:rsidP="002F4F53">
      <w:pPr>
        <w:rPr>
          <w:rFonts w:ascii="Helvetica" w:eastAsia="Helvetica" w:hAnsi="Helvetica" w:cs="Helvetica"/>
        </w:rPr>
      </w:pPr>
    </w:p>
    <w:sectPr w:rsidR="5AB25B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4EAD8" w14:textId="77777777" w:rsidR="00CF32A0" w:rsidRDefault="00CF32A0" w:rsidP="00CF32A0">
      <w:pPr>
        <w:spacing w:after="0" w:line="240" w:lineRule="auto"/>
      </w:pPr>
      <w:r>
        <w:separator/>
      </w:r>
    </w:p>
  </w:endnote>
  <w:endnote w:type="continuationSeparator" w:id="0">
    <w:p w14:paraId="77B8C72D" w14:textId="77777777" w:rsidR="00CF32A0" w:rsidRDefault="00CF32A0" w:rsidP="00CF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B206F" w14:textId="77777777" w:rsidR="00CF32A0" w:rsidRDefault="00CF32A0" w:rsidP="00CF32A0">
      <w:pPr>
        <w:spacing w:after="0" w:line="240" w:lineRule="auto"/>
      </w:pPr>
      <w:r>
        <w:separator/>
      </w:r>
    </w:p>
  </w:footnote>
  <w:footnote w:type="continuationSeparator" w:id="0">
    <w:p w14:paraId="1BE2C686" w14:textId="77777777" w:rsidR="00CF32A0" w:rsidRDefault="00CF32A0" w:rsidP="00CF3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F287A"/>
    <w:multiLevelType w:val="multilevel"/>
    <w:tmpl w:val="1CE2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C7B95"/>
    <w:multiLevelType w:val="hybridMultilevel"/>
    <w:tmpl w:val="75641B96"/>
    <w:lvl w:ilvl="0" w:tplc="A5DA04C0">
      <w:start w:val="1"/>
      <w:numFmt w:val="bullet"/>
      <w:lvlText w:val=""/>
      <w:lvlJc w:val="left"/>
      <w:pPr>
        <w:ind w:left="720" w:hanging="360"/>
      </w:pPr>
      <w:rPr>
        <w:rFonts w:ascii="Symbol" w:hAnsi="Symbol" w:hint="default"/>
      </w:rPr>
    </w:lvl>
    <w:lvl w:ilvl="1" w:tplc="853CE704">
      <w:start w:val="1"/>
      <w:numFmt w:val="bullet"/>
      <w:lvlText w:val=""/>
      <w:lvlJc w:val="left"/>
      <w:pPr>
        <w:ind w:left="1440" w:hanging="360"/>
      </w:pPr>
      <w:rPr>
        <w:rFonts w:ascii="Symbol" w:hAnsi="Symbol" w:hint="default"/>
      </w:rPr>
    </w:lvl>
    <w:lvl w:ilvl="2" w:tplc="0F708FF0">
      <w:start w:val="1"/>
      <w:numFmt w:val="bullet"/>
      <w:lvlText w:val=""/>
      <w:lvlJc w:val="left"/>
      <w:pPr>
        <w:ind w:left="2160" w:hanging="360"/>
      </w:pPr>
      <w:rPr>
        <w:rFonts w:ascii="Wingdings" w:hAnsi="Wingdings" w:hint="default"/>
      </w:rPr>
    </w:lvl>
    <w:lvl w:ilvl="3" w:tplc="764A7C7A">
      <w:start w:val="1"/>
      <w:numFmt w:val="bullet"/>
      <w:lvlText w:val=""/>
      <w:lvlJc w:val="left"/>
      <w:pPr>
        <w:ind w:left="2880" w:hanging="360"/>
      </w:pPr>
      <w:rPr>
        <w:rFonts w:ascii="Symbol" w:hAnsi="Symbol" w:hint="default"/>
      </w:rPr>
    </w:lvl>
    <w:lvl w:ilvl="4" w:tplc="BC24519A">
      <w:start w:val="1"/>
      <w:numFmt w:val="bullet"/>
      <w:lvlText w:val="o"/>
      <w:lvlJc w:val="left"/>
      <w:pPr>
        <w:ind w:left="3600" w:hanging="360"/>
      </w:pPr>
      <w:rPr>
        <w:rFonts w:ascii="Courier New" w:hAnsi="Courier New" w:hint="default"/>
      </w:rPr>
    </w:lvl>
    <w:lvl w:ilvl="5" w:tplc="D2A21272">
      <w:start w:val="1"/>
      <w:numFmt w:val="bullet"/>
      <w:lvlText w:val=""/>
      <w:lvlJc w:val="left"/>
      <w:pPr>
        <w:ind w:left="4320" w:hanging="360"/>
      </w:pPr>
      <w:rPr>
        <w:rFonts w:ascii="Wingdings" w:hAnsi="Wingdings" w:hint="default"/>
      </w:rPr>
    </w:lvl>
    <w:lvl w:ilvl="6" w:tplc="FFB69B8E">
      <w:start w:val="1"/>
      <w:numFmt w:val="bullet"/>
      <w:lvlText w:val=""/>
      <w:lvlJc w:val="left"/>
      <w:pPr>
        <w:ind w:left="5040" w:hanging="360"/>
      </w:pPr>
      <w:rPr>
        <w:rFonts w:ascii="Symbol" w:hAnsi="Symbol" w:hint="default"/>
      </w:rPr>
    </w:lvl>
    <w:lvl w:ilvl="7" w:tplc="46AC9CB8">
      <w:start w:val="1"/>
      <w:numFmt w:val="bullet"/>
      <w:lvlText w:val="o"/>
      <w:lvlJc w:val="left"/>
      <w:pPr>
        <w:ind w:left="5760" w:hanging="360"/>
      </w:pPr>
      <w:rPr>
        <w:rFonts w:ascii="Courier New" w:hAnsi="Courier New" w:hint="default"/>
      </w:rPr>
    </w:lvl>
    <w:lvl w:ilvl="8" w:tplc="D8389BF6">
      <w:start w:val="1"/>
      <w:numFmt w:val="bullet"/>
      <w:lvlText w:val=""/>
      <w:lvlJc w:val="left"/>
      <w:pPr>
        <w:ind w:left="6480" w:hanging="360"/>
      </w:pPr>
      <w:rPr>
        <w:rFonts w:ascii="Wingdings" w:hAnsi="Wingdings" w:hint="default"/>
      </w:rPr>
    </w:lvl>
  </w:abstractNum>
  <w:abstractNum w:abstractNumId="2" w15:restartNumberingAfterBreak="0">
    <w:nsid w:val="46B133FA"/>
    <w:multiLevelType w:val="hybridMultilevel"/>
    <w:tmpl w:val="B83EBEE2"/>
    <w:lvl w:ilvl="0" w:tplc="6436C9A0">
      <w:start w:val="1"/>
      <w:numFmt w:val="bullet"/>
      <w:lvlText w:val=""/>
      <w:lvlJc w:val="left"/>
      <w:pPr>
        <w:ind w:left="720" w:hanging="360"/>
      </w:pPr>
      <w:rPr>
        <w:rFonts w:ascii="Symbol" w:hAnsi="Symbol" w:hint="default"/>
      </w:rPr>
    </w:lvl>
    <w:lvl w:ilvl="1" w:tplc="B0D8EA0C">
      <w:start w:val="1"/>
      <w:numFmt w:val="bullet"/>
      <w:lvlText w:val="o"/>
      <w:lvlJc w:val="left"/>
      <w:pPr>
        <w:ind w:left="1440" w:hanging="360"/>
      </w:pPr>
      <w:rPr>
        <w:rFonts w:ascii="Courier New" w:hAnsi="Courier New" w:hint="default"/>
      </w:rPr>
    </w:lvl>
    <w:lvl w:ilvl="2" w:tplc="96B06062">
      <w:start w:val="1"/>
      <w:numFmt w:val="bullet"/>
      <w:lvlText w:val=""/>
      <w:lvlJc w:val="left"/>
      <w:pPr>
        <w:ind w:left="2160" w:hanging="360"/>
      </w:pPr>
      <w:rPr>
        <w:rFonts w:ascii="Wingdings" w:hAnsi="Wingdings" w:hint="default"/>
      </w:rPr>
    </w:lvl>
    <w:lvl w:ilvl="3" w:tplc="211A35BE">
      <w:start w:val="1"/>
      <w:numFmt w:val="bullet"/>
      <w:lvlText w:val=""/>
      <w:lvlJc w:val="left"/>
      <w:pPr>
        <w:ind w:left="2880" w:hanging="360"/>
      </w:pPr>
      <w:rPr>
        <w:rFonts w:ascii="Symbol" w:hAnsi="Symbol" w:hint="default"/>
      </w:rPr>
    </w:lvl>
    <w:lvl w:ilvl="4" w:tplc="0FB87DBC">
      <w:start w:val="1"/>
      <w:numFmt w:val="bullet"/>
      <w:lvlText w:val="o"/>
      <w:lvlJc w:val="left"/>
      <w:pPr>
        <w:ind w:left="3600" w:hanging="360"/>
      </w:pPr>
      <w:rPr>
        <w:rFonts w:ascii="Courier New" w:hAnsi="Courier New" w:hint="default"/>
      </w:rPr>
    </w:lvl>
    <w:lvl w:ilvl="5" w:tplc="0B4A6474">
      <w:start w:val="1"/>
      <w:numFmt w:val="bullet"/>
      <w:lvlText w:val=""/>
      <w:lvlJc w:val="left"/>
      <w:pPr>
        <w:ind w:left="4320" w:hanging="360"/>
      </w:pPr>
      <w:rPr>
        <w:rFonts w:ascii="Wingdings" w:hAnsi="Wingdings" w:hint="default"/>
      </w:rPr>
    </w:lvl>
    <w:lvl w:ilvl="6" w:tplc="4BF45D62">
      <w:start w:val="1"/>
      <w:numFmt w:val="bullet"/>
      <w:lvlText w:val=""/>
      <w:lvlJc w:val="left"/>
      <w:pPr>
        <w:ind w:left="5040" w:hanging="360"/>
      </w:pPr>
      <w:rPr>
        <w:rFonts w:ascii="Symbol" w:hAnsi="Symbol" w:hint="default"/>
      </w:rPr>
    </w:lvl>
    <w:lvl w:ilvl="7" w:tplc="DC8C98EE">
      <w:start w:val="1"/>
      <w:numFmt w:val="bullet"/>
      <w:lvlText w:val="o"/>
      <w:lvlJc w:val="left"/>
      <w:pPr>
        <w:ind w:left="5760" w:hanging="360"/>
      </w:pPr>
      <w:rPr>
        <w:rFonts w:ascii="Courier New" w:hAnsi="Courier New" w:hint="default"/>
      </w:rPr>
    </w:lvl>
    <w:lvl w:ilvl="8" w:tplc="90209162">
      <w:start w:val="1"/>
      <w:numFmt w:val="bullet"/>
      <w:lvlText w:val=""/>
      <w:lvlJc w:val="left"/>
      <w:pPr>
        <w:ind w:left="6480" w:hanging="360"/>
      </w:pPr>
      <w:rPr>
        <w:rFonts w:ascii="Wingdings" w:hAnsi="Wingdings" w:hint="default"/>
      </w:rPr>
    </w:lvl>
  </w:abstractNum>
  <w:abstractNum w:abstractNumId="3" w15:restartNumberingAfterBreak="0">
    <w:nsid w:val="64597817"/>
    <w:multiLevelType w:val="multilevel"/>
    <w:tmpl w:val="B23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F2D8E"/>
    <w:multiLevelType w:val="multilevel"/>
    <w:tmpl w:val="CE4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47937"/>
    <w:multiLevelType w:val="multilevel"/>
    <w:tmpl w:val="1550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50AFF"/>
    <w:multiLevelType w:val="multilevel"/>
    <w:tmpl w:val="232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942507">
    <w:abstractNumId w:val="1"/>
  </w:num>
  <w:num w:numId="2" w16cid:durableId="864444003">
    <w:abstractNumId w:val="2"/>
  </w:num>
  <w:num w:numId="3" w16cid:durableId="785199638">
    <w:abstractNumId w:val="6"/>
  </w:num>
  <w:num w:numId="4" w16cid:durableId="1955211905">
    <w:abstractNumId w:val="0"/>
  </w:num>
  <w:num w:numId="5" w16cid:durableId="1995379480">
    <w:abstractNumId w:val="3"/>
  </w:num>
  <w:num w:numId="6" w16cid:durableId="975795274">
    <w:abstractNumId w:val="4"/>
  </w:num>
  <w:num w:numId="7" w16cid:durableId="1417751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788CF9"/>
    <w:rsid w:val="00030969"/>
    <w:rsid w:val="002476FB"/>
    <w:rsid w:val="002F4F53"/>
    <w:rsid w:val="00342F8D"/>
    <w:rsid w:val="00344D95"/>
    <w:rsid w:val="003B0753"/>
    <w:rsid w:val="006A718E"/>
    <w:rsid w:val="008A30D7"/>
    <w:rsid w:val="008E7CC9"/>
    <w:rsid w:val="00C039EB"/>
    <w:rsid w:val="00CF32A0"/>
    <w:rsid w:val="00E050F7"/>
    <w:rsid w:val="00E504D3"/>
    <w:rsid w:val="00EE605B"/>
    <w:rsid w:val="00F80C71"/>
    <w:rsid w:val="025BD490"/>
    <w:rsid w:val="0298E079"/>
    <w:rsid w:val="02CAC4DC"/>
    <w:rsid w:val="0AF46E6F"/>
    <w:rsid w:val="0EFD330E"/>
    <w:rsid w:val="0F6F75FB"/>
    <w:rsid w:val="1059D0ED"/>
    <w:rsid w:val="1328CD3C"/>
    <w:rsid w:val="1381B153"/>
    <w:rsid w:val="15E94632"/>
    <w:rsid w:val="16C7700D"/>
    <w:rsid w:val="18EC6964"/>
    <w:rsid w:val="19ACA310"/>
    <w:rsid w:val="1B8CC338"/>
    <w:rsid w:val="1D30811F"/>
    <w:rsid w:val="1D9CF6BD"/>
    <w:rsid w:val="1F8D874B"/>
    <w:rsid w:val="206821E1"/>
    <w:rsid w:val="22C5280D"/>
    <w:rsid w:val="239FC2A3"/>
    <w:rsid w:val="243AF383"/>
    <w:rsid w:val="26D76365"/>
    <w:rsid w:val="272FBBC6"/>
    <w:rsid w:val="285A7FC0"/>
    <w:rsid w:val="2A0716A1"/>
    <w:rsid w:val="2AD039F2"/>
    <w:rsid w:val="2BA1FBD6"/>
    <w:rsid w:val="2BAAD488"/>
    <w:rsid w:val="2E213F7F"/>
    <w:rsid w:val="2F9BBD8F"/>
    <w:rsid w:val="2FBD0FE0"/>
    <w:rsid w:val="321A160C"/>
    <w:rsid w:val="35A95C2E"/>
    <w:rsid w:val="37E3EDC0"/>
    <w:rsid w:val="395411F2"/>
    <w:rsid w:val="3AFFC287"/>
    <w:rsid w:val="41559F40"/>
    <w:rsid w:val="4176B2C9"/>
    <w:rsid w:val="423039D6"/>
    <w:rsid w:val="4425DFAA"/>
    <w:rsid w:val="44D1B370"/>
    <w:rsid w:val="4567DA98"/>
    <w:rsid w:val="4642752E"/>
    <w:rsid w:val="4646BBE7"/>
    <w:rsid w:val="466D83D1"/>
    <w:rsid w:val="47DE458F"/>
    <w:rsid w:val="4B026F16"/>
    <w:rsid w:val="4D5FD32F"/>
    <w:rsid w:val="4F6387E8"/>
    <w:rsid w:val="599039BA"/>
    <w:rsid w:val="5AB25B7F"/>
    <w:rsid w:val="5BED3FE6"/>
    <w:rsid w:val="5C794250"/>
    <w:rsid w:val="5F4632F9"/>
    <w:rsid w:val="5F6701D7"/>
    <w:rsid w:val="5FFF7B3E"/>
    <w:rsid w:val="62ABB0B6"/>
    <w:rsid w:val="66F4494E"/>
    <w:rsid w:val="6A237FF6"/>
    <w:rsid w:val="6F788CF9"/>
    <w:rsid w:val="70DEFEC7"/>
    <w:rsid w:val="75F6A6EA"/>
    <w:rsid w:val="768D0A80"/>
    <w:rsid w:val="7792774B"/>
    <w:rsid w:val="793F088E"/>
    <w:rsid w:val="7C21B16E"/>
    <w:rsid w:val="7E01B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8CF9"/>
  <w15:chartTrackingRefBased/>
  <w15:docId w15:val="{9FBF94FE-A757-4BC1-9D7F-F4247D27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C71"/>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A718E"/>
    <w:rPr>
      <w:color w:val="605E5C"/>
      <w:shd w:val="clear" w:color="auto" w:fill="E1DFDD"/>
    </w:rPr>
  </w:style>
  <w:style w:type="character" w:styleId="FollowedHyperlink">
    <w:name w:val="FollowedHyperlink"/>
    <w:basedOn w:val="DefaultParagraphFont"/>
    <w:uiPriority w:val="99"/>
    <w:semiHidden/>
    <w:unhideWhenUsed/>
    <w:rsid w:val="00342F8D"/>
    <w:rPr>
      <w:color w:val="96607D" w:themeColor="followedHyperlink"/>
      <w:u w:val="single"/>
    </w:rPr>
  </w:style>
  <w:style w:type="paragraph" w:styleId="Header">
    <w:name w:val="header"/>
    <w:basedOn w:val="Normal"/>
    <w:link w:val="HeaderChar"/>
    <w:uiPriority w:val="99"/>
    <w:unhideWhenUsed/>
    <w:rsid w:val="00CF3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2A0"/>
  </w:style>
  <w:style w:type="paragraph" w:styleId="Footer">
    <w:name w:val="footer"/>
    <w:basedOn w:val="Normal"/>
    <w:link w:val="FooterChar"/>
    <w:uiPriority w:val="99"/>
    <w:unhideWhenUsed/>
    <w:rsid w:val="00CF3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7680">
      <w:bodyDiv w:val="1"/>
      <w:marLeft w:val="0"/>
      <w:marRight w:val="0"/>
      <w:marTop w:val="0"/>
      <w:marBottom w:val="0"/>
      <w:divBdr>
        <w:top w:val="none" w:sz="0" w:space="0" w:color="auto"/>
        <w:left w:val="none" w:sz="0" w:space="0" w:color="auto"/>
        <w:bottom w:val="none" w:sz="0" w:space="0" w:color="auto"/>
        <w:right w:val="none" w:sz="0" w:space="0" w:color="auto"/>
      </w:divBdr>
    </w:div>
    <w:div w:id="176579195">
      <w:bodyDiv w:val="1"/>
      <w:marLeft w:val="0"/>
      <w:marRight w:val="0"/>
      <w:marTop w:val="0"/>
      <w:marBottom w:val="0"/>
      <w:divBdr>
        <w:top w:val="none" w:sz="0" w:space="0" w:color="auto"/>
        <w:left w:val="none" w:sz="0" w:space="0" w:color="auto"/>
        <w:bottom w:val="none" w:sz="0" w:space="0" w:color="auto"/>
        <w:right w:val="none" w:sz="0" w:space="0" w:color="auto"/>
      </w:divBdr>
    </w:div>
    <w:div w:id="302925333">
      <w:bodyDiv w:val="1"/>
      <w:marLeft w:val="0"/>
      <w:marRight w:val="0"/>
      <w:marTop w:val="0"/>
      <w:marBottom w:val="0"/>
      <w:divBdr>
        <w:top w:val="none" w:sz="0" w:space="0" w:color="auto"/>
        <w:left w:val="none" w:sz="0" w:space="0" w:color="auto"/>
        <w:bottom w:val="none" w:sz="0" w:space="0" w:color="auto"/>
        <w:right w:val="none" w:sz="0" w:space="0" w:color="auto"/>
      </w:divBdr>
    </w:div>
    <w:div w:id="381027732">
      <w:bodyDiv w:val="1"/>
      <w:marLeft w:val="0"/>
      <w:marRight w:val="0"/>
      <w:marTop w:val="0"/>
      <w:marBottom w:val="0"/>
      <w:divBdr>
        <w:top w:val="none" w:sz="0" w:space="0" w:color="auto"/>
        <w:left w:val="none" w:sz="0" w:space="0" w:color="auto"/>
        <w:bottom w:val="none" w:sz="0" w:space="0" w:color="auto"/>
        <w:right w:val="none" w:sz="0" w:space="0" w:color="auto"/>
      </w:divBdr>
    </w:div>
    <w:div w:id="494691773">
      <w:bodyDiv w:val="1"/>
      <w:marLeft w:val="0"/>
      <w:marRight w:val="0"/>
      <w:marTop w:val="0"/>
      <w:marBottom w:val="0"/>
      <w:divBdr>
        <w:top w:val="none" w:sz="0" w:space="0" w:color="auto"/>
        <w:left w:val="none" w:sz="0" w:space="0" w:color="auto"/>
        <w:bottom w:val="none" w:sz="0" w:space="0" w:color="auto"/>
        <w:right w:val="none" w:sz="0" w:space="0" w:color="auto"/>
      </w:divBdr>
    </w:div>
    <w:div w:id="764031981">
      <w:bodyDiv w:val="1"/>
      <w:marLeft w:val="0"/>
      <w:marRight w:val="0"/>
      <w:marTop w:val="0"/>
      <w:marBottom w:val="0"/>
      <w:divBdr>
        <w:top w:val="none" w:sz="0" w:space="0" w:color="auto"/>
        <w:left w:val="none" w:sz="0" w:space="0" w:color="auto"/>
        <w:bottom w:val="none" w:sz="0" w:space="0" w:color="auto"/>
        <w:right w:val="none" w:sz="0" w:space="0" w:color="auto"/>
      </w:divBdr>
    </w:div>
    <w:div w:id="901719560">
      <w:bodyDiv w:val="1"/>
      <w:marLeft w:val="0"/>
      <w:marRight w:val="0"/>
      <w:marTop w:val="0"/>
      <w:marBottom w:val="0"/>
      <w:divBdr>
        <w:top w:val="none" w:sz="0" w:space="0" w:color="auto"/>
        <w:left w:val="none" w:sz="0" w:space="0" w:color="auto"/>
        <w:bottom w:val="none" w:sz="0" w:space="0" w:color="auto"/>
        <w:right w:val="none" w:sz="0" w:space="0" w:color="auto"/>
      </w:divBdr>
    </w:div>
    <w:div w:id="947274944">
      <w:bodyDiv w:val="1"/>
      <w:marLeft w:val="0"/>
      <w:marRight w:val="0"/>
      <w:marTop w:val="0"/>
      <w:marBottom w:val="0"/>
      <w:divBdr>
        <w:top w:val="none" w:sz="0" w:space="0" w:color="auto"/>
        <w:left w:val="none" w:sz="0" w:space="0" w:color="auto"/>
        <w:bottom w:val="none" w:sz="0" w:space="0" w:color="auto"/>
        <w:right w:val="none" w:sz="0" w:space="0" w:color="auto"/>
      </w:divBdr>
    </w:div>
    <w:div w:id="1057507520">
      <w:bodyDiv w:val="1"/>
      <w:marLeft w:val="0"/>
      <w:marRight w:val="0"/>
      <w:marTop w:val="0"/>
      <w:marBottom w:val="0"/>
      <w:divBdr>
        <w:top w:val="none" w:sz="0" w:space="0" w:color="auto"/>
        <w:left w:val="none" w:sz="0" w:space="0" w:color="auto"/>
        <w:bottom w:val="none" w:sz="0" w:space="0" w:color="auto"/>
        <w:right w:val="none" w:sz="0" w:space="0" w:color="auto"/>
      </w:divBdr>
    </w:div>
    <w:div w:id="1093207723">
      <w:bodyDiv w:val="1"/>
      <w:marLeft w:val="0"/>
      <w:marRight w:val="0"/>
      <w:marTop w:val="0"/>
      <w:marBottom w:val="0"/>
      <w:divBdr>
        <w:top w:val="none" w:sz="0" w:space="0" w:color="auto"/>
        <w:left w:val="none" w:sz="0" w:space="0" w:color="auto"/>
        <w:bottom w:val="none" w:sz="0" w:space="0" w:color="auto"/>
        <w:right w:val="none" w:sz="0" w:space="0" w:color="auto"/>
      </w:divBdr>
    </w:div>
    <w:div w:id="1174762933">
      <w:bodyDiv w:val="1"/>
      <w:marLeft w:val="0"/>
      <w:marRight w:val="0"/>
      <w:marTop w:val="0"/>
      <w:marBottom w:val="0"/>
      <w:divBdr>
        <w:top w:val="none" w:sz="0" w:space="0" w:color="auto"/>
        <w:left w:val="none" w:sz="0" w:space="0" w:color="auto"/>
        <w:bottom w:val="none" w:sz="0" w:space="0" w:color="auto"/>
        <w:right w:val="none" w:sz="0" w:space="0" w:color="auto"/>
      </w:divBdr>
    </w:div>
    <w:div w:id="14135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t-PqOaX1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marketer.com/content/84-51-exec-what-expect-consumers-how-achieve-omnichannel-success-2024" TargetMode="External"/><Relationship Id="rId12" Type="http://schemas.openxmlformats.org/officeDocument/2006/relationships/hyperlink" Target="https://www.bcg.com/publications/2021/pricing-playbook-for-cpg-compan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nielseniq.com" TargetMode="External"/><Relationship Id="rId10" Type="http://schemas.openxmlformats.org/officeDocument/2006/relationships/hyperlink" Target="https://www.youtube.com/watch?v=Hi_RZzxBfF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bc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Latham, Hannah (lathamhp)</dc:creator>
  <cp:keywords/>
  <dc:description/>
  <cp:lastModifiedBy>Marturu, Bharath (marturbh)</cp:lastModifiedBy>
  <cp:revision>15</cp:revision>
  <dcterms:created xsi:type="dcterms:W3CDTF">2024-03-22T22:00:00Z</dcterms:created>
  <dcterms:modified xsi:type="dcterms:W3CDTF">2024-08-16T22:29:00Z</dcterms:modified>
</cp:coreProperties>
</file>