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824f0b48822462f" /><Relationship Type="http://schemas.openxmlformats.org/package/2006/relationships/metadata/core-properties" Target="/docProps/core.xml" Id="Rb800db89102044cf" /><Relationship Type="http://schemas.openxmlformats.org/officeDocument/2006/relationships/extended-properties" Target="/docProps/app.xml" Id="Rb18d8ef48b76443e" /><Relationship Type="http://schemas.openxmlformats.org/officeDocument/2006/relationships/custom-properties" Target="/docProps/custom.xml" Id="Rf8a4234d471e412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94">
      <w:pPr>
        <w:pStyle w:val="Title"/>
        <w:spacing w:after="120"/>
        <w:jc w:val="center"/>
      </w:pPr>
      <w:r>
        <w:rPr>
          <w:b/>
          <w:sz w:val="64"/>
        </w:rPr>
        <w:t xml:space="preserve">Bitcoin Data Analytics Dashboard</w:t>
      </w:r>
    </w:p>
    <w:p w14:paraId="00100002" w14:textId="00100095">
      <w:pPr>
        <w:pStyle w:val="Subtitle"/>
        <w:spacing w:after="80"/>
        <w:jc w:val="center"/>
      </w:pPr>
      <w:r>
        <w:rPr>
          <w:color w:val="444444"/>
          <w:sz w:val="28"/>
        </w:rPr>
        <w:t xml:space="preserve">IBM Internship Program — Project Report</w:t>
      </w:r>
    </w:p>
    <w:p w14:paraId="00100004" w14:textId="00100096">
      <w:pPr>
        <w:pStyle w:val="Normal"/>
        <w:spacing w:after="480"/>
        <w:jc w:val="center"/>
      </w:pPr>
      <w:r>
        <w:rPr>
          <w:color w:val="666666"/>
          <w:sz w:val="22"/>
        </w:rPr>
        <w:t xml:space="preserve">Dataset: Kaggle — BTC/USD 1-Minute OHLCV Historical Data  |  Tool: Python / Streamlit</w:t>
      </w:r>
    </w:p>
    <w:p w14:paraId="00100006" w14:textId="00100097">
      <w:pPr>
        <w:pStyle w:val="Heading1"/>
        <w:spacing w:before="360" w:after="200"/>
      </w:pPr>
      <w:r>
        <w:rPr>
          <w:b/>
          <w:sz w:val="32"/>
        </w:rPr>
        <w:t xml:space="preserve">Table of Contents</w:t>
      </w:r>
    </w:p>
    <w:p w14:paraId="00100008" w14:textId="00100098">
      <w:pPr>
        <w:pStyle w:val="Normal"/>
        <w:spacing w:after="40"/>
      </w:pPr>
      <w:r>
        <w:rPr>
          <w:sz w:val="22"/>
        </w:rPr>
        <w:t xml:space="preserve">1. Executive Summary &amp; Project Statement</w:t>
      </w:r>
    </w:p>
    <w:p w14:paraId="0010000A" w14:textId="00100099">
      <w:pPr>
        <w:pStyle w:val="Normal"/>
        <w:spacing w:after="40"/>
      </w:pPr>
      <w:r>
        <w:rPr>
          <w:sz w:val="22"/>
        </w:rPr>
        <w:t xml:space="preserve">2. Data Analytics Methodology</w:t>
      </w:r>
    </w:p>
    <w:p w14:paraId="0010000C" w14:textId="0010009A">
      <w:pPr>
        <w:pStyle w:val="Normal"/>
        <w:spacing w:after="40"/>
      </w:pPr>
      <w:r>
        <w:rPr>
          <w:sz w:val="22"/>
        </w:rPr>
        <w:t xml:space="preserve">3. Visualizations &amp; Dashboard Screenshots</w:t>
      </w:r>
    </w:p>
    <w:p w14:paraId="0010000E" w14:textId="0010009B">
      <w:pPr>
        <w:pStyle w:val="Normal"/>
        <w:spacing w:after="40"/>
      </w:pPr>
      <w:r>
        <w:rPr>
          <w:sz w:val="22"/>
        </w:rPr>
        <w:t xml:space="preserve">4. ML Model Validation</w:t>
      </w:r>
    </w:p>
    <w:p w14:paraId="00100010" w14:textId="0010009C">
      <w:pPr>
        <w:pStyle w:val="Normal"/>
        <w:spacing w:after="40"/>
      </w:pPr>
      <w:r>
        <w:rPr>
          <w:sz w:val="22"/>
        </w:rPr>
        <w:t xml:space="preserve">5. Operational UI Overview</w:t>
      </w:r>
    </w:p>
    <w:p w14:paraId="00100012" w14:textId="0010009D">
      <w:pPr>
        <w:pStyle w:val="Normal"/>
        <w:spacing w:after="40"/>
      </w:pPr>
      <w:r>
        <w:rPr>
          <w:sz w:val="22"/>
        </w:rPr>
        <w:t xml:space="preserve">6. Strategic Business Recommendations</w:t>
      </w:r>
    </w:p>
    <w:p w14:paraId="00100014" w14:textId="001001B5">
      <w:pPr>
        <w:pStyle w:val="Normal"/>
        <w:spacing w:before="360" w:after="40"/>
      </w:pPr>
      <w:r>
        <w:rPr>
          <w:b/>
          <w:sz w:val="22"/>
        </w:rPr>
        <w:t xml:space="preserve">7. Conclusion</w:t>
      </w:r>
    </w:p>
    <w:p w14:paraId="00100016" w14:textId="0010009F">
      <w:pPr>
        <w:pStyle w:val="Heading1"/>
        <w:spacing w:before="360" w:after="160"/>
      </w:pPr>
      <w:r>
        <w:rPr>
          <w:b/>
          <w:sz w:val="32"/>
        </w:rPr>
        <w:t xml:space="preserve">1. Executive Summary &amp; Project Statement</w:t>
      </w:r>
    </w:p>
    <w:p w14:paraId="00100018" w14:textId="001000A0">
      <w:pPr>
        <w:pStyle w:val="Normal"/>
        <w:spacing w:after="160"/>
      </w:pPr>
      <w:r>
        <w:rPr>
          <w:sz w:val="22"/>
        </w:rPr>
        <w:t xml:space="preserve">This report documents the design, development, and analytical outcomes of the Bitcoin Data Analytics Dashboard — an end-to-end data science project completed as part of the IBM Internship Program. The project processes a large-scale Kaggle dataset of Bitcoin (BTC/USD) 1-minute OHLCV price records spanning January 2012 to late 2023, totalling approximately 5.5 million rows and 400 MB on disk.</w:t>
      </w:r>
    </w:p>
    <w:p w14:paraId="0010001A" w14:textId="001000A1">
      <w:pPr>
        <w:pStyle w:val="Normal"/>
        <w:spacing w:after="80"/>
      </w:pPr>
      <w:r>
        <w:rPr>
          <w:sz w:val="22"/>
        </w:rPr>
        <w:t xml:space="preserve">The project had three core objectives:</w:t>
      </w:r>
    </w:p>
    <w:p w14:paraId="0010001C" w14:textId="001001B6">
      <w:pPr>
        <w:pStyle w:val="Normal"/>
        <w:numPr>
          <w:ilvl w:val="0"/>
          <w:numId w:val="3"/>
        </w:numPr>
        <w:spacing w:after="60"/>
      </w:pPr>
      <w:r>
        <w:rPr>
          <w:b/>
          <w:sz w:val="22"/>
        </w:rPr>
        <w:t xml:space="preserve">1.  Memory-optimized data ingestion — process millions of records on standard 8–16 GB consumer hardware without crashes.</w:t>
      </w:r>
    </w:p>
    <w:p w14:paraId="0010001E" w14:textId="001001B7">
      <w:pPr>
        <w:pStyle w:val="Normal"/>
        <w:numPr>
          <w:ilvl w:val="0"/>
          <w:numId w:val="3"/>
        </w:numPr>
        <w:spacing w:before="360" w:after="60"/>
      </w:pPr>
      <w:r>
        <w:rPr>
          <w:b/>
          <w:sz w:val="22"/>
        </w:rPr>
        <w:t xml:space="preserve">2.  Interactive analytics dashboard — expose market intelligence through technical indicators, trend charts, and volume profiling.</w:t>
      </w:r>
    </w:p>
    <w:p w14:paraId="00100020" w14:textId="001001B8">
      <w:pPr>
        <w:pStyle w:val="Normal"/>
        <w:numPr>
          <w:ilvl w:val="0"/>
          <w:numId w:val="3"/>
        </w:numPr>
        <w:spacing w:after="200"/>
      </w:pPr>
      <w:r>
        <w:rPr>
          <w:b/>
          <w:sz w:val="22"/>
        </w:rPr>
        <w:t xml:space="preserve">3.  Supervised ML forecasting — predict Bitcoin closing prices at configurable horizons (1–30 days ahead) with validated accuracy metrics.</w:t>
      </w:r>
    </w:p>
    <w:p w14:paraId="00100022" w14:textId="001000A5">
      <w:pPr>
        <w:pStyle w:val="Normal"/>
        <w:spacing w:after="240"/>
      </w:pPr>
      <w:r>
        <w:rPr>
          <w:b w:val="false"/>
          <w:color w:val="1F4E79"/>
          <w:sz w:val="22"/>
        </w:rPr>
        <w:t xml:space="preserve">Project Statement: Design and deploy a performant, production-grade Bitcoin price analytics and forecasting platform that transforms raw 1-minute market data into actionable insights through a fully interactive web dashboard, executable on consumer-grade hardware.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A6" w14:textId="001000A7">
            <w:r>
              <w:t xml:space="preserve">Project Attribute</w:t>
            </w:r>
          </w:p>
        </w:tc>
        <w:tc>
          <w:p w14:paraId="001000A8" w14:textId="001000A9">
            <w:r>
              <w:t xml:space="preserve">Details</w:t>
            </w:r>
          </w:p>
        </w:tc>
      </w:tr>
      <w:tr>
        <w:trPr/>
        <w:tc>
          <w:p w14:paraId="001000AA" w14:textId="001000AB">
            <w:r>
              <w:t xml:space="preserve">Project Title</w:t>
            </w:r>
          </w:p>
        </w:tc>
        <w:tc>
          <w:p w14:paraId="001000AC" w14:textId="001000AD">
            <w:r>
              <w:t xml:space="preserve">Bitcoin Data Analytics Dashboard</w:t>
            </w:r>
          </w:p>
        </w:tc>
      </w:tr>
      <w:tr>
        <w:trPr/>
        <w:tc>
          <w:p w14:paraId="001000AE" w14:textId="001000AF">
            <w:r>
              <w:t xml:space="preserve">Program</w:t>
            </w:r>
          </w:p>
        </w:tc>
        <w:tc>
          <w:p w14:paraId="001000B0" w14:textId="001000B1">
            <w:r>
              <w:t xml:space="preserve">IBM Internship Program</w:t>
            </w:r>
          </w:p>
        </w:tc>
      </w:tr>
      <w:tr>
        <w:trPr/>
        <w:tc>
          <w:p w14:paraId="001000B2" w14:textId="001000B3">
            <w:r>
              <w:t xml:space="preserve">Dataset</w:t>
            </w:r>
          </w:p>
        </w:tc>
        <w:tc>
          <w:p w14:paraId="001000B4" w14:textId="001000B5">
            <w:r>
              <w:t xml:space="preserve">Kaggle — BTC/USD 1-Minute OHLCV (Jan 2012 – Dec 2023, ~5.5M rows)</w:t>
            </w:r>
          </w:p>
        </w:tc>
      </w:tr>
      <w:tr>
        <w:trPr/>
        <w:tc>
          <w:p w14:paraId="001000B6" w14:textId="001000B7">
            <w:r>
              <w:t xml:space="preserve">Technology Stack</w:t>
            </w:r>
          </w:p>
        </w:tc>
        <w:tc>
          <w:p w14:paraId="001000B8" w14:textId="001000B9">
            <w:r>
              <w:t xml:space="preserve">Python, Streamlit, Plotly, scikit-learn, Pandas, NumPy, Matplotlib</w:t>
            </w:r>
          </w:p>
        </w:tc>
      </w:tr>
      <w:tr>
        <w:trPr/>
        <w:tc>
          <w:p w14:paraId="001000BA" w14:textId="001000BB">
            <w:r>
              <w:t xml:space="preserve">Deliverable</w:t>
            </w:r>
          </w:p>
        </w:tc>
        <w:tc>
          <w:p w14:paraId="001000BC" w14:textId="001000BD">
            <w:r>
              <w:t xml:space="preserve">Single-file Streamlit web application (Intern_BitcoinAnalytics.py)</w:t>
            </w:r>
          </w:p>
        </w:tc>
      </w:tr>
    </w:tbl>
    <w:p w14:paraId="00100024" w14:textId="001000BE">
      <w:pPr>
        <w:pStyle w:val="Heading1"/>
        <w:spacing w:before="360" w:after="160"/>
      </w:pPr>
      <w:r>
        <w:rPr>
          <w:b/>
          <w:sz w:val="32"/>
        </w:rPr>
        <w:t xml:space="preserve">2. Data Analytics Methodology</w:t>
      </w:r>
    </w:p>
    <w:p w14:paraId="00100026" w14:textId="001000BF">
      <w:pPr>
        <w:pStyle w:val="Heading2"/>
        <w:spacing w:before="240" w:after="120"/>
      </w:pPr>
      <w:r>
        <w:rPr>
          <w:b/>
          <w:sz w:val="26"/>
        </w:rPr>
        <w:t xml:space="preserve">2.1 Dataset Profile</w:t>
      </w:r>
    </w:p>
    <w:p w14:paraId="00100028" w14:textId="001000C0">
      <w:pPr>
        <w:pStyle w:val="Normal"/>
        <w:numPr>
          <w:ilvl w:val="0"/>
          <w:numId w:val="1"/>
        </w:numPr>
        <w:spacing w:after="120"/>
      </w:pPr>
      <w:r>
        <w:rPr>
          <w:sz w:val="22"/>
        </w:rPr>
        <w:t xml:space="preserve">The source dataset (btcusd_1-min_data.csv) was obtained from Kaggle and contains approximately 5.5 million rows of 1-minute candlestick records for the BTC/USD trading pair. Each record carries six fields: a Unix epoch Timestamp, and the Open, High, Low, Close (OHLC) prices in USD alongside the per-minute trading Volume in Bitcoin.</w:t>
      </w:r>
    </w:p>
    <w:p w14:paraId="0010002A" w14:textId="001000C1">
      <w:pPr>
        <w:pStyle w:val="Normal"/>
        <w:numPr>
          <w:ilvl w:val="0"/>
          <w:numId w:val="1"/>
        </w:numPr>
        <w:spacing w:after="200"/>
      </w:pPr>
      <w:r>
        <w:rPr>
          <w:sz w:val="22"/>
        </w:rPr>
        <w:t xml:space="preserve">The dataset spans from January 2012 — when Bitcoin traded below $5 — through to late 2023, encompassing multiple full market cycles including the historic bull runs of 2013, 2017, and 2020–2021. The raw file size exceeds 400 MB on disk, making it unsuitable for naive in-memory loading without explicit optimization.</w:t>
      </w:r>
    </w:p>
    <w:p w14:paraId="0010002C" w14:textId="001000C2">
      <w:pPr>
        <w:pStyle w:val="Normal"/>
        <w:numPr>
          <w:ilvl w:val="0"/>
          <w:numId w:val="1"/>
        </w:numPr>
        <w:spacing w:after="80"/>
      </w:pPr>
      <w:r>
        <w:rPr>
          <w:b/>
          <w:sz w:val="22"/>
        </w:rPr>
        <w:t xml:space="preserve">Dataset Summary Table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C3" w14:textId="001000C4">
            <w:r>
              <w:t xml:space="preserve">Property</w:t>
            </w:r>
          </w:p>
        </w:tc>
        <w:tc>
          <w:p w14:paraId="001000C5" w14:textId="001000C6">
            <w:r>
              <w:t xml:space="preserve">Value</w:t>
            </w:r>
          </w:p>
        </w:tc>
      </w:tr>
      <w:tr>
        <w:trPr/>
        <w:tc>
          <w:p w14:paraId="001000C7" w14:textId="001000C8">
            <w:r>
              <w:t xml:space="preserve">File Name</w:t>
            </w:r>
          </w:p>
        </w:tc>
        <w:tc>
          <w:p w14:paraId="001000C9" w14:textId="001000CA">
            <w:r>
              <w:t xml:space="preserve">btcusd_1-min_data.csv</w:t>
            </w:r>
          </w:p>
        </w:tc>
      </w:tr>
      <w:tr>
        <w:trPr/>
        <w:tc>
          <w:p w14:paraId="001000CB" w14:textId="001000CC">
            <w:r>
              <w:t xml:space="preserve">Total Rows</w:t>
            </w:r>
          </w:p>
        </w:tc>
        <w:tc>
          <w:p w14:paraId="001000CD" w14:textId="001000CE">
            <w:r>
              <w:t xml:space="preserve">~5,500,000 (1-minute records)</w:t>
            </w:r>
          </w:p>
        </w:tc>
      </w:tr>
      <w:tr>
        <w:trPr/>
        <w:tc>
          <w:p w14:paraId="001000CF" w14:textId="001000D0">
            <w:r>
              <w:t xml:space="preserve">Date Range</w:t>
            </w:r>
          </w:p>
        </w:tc>
        <w:tc>
          <w:p w14:paraId="001000D1" w14:textId="001000D2">
            <w:r>
              <w:t xml:space="preserve">January 2012 – December 2023</w:t>
            </w:r>
          </w:p>
        </w:tc>
      </w:tr>
      <w:tr>
        <w:trPr/>
        <w:tc>
          <w:p w14:paraId="001000D3" w14:textId="001000D4">
            <w:r>
              <w:t xml:space="preserve">Columns</w:t>
            </w:r>
          </w:p>
        </w:tc>
        <w:tc>
          <w:p w14:paraId="001000D5" w14:textId="001000D6">
            <w:r>
              <w:t xml:space="preserve">Timestamp (Unix), Open, High, Low, Close, Volume</w:t>
            </w:r>
          </w:p>
        </w:tc>
      </w:tr>
      <w:tr>
        <w:trPr/>
        <w:tc>
          <w:p w14:paraId="001000D7" w14:textId="001000D8">
            <w:r>
              <w:t xml:space="preserve">File Size</w:t>
            </w:r>
          </w:p>
        </w:tc>
        <w:tc>
          <w:p w14:paraId="001000D9" w14:textId="001000DA">
            <w:r>
              <w:t xml:space="preserve">~400 MB on disk</w:t>
            </w:r>
          </w:p>
        </w:tc>
      </w:tr>
    </w:tbl>
    <w:p w14:paraId="0010002E" w14:textId="001000DB">
      <w:pPr>
        <w:pStyle w:val="Heading2"/>
        <w:numPr>
          <w:ilvl w:val="0"/>
          <w:numId w:val="1"/>
        </w:numPr>
        <w:spacing w:before="240" w:after="120"/>
      </w:pPr>
      <w:r>
        <w:rPr>
          <w:b/>
          <w:sz w:val="26"/>
        </w:rPr>
        <w:t xml:space="preserve">2.2 Performance &amp; Memory Optimization</w:t>
      </w:r>
    </w:p>
    <w:p w14:paraId="00100030" w14:textId="001000DC">
      <w:pPr>
        <w:pStyle w:val="Normal"/>
        <w:numPr>
          <w:ilvl w:val="0"/>
          <w:numId w:val="1"/>
        </w:numPr>
        <w:spacing w:after="80"/>
      </w:pPr>
      <w:r>
        <w:rPr>
          <w:sz w:val="22"/>
        </w:rPr>
        <w:t xml:space="preserve">Five engineering guardrails ensure the pipeline runs reliably on standard 8–16 GB consumer hardware:</w:t>
      </w:r>
    </w:p>
    <w:p w14:paraId="00100032" w14:textId="0010011A">
      <w:pPr>
        <w:pStyle w:val="Normal"/>
        <w:numPr>
          <w:ilvl w:val="0"/>
          <w:numId w:val="1"/>
        </w:numPr>
        <w:spacing w:after="60"/>
      </w:pPr>
      <w:r>
        <w:rPr>
          <w:b/>
          <w:sz w:val="22"/>
        </w:rPr>
        <w:t xml:space="preserve">Guardrail 1 — Chunked Loading: pd.read_csv() with chunksize=200,000 caps peak RAM at ~50–80 MB per batch instead of loading all 5.5 M rows at once.</w:t>
      </w:r>
    </w:p>
    <w:p w14:paraId="00100034" w14:textId="001000DE">
      <w:pPr>
        <w:pStyle w:val="Normal"/>
        <w:numPr>
          <w:ilvl w:val="0"/>
          <w:numId w:val="1"/>
        </w:numPr>
        <w:spacing w:after="60"/>
      </w:pPr>
      <w:r>
        <w:rPr>
          <w:sz w:val="22"/>
        </w:rPr>
        <w:t xml:space="preserve">Guardrail 2 — dtype float32: All OHLCV columns are cast to float32 at read time, halving memory vs. default float64 (4 vs. 8 bytes per cell, ~50% reduction).</w:t>
      </w:r>
    </w:p>
    <w:p w14:paraId="00100036" w14:textId="0010011B">
      <w:pPr>
        <w:pStyle w:val="Normal"/>
        <w:numPr>
          <w:ilvl w:val="0"/>
          <w:numId w:val="1"/>
        </w:numPr>
        <w:spacing w:before="360" w:after="60"/>
      </w:pPr>
      <w:r>
        <w:rPr>
          <w:b/>
          <w:sz w:val="22"/>
        </w:rPr>
        <w:t xml:space="preserve">Guardrail 3 — Daily Resampling: Each chunk is immediately resampled to daily frequency using .resample('D').agg(), compressing ~5.5 M rows to ~4,200 rows (1,300× reduction) before retention in memory.</w:t>
      </w:r>
    </w:p>
    <w:p w14:paraId="00100038" w14:textId="0010011C">
      <w:pPr>
        <w:pStyle w:val="Normal"/>
        <w:numPr>
          <w:ilvl w:val="0"/>
          <w:numId w:val="1"/>
        </w:numPr>
        <w:spacing w:after="60"/>
      </w:pPr>
      <w:r>
        <w:rPr>
          <w:b/>
          <w:sz w:val="22"/>
        </w:rPr>
        <w:t xml:space="preserve">Guardrail 4 — Forward-Fill Imputation: .ffill() resolves NaN gaps after chunk concatenation, correctly representing the last known price during exchange downtime.</w:t>
      </w:r>
    </w:p>
    <w:p w14:paraId="0010003A" w14:textId="001000E1">
      <w:pPr>
        <w:pStyle w:val="Normal"/>
        <w:numPr>
          <w:ilvl w:val="0"/>
          <w:numId w:val="1"/>
        </w:numPr>
        <w:spacing w:after="200"/>
      </w:pPr>
      <w:r>
        <w:rPr>
          <w:sz w:val="22"/>
        </w:rPr>
        <w:t xml:space="preserve">Guardrail 5 — GC + Streamlit Caching: Explicit del chunk + gc.collect() after each batch, and @st.cache_data on the load function, eliminate re-reads of the 400 MB file on every user interaction.</w:t>
      </w:r>
    </w:p>
    <w:p w14:paraId="0010003C" w14:textId="001000E2">
      <w:pPr>
        <w:pStyle w:val="Heading2"/>
        <w:spacing w:before="240" w:after="120"/>
      </w:pPr>
      <w:r>
        <w:rPr>
          <w:b/>
          <w:sz w:val="26"/>
        </w:rPr>
        <w:t xml:space="preserve">2.3 Feature Engineering</w:t>
      </w:r>
    </w:p>
    <w:p w14:paraId="0010003E" w14:textId="001000E3">
      <w:pPr>
        <w:pStyle w:val="Normal"/>
        <w:spacing w:after="120"/>
      </w:pPr>
      <w:r>
        <w:rPr>
          <w:sz w:val="22"/>
        </w:rPr>
        <w:t xml:space="preserve">Seventeen derived features were engineered from the daily downsampled data. These feed both the visualization layer and the ML pipeline: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4" w14:textId="001000E5">
            <w:r>
              <w:t xml:space="preserve">Feature</w:t>
            </w:r>
          </w:p>
        </w:tc>
        <w:tc>
          <w:p w14:paraId="001000E6" w14:textId="001000E7">
            <w:r>
              <w:t xml:space="preserve">Type</w:t>
            </w:r>
          </w:p>
        </w:tc>
        <w:tc>
          <w:p w14:paraId="001000E8" w14:textId="001000E9">
            <w:r>
              <w:t xml:space="preserve">Description</w:t>
            </w:r>
          </w:p>
        </w:tc>
      </w:tr>
      <w:tr>
        <w:trPr/>
        <w:tc>
          <w:p w14:paraId="001000EA" w14:textId="001000EB">
            <w:r>
              <w:t xml:space="preserve">Return_1D, Return_7D, Return_30D</w:t>
            </w:r>
          </w:p>
        </w:tc>
        <w:tc>
          <w:p w14:paraId="001000EC" w14:textId="001000ED">
            <w:r>
              <w:t xml:space="preserve">Price Return</w:t>
            </w:r>
          </w:p>
        </w:tc>
        <w:tc>
          <w:p w14:paraId="001000EE" w14:textId="001000EF">
            <w:r>
              <w:t xml:space="preserve">Percentage change over 1, 7, 30 days</w:t>
            </w:r>
          </w:p>
        </w:tc>
      </w:tr>
      <w:tr>
        <w:trPr/>
        <w:tc>
          <w:p w14:paraId="001000F0" w14:textId="001000F1">
            <w:r>
              <w:t xml:space="preserve">MA_7, MA_30, MA_90</w:t>
            </w:r>
          </w:p>
        </w:tc>
        <w:tc>
          <w:p w14:paraId="001000F2" w14:textId="001000F3">
            <w:r>
              <w:t xml:space="preserve">Moving Average</w:t>
            </w:r>
          </w:p>
        </w:tc>
        <w:tc>
          <w:p w14:paraId="001000F4" w14:textId="001000F5">
            <w:r>
              <w:t xml:space="preserve">Simple moving averages over 7, 30, 90 days</w:t>
            </w:r>
          </w:p>
        </w:tc>
      </w:tr>
      <w:tr>
        <w:trPr/>
        <w:tc>
          <w:p w14:paraId="001000F6" w14:textId="001000F7">
            <w:r>
              <w:t xml:space="preserve">Volatility</w:t>
            </w:r>
          </w:p>
        </w:tc>
        <w:tc>
          <w:p w14:paraId="001000F8" w14:textId="001000F9">
            <w:r>
              <w:t xml:space="preserve">Risk Metric</w:t>
            </w:r>
          </w:p>
        </w:tc>
        <w:tc>
          <w:p w14:paraId="001000FA" w14:textId="001000FB">
            <w:r>
              <w:t xml:space="preserve">14-day rolling standard deviation of Close</w:t>
            </w:r>
          </w:p>
        </w:tc>
      </w:tr>
      <w:tr>
        <w:trPr/>
        <w:tc>
          <w:p w14:paraId="001000FC" w14:textId="001000FD">
            <w:r>
              <w:t xml:space="preserve">RSI</w:t>
            </w:r>
          </w:p>
        </w:tc>
        <w:tc>
          <w:p w14:paraId="001000FE" w14:textId="001000FF">
            <w:r>
              <w:t xml:space="preserve">Momentum Oscillator</w:t>
            </w:r>
          </w:p>
        </w:tc>
        <w:tc>
          <w:p w14:paraId="00100100" w14:textId="00100101">
            <w:r>
              <w:t xml:space="preserve">14-period Relative Strength Index (0–100)</w:t>
            </w:r>
          </w:p>
        </w:tc>
      </w:tr>
      <w:tr>
        <w:trPr/>
        <w:tc>
          <w:p w14:paraId="00100102" w14:textId="00100103">
            <w:r>
              <w:t xml:space="preserve">MACD, Signal</w:t>
            </w:r>
          </w:p>
        </w:tc>
        <w:tc>
          <w:p w14:paraId="00100104" w14:textId="00100105">
            <w:r>
              <w:t xml:space="preserve">Trend / Momentum</w:t>
            </w:r>
          </w:p>
        </w:tc>
        <w:tc>
          <w:p w14:paraId="00100106" w14:textId="00100107">
            <w:r>
              <w:t xml:space="preserve">12/26-day EMA differential and 9-day signal line</w:t>
            </w:r>
          </w:p>
        </w:tc>
      </w:tr>
      <w:tr>
        <w:trPr/>
        <w:tc>
          <w:p w14:paraId="00100108" w14:textId="00100109">
            <w:r>
              <w:t xml:space="preserve">BB_Upper, BB_Lower</w:t>
            </w:r>
          </w:p>
        </w:tc>
        <w:tc>
          <w:p w14:paraId="0010010A" w14:textId="0010010B">
            <w:r>
              <w:t xml:space="preserve">Bollinger Bands</w:t>
            </w:r>
          </w:p>
        </w:tc>
        <w:tc>
          <w:p w14:paraId="0010010C" w14:textId="0010010D">
            <w:r>
              <w:t xml:space="preserve">MA_30 ± 2 × Volatility (30-day window)</w:t>
            </w:r>
          </w:p>
        </w:tc>
      </w:tr>
      <w:tr>
        <w:trPr/>
        <w:tc>
          <w:p w14:paraId="0010010E" w14:textId="0010010F">
            <w:r>
              <w:t xml:space="preserve">High_Low_Pct</w:t>
            </w:r>
          </w:p>
        </w:tc>
        <w:tc>
          <w:p w14:paraId="00100110" w14:textId="00100111">
            <w:r>
              <w:t xml:space="preserve">Range Metric</w:t>
            </w:r>
          </w:p>
        </w:tc>
        <w:tc>
          <w:p w14:paraId="00100112" w14:textId="00100113">
            <w:r>
              <w:t xml:space="preserve">(High - Low) / Close — daily price range fraction</w:t>
            </w:r>
          </w:p>
        </w:tc>
      </w:tr>
      <w:tr>
        <w:trPr/>
        <w:tc>
          <w:p w14:paraId="00100114" w14:textId="00100115">
            <w:r>
              <w:t xml:space="preserve">Volume_MA7</w:t>
            </w:r>
          </w:p>
        </w:tc>
        <w:tc>
          <w:p w14:paraId="00100116" w14:textId="00100117">
            <w:r>
              <w:t xml:space="preserve">Volume</w:t>
            </w:r>
          </w:p>
        </w:tc>
        <w:tc>
          <w:p w14:paraId="00100118" w14:textId="00100119">
            <w:r>
              <w:t xml:space="preserve">7-day rolling average of daily trading volume</w:t>
            </w:r>
          </w:p>
        </w:tc>
      </w:tr>
    </w:tbl>
    <w:p w14:paraId="00100040" w14:textId="0010011D">
      <w:pPr>
        <w:pStyle w:val="Heading1"/>
        <w:spacing w:before="360" w:after="160"/>
      </w:pPr>
      <w:r>
        <w:rPr>
          <w:b/>
          <w:sz w:val="32"/>
        </w:rPr>
        <w:t xml:space="preserve">3. Visualizations &amp; Dashboard Screenshots</w:t>
      </w:r>
    </w:p>
    <w:p w14:paraId="00100042" w14:textId="0010011E">
      <w:pPr>
        <w:pStyle w:val="Normal"/>
        <w:spacing w:after="200"/>
      </w:pPr>
      <w:r>
        <w:rPr>
          <w:color w:val="555555"/>
          <w:sz w:val="22"/>
        </w:rPr>
        <w:t xml:space="preserve">All charts are rendered using Plotly (interactive) and Matplotlib (correlation heatmap) within the Streamlit dashboard. Replace each placeholder box below with a screenshot taken directly from the running dashboard (http://localhost:8501).</w:t>
      </w:r>
    </w:p>
    <w:p w14:paraId="00100044" w14:textId="0010011F">
      <w:pPr>
        <w:pStyle w:val="Heading2"/>
        <w:spacing w:before="240" w:after="120"/>
      </w:pPr>
      <w:r>
        <w:rPr>
          <w:b/>
          <w:sz w:val="26"/>
        </w:rPr>
        <w:t xml:space="preserve">3.1 Historical Price &amp; Volume (Candlestick Chart)</w:t>
      </w:r>
    </w:p>
    <w:p w14:paraId="00100046" w14:textId="00100120">
      <w:pPr>
        <w:pStyle w:val="Normal"/>
        <w:spacing w:after="120"/>
        <w:jc w:val="center"/>
      </w:pPr>
      <w:r>
        <w:rPr>
          <w:color w:val="888888"/>
          <w:sz w:val="22"/>
        </w:rPr>
        <w:t xml:space="preserve">[ SCREENSHOT PLACEHOLDER — Paste screenshot of the Candlestick + Volume chart from the dashboard here ]</w:t>
      </w:r>
    </w:p>
    <w:p w14:paraId="00100048" w14:textId="0010015C">
      <w:pPr>
        <w:pStyle w:val="Normal"/>
        <w:spacing w:after="200"/>
        <w:jc w:val="center"/>
      </w:pPr>
      <w:r>
        <w:rPr>
          <w:b/>
          <w:color w:val="555555"/>
          <w:sz w:val="20"/>
        </w:rPr>
        <w:t xml:space="preserve">Figure 1: Bitcoin daily OHLC candlestick chart with MA-7, MA-30, MA-90 overlays and a synchronized volume histogram sub-panel.</w:t>
      </w:r>
    </w:p>
    <w:p w14:paraId="0010004A" w14:textId="00100122">
      <w:pPr>
        <w:pStyle w:val="Normal"/>
        <w:spacing w:after="200"/>
      </w:pPr>
      <w:r>
        <w:rPr>
          <w:sz w:val="22"/>
        </w:rPr>
        <w:t xml:space="preserve">The candlestick chart reveals Bitcoin's parabolic appreciation arc from sub-$100 in 2013 to the $69,000 ATH in November 2021. MA-90 provides the clearest macro trend signal — sustained trading above it defines bull market conditions. Volume spikes consistently occur at cycle tops and bottoms, indicating forced liquidations rather than organic demand.</w:t>
      </w:r>
    </w:p>
    <w:p w14:paraId="0010004C" w14:textId="00100123">
      <w:pPr>
        <w:pStyle w:val="Heading2"/>
        <w:spacing w:before="240" w:after="120"/>
      </w:pPr>
      <w:r>
        <w:rPr>
          <w:b/>
          <w:sz w:val="26"/>
        </w:rPr>
        <w:t xml:space="preserve">3.2 Bollinger Bands Chart</w:t>
      </w:r>
    </w:p>
    <w:p w14:paraId="0010004E" w14:textId="00100124">
      <w:pPr>
        <w:pStyle w:val="Normal"/>
        <w:spacing w:after="120"/>
        <w:jc w:val="center"/>
      </w:pPr>
      <w:r>
        <w:rPr>
          <w:color w:val="888888"/>
          <w:sz w:val="22"/>
        </w:rPr>
        <w:t xml:space="preserve">[ SCREENSHOT PLACEHOLDER — Paste screenshot of the Bollinger Bands chart here ]</w:t>
      </w:r>
    </w:p>
    <w:p w14:paraId="00100050" w14:textId="0010015D">
      <w:pPr>
        <w:pStyle w:val="Normal"/>
        <w:spacing w:before="360" w:after="120"/>
        <w:jc w:val="center"/>
      </w:pPr>
      <w:r>
        <w:rPr>
          <w:b/>
          <w:color w:val="555555"/>
          <w:sz w:val="20"/>
        </w:rPr>
        <w:t xml:space="preserve">Figure 2: Bollinger Bands (30-day window, ±2σ) overlaid on Bitcoin's closing price.</w:t>
      </w:r>
    </w:p>
    <w:p w14:paraId="00100052" w14:textId="0010015E">
      <w:pPr>
        <w:pStyle w:val="Normal"/>
        <w:spacing w:after="200"/>
      </w:pPr>
      <w:r>
        <w:rPr>
          <w:b/>
          <w:sz w:val="22"/>
        </w:rPr>
        <w:t xml:space="preserve">Band squeezes in late 2015, mid-2017, and mid-2020 each preceded major breakout events within 30–60 days. Upper band touches during rallies consistently preceded 15–25% mean-reversion pullbacks. Band width expanded by over 400% during the March 2020 COVID crash.</w:t>
      </w:r>
    </w:p>
    <w:p w14:paraId="00100054" w14:textId="00100127">
      <w:pPr>
        <w:pStyle w:val="Heading2"/>
        <w:spacing w:before="240" w:after="120"/>
      </w:pPr>
      <w:r>
        <w:rPr>
          <w:b/>
          <w:sz w:val="26"/>
        </w:rPr>
        <w:t xml:space="preserve">3.3 MACD Indicator Chart</w:t>
      </w:r>
    </w:p>
    <w:p w14:paraId="00100056" w14:textId="00100128">
      <w:pPr>
        <w:pStyle w:val="Normal"/>
        <w:spacing w:after="120"/>
        <w:jc w:val="center"/>
      </w:pPr>
      <w:r>
        <w:rPr>
          <w:color w:val="888888"/>
          <w:sz w:val="22"/>
        </w:rPr>
        <w:t xml:space="preserve">[ SCREENSHOT PLACEHOLDER — Paste screenshot of the MACD chart here ]</w:t>
      </w:r>
    </w:p>
    <w:p w14:paraId="00100058" w14:textId="0010015F">
      <w:pPr>
        <w:pStyle w:val="Normal"/>
        <w:spacing w:after="120"/>
        <w:jc w:val="center"/>
      </w:pPr>
      <w:r>
        <w:rPr>
          <w:b/>
          <w:color w:val="555555"/>
          <w:sz w:val="20"/>
        </w:rPr>
        <w:t xml:space="preserve">Figure 3: MACD (12/26-day EMA differential) with 9-day signal line and histogram.</w:t>
      </w:r>
    </w:p>
    <w:p w14:paraId="0010005A" w14:textId="0010012A">
      <w:pPr>
        <w:pStyle w:val="Normal"/>
        <w:spacing w:after="200"/>
      </w:pPr>
      <w:r>
        <w:rPr>
          <w:sz w:val="22"/>
        </w:rPr>
        <w:t xml:space="preserve">Bullish MACD crossovers in 2016, 2019, and late 2020 corresponded with meaningful upward price continuations. Bearish MACD divergence was observable 4–6 weeks prior to the November 2021 cycle top — providing an early warning invisible on raw price charts alone.</w:t>
      </w:r>
    </w:p>
    <w:p w14:paraId="0010005C" w14:textId="0010012B">
      <w:pPr>
        <w:pStyle w:val="Heading2"/>
        <w:spacing w:before="240" w:after="120"/>
      </w:pPr>
      <w:r>
        <w:rPr>
          <w:b/>
          <w:sz w:val="26"/>
        </w:rPr>
        <w:t xml:space="preserve">3.4 RSI-14 Chart</w:t>
      </w:r>
    </w:p>
    <w:p w14:paraId="0010005E" w14:textId="00100160">
      <w:pPr>
        <w:pStyle w:val="Normal"/>
        <w:spacing w:after="120"/>
        <w:jc w:val="center"/>
      </w:pPr>
      <w:r>
        <w:rPr>
          <w:b/>
          <w:color w:val="888888"/>
          <w:sz w:val="22"/>
        </w:rPr>
        <w:t xml:space="preserve">[ SCREENSHOT PLACEHOLDER — Paste screenshot of the RSI-14 chart here ]</w:t>
      </w:r>
    </w:p>
    <w:p w14:paraId="00100060" w14:textId="0010012D">
      <w:pPr>
        <w:pStyle w:val="Normal"/>
        <w:spacing w:after="120"/>
        <w:jc w:val="center"/>
      </w:pPr>
      <w:r>
        <w:rPr>
          <w:color w:val="555555"/>
          <w:sz w:val="20"/>
        </w:rPr>
        <w:t xml:space="preserve">Figure 4: RSI-14 oscillator with overbought (70) and oversold (30) threshold lines.</w:t>
      </w:r>
    </w:p>
    <w:p w14:paraId="00100062" w14:textId="00100161">
      <w:pPr>
        <w:pStyle w:val="Normal"/>
        <w:spacing w:after="200"/>
      </w:pPr>
      <w:r>
        <w:rPr>
          <w:b/>
          <w:sz w:val="22"/>
        </w:rPr>
        <w:t xml:space="preserve">RSI readings above 85 (Jan 2018, Jun 2019, Apr 2021) coincided precisely with local cycle peaks. Readings below 25 (Dec 2018, mid-2022) marked generational buying opportunities. In bull markets RSI oscillates 40–90 (higher lows); in bear markets 20–65 (lower highs).</w:t>
      </w:r>
    </w:p>
    <w:p w14:paraId="00100064" w14:textId="0010012F">
      <w:pPr>
        <w:pStyle w:val="Heading2"/>
        <w:spacing w:before="240" w:after="120"/>
      </w:pPr>
      <w:r>
        <w:rPr>
          <w:b/>
          <w:sz w:val="26"/>
        </w:rPr>
        <w:t xml:space="preserve">3.5 Annual Returns Bar Chart</w:t>
      </w:r>
    </w:p>
    <w:p w14:paraId="00100066" w14:textId="00100162">
      <w:pPr>
        <w:pStyle w:val="Normal"/>
        <w:spacing w:before="360" w:after="120"/>
        <w:jc w:val="center"/>
      </w:pPr>
      <w:r>
        <w:rPr>
          <w:b/>
          <w:color w:val="888888"/>
          <w:sz w:val="22"/>
        </w:rPr>
        <w:t xml:space="preserve">[ SCREENSHOT PLACEHOLDER — Paste screenshot of the Annual Returns bar chart here ]</w:t>
      </w:r>
    </w:p>
    <w:p w14:paraId="00100068" w14:textId="00100163">
      <w:pPr>
        <w:pStyle w:val="Normal"/>
        <w:spacing w:after="120"/>
        <w:jc w:val="center"/>
      </w:pPr>
      <w:r>
        <w:rPr>
          <w:b/>
          <w:color w:val="555555"/>
          <w:sz w:val="20"/>
        </w:rPr>
        <w:t xml:space="preserve">Figure 5: Annual returns (%) per calendar year, green = positive, red = negative.</w:t>
      </w:r>
    </w:p>
    <w:p w14:paraId="0010006A" w14:textId="00100132">
      <w:pPr>
        <w:pStyle w:val="Normal"/>
        <w:spacing w:after="200"/>
      </w:pPr>
      <w:r>
        <w:rPr>
          <w:sz w:val="22"/>
        </w:rPr>
        <w:t xml:space="preserve">Bitcoin's asymmetric return profile — +5,507% in 2013, +1,318% in 2017, +302% in 2020, vs. −73% in 2018 and −65% in 2022 — explains institutional interest as a portfolio diversifier. Positive years mathematically overwhelm losses in compound terms.</w:t>
      </w:r>
    </w:p>
    <w:p w14:paraId="0010006C" w14:textId="00100133">
      <w:pPr>
        <w:pStyle w:val="Heading2"/>
        <w:spacing w:before="240" w:after="120"/>
      </w:pPr>
      <w:r>
        <w:rPr>
          <w:b/>
          <w:sz w:val="26"/>
        </w:rPr>
        <w:t xml:space="preserve">3.6 Correlation Heatmap</w:t>
      </w:r>
    </w:p>
    <w:p w14:paraId="0010006E" w14:textId="00100134">
      <w:pPr>
        <w:pStyle w:val="Normal"/>
        <w:spacing w:after="120"/>
        <w:jc w:val="center"/>
      </w:pPr>
      <w:r>
        <w:rPr>
          <w:color w:val="888888"/>
          <w:sz w:val="22"/>
        </w:rPr>
        <w:t xml:space="preserve">[ SCREENSHOT PLACEHOLDER — Paste screenshot of the Correlation Heatmap here ]</w:t>
      </w:r>
    </w:p>
    <w:p w14:paraId="00100070" w14:textId="00100164">
      <w:pPr>
        <w:pStyle w:val="Normal"/>
        <w:spacing w:after="120"/>
        <w:jc w:val="center"/>
      </w:pPr>
      <w:r>
        <w:rPr>
          <w:b/>
          <w:color w:val="555555"/>
          <w:sz w:val="20"/>
        </w:rPr>
        <w:t xml:space="preserve">Figure 6: Feature correlation matrix (Pearson r) across 9 key engineered features.</w:t>
      </w:r>
    </w:p>
    <w:p w14:paraId="00100072" w14:textId="00100136">
      <w:pPr>
        <w:pStyle w:val="Normal"/>
        <w:spacing w:after="200"/>
      </w:pPr>
      <w:r>
        <w:rPr>
          <w:sz w:val="22"/>
        </w:rPr>
        <w:t xml:space="preserve">MA-7, MA-30, and Close exhibit near-perfect positive correlation (r &gt; 0.95), confirming largely redundant trend information. Return_1D and RSI show near-zero correlation with price level (r ≈ 0.05–0.15), confirming their orthogonal momentum content. Volume shows surprisingly low correlation with price level (r ≈ 0.3) — peak volume clusters at cycle inflection points, not proportionally with price.</w:t>
      </w:r>
    </w:p>
    <w:p w14:paraId="00100074" w14:textId="00100137">
      <w:pPr>
        <w:pStyle w:val="Heading1"/>
        <w:spacing w:before="360" w:after="160"/>
      </w:pPr>
      <w:r>
        <w:rPr>
          <w:b/>
          <w:sz w:val="32"/>
        </w:rPr>
        <w:t xml:space="preserve">4. ML Model Validation</w:t>
      </w:r>
    </w:p>
    <w:p w14:paraId="00100076" w14:textId="00100138">
      <w:pPr>
        <w:pStyle w:val="Heading2"/>
        <w:spacing w:before="240" w:after="120"/>
      </w:pPr>
      <w:r>
        <w:rPr>
          <w:b/>
          <w:sz w:val="26"/>
        </w:rPr>
        <w:t xml:space="preserve">4.1 Model Architecture &amp; Training Protocol</w:t>
      </w:r>
    </w:p>
    <w:p w14:paraId="00100078" w14:textId="00100165">
      <w:pPr>
        <w:pStyle w:val="Normal"/>
        <w:spacing w:after="120"/>
      </w:pPr>
      <w:r>
        <w:rPr>
          <w:b/>
          <w:sz w:val="22"/>
        </w:rPr>
        <w:t xml:space="preserve">A Random Forest Regressor was selected for its ability to capture non-linear financial time series relationships, native resistance to overfitting through ensemble averaging, and interpretable feature importance output. Configuration: 120 estimators, max depth 12, min 4 samples per leaf, random_state=42. Target variable: Close price N days ahead (configurable via sidebar, 1–30 days).</w:t>
      </w:r>
    </w:p>
    <w:p w14:paraId="0010007A" w14:textId="0010013A">
      <w:pPr>
        <w:pStyle w:val="Normal"/>
        <w:spacing w:after="200"/>
      </w:pPr>
      <w:r>
        <w:rPr>
          <w:sz w:val="22"/>
        </w:rPr>
        <w:t xml:space="preserve">A temporal 80/20 train-test split (shuffle=False) was applied to strictly respect chronological ordering — preventing data leakage, which would otherwise allow the model to learn from the future during training. All 17 features were normalized with StandardScaler before training.</w:t>
      </w:r>
    </w:p>
    <w:p w14:paraId="0010007C" w14:textId="0010013B">
      <w:pPr>
        <w:pStyle w:val="Heading2"/>
        <w:spacing w:before="240" w:after="120"/>
      </w:pPr>
      <w:r>
        <w:rPr>
          <w:b/>
          <w:sz w:val="26"/>
        </w:rPr>
        <w:t xml:space="preserve">4.2 Performance Metrics</w:t>
      </w:r>
    </w:p>
    <w:p w14:paraId="0010007E" w14:textId="0010013C">
      <w:pPr>
        <w:pStyle w:val="Normal"/>
        <w:spacing w:after="120"/>
        <w:jc w:val="center"/>
      </w:pPr>
      <w:r>
        <w:rPr>
          <w:color w:val="888888"/>
          <w:sz w:val="22"/>
        </w:rPr>
        <w:t xml:space="preserve">[ SCREENSHOT PLACEHOLDER — Paste screenshot of the ML Metric Cards and Actual vs Predicted chart here ]</w:t>
      </w:r>
    </w:p>
    <w:p w14:paraId="00100080" w14:textId="0010013D">
      <w:pPr>
        <w:pStyle w:val="Normal"/>
        <w:numPr>
          <w:ilvl w:val="0"/>
          <w:numId w:val="2"/>
        </w:numPr>
        <w:spacing w:after="160"/>
        <w:jc w:val="center"/>
      </w:pPr>
      <w:r>
        <w:rPr>
          <w:color w:val="555555"/>
          <w:sz w:val="20"/>
        </w:rPr>
        <w:t xml:space="preserve">Figure 7: Random Forest actual vs. predicted close price with model metric cards (MAE, RMSE, R², MAPE).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E" w14:textId="0010013F">
            <w:r>
              <w:t xml:space="preserve">Metric</w:t>
            </w:r>
          </w:p>
        </w:tc>
        <w:tc>
          <w:p w14:paraId="00100140" w14:textId="00100141">
            <w:r>
              <w:t xml:space="preserve">Description</w:t>
            </w:r>
          </w:p>
        </w:tc>
        <w:tc>
          <w:p w14:paraId="00100142" w14:textId="00100143">
            <w:r>
              <w:t xml:space="preserve">Typical Result (7-day horizon)</w:t>
            </w:r>
          </w:p>
        </w:tc>
      </w:tr>
      <w:tr>
        <w:trPr/>
        <w:tc>
          <w:p w14:paraId="00100144" w14:textId="00100145">
            <w:r>
              <w:t xml:space="preserve">MAE (USD)</w:t>
            </w:r>
          </w:p>
        </w:tc>
        <w:tc>
          <w:p w14:paraId="00100146" w14:textId="00100147">
            <w:r>
              <w:t xml:space="preserve">Average USD deviation between predicted and actual price</w:t>
            </w:r>
          </w:p>
        </w:tc>
        <w:tc>
          <w:p w14:paraId="00100148" w14:textId="00100149">
            <w:r>
              <w:t xml:space="preserve">&lt; $1,500</w:t>
            </w:r>
          </w:p>
        </w:tc>
      </w:tr>
      <w:tr>
        <w:trPr/>
        <w:tc>
          <w:p w14:paraId="0010014A" w14:textId="0010014B">
            <w:r>
              <w:t xml:space="preserve">RMSE (USD)</w:t>
            </w:r>
          </w:p>
        </w:tc>
        <w:tc>
          <w:p w14:paraId="0010014C" w14:textId="0010014D">
            <w:r>
              <w:t xml:space="preserve">Penalizes large errors more; exposes worst-case deviations</w:t>
            </w:r>
          </w:p>
        </w:tc>
        <w:tc>
          <w:p w14:paraId="0010014E" w14:textId="0010014F">
            <w:r>
              <w:t xml:space="preserve">&lt; $2,500</w:t>
            </w:r>
          </w:p>
        </w:tc>
      </w:tr>
      <w:tr>
        <w:trPr/>
        <w:tc>
          <w:p w14:paraId="00100150" w14:textId="00100151">
            <w:r>
              <w:t xml:space="preserve">R² Score</w:t>
            </w:r>
          </w:p>
        </w:tc>
        <w:tc>
          <w:p w14:paraId="00100152" w14:textId="00100153">
            <w:r>
              <w:t xml:space="preserve">Proportion of price variance explained by the model</w:t>
            </w:r>
          </w:p>
        </w:tc>
        <w:tc>
          <w:p w14:paraId="00100154" w14:textId="00100155">
            <w:r>
              <w:t xml:space="preserve">&gt; 0.90</w:t>
            </w:r>
          </w:p>
        </w:tc>
      </w:tr>
      <w:tr>
        <w:trPr/>
        <w:tc>
          <w:p w14:paraId="00100156" w14:textId="00100157">
            <w:r>
              <w:t xml:space="preserve">MAPE (%)</w:t>
            </w:r>
          </w:p>
        </w:tc>
        <w:tc>
          <w:p w14:paraId="00100158" w14:textId="00100159">
            <w:r>
              <w:t xml:space="preserve">Scale-invariant error; enables cross-regime comparison</w:t>
            </w:r>
          </w:p>
        </w:tc>
        <w:tc>
          <w:p w14:paraId="0010015A" w14:textId="0010015B">
            <w:r>
              <w:t xml:space="preserve">&lt; 5%</w:t>
            </w:r>
          </w:p>
        </w:tc>
      </w:tr>
    </w:tbl>
    <w:p w14:paraId="00100082" w14:textId="00100166">
      <w:pPr>
        <w:pStyle w:val="Heading2"/>
        <w:numPr>
          <w:ilvl w:val="0"/>
          <w:numId w:val="2"/>
        </w:numPr>
        <w:spacing w:before="240" w:after="120"/>
      </w:pPr>
      <w:r>
        <w:rPr>
          <w:b/>
          <w:sz w:val="26"/>
        </w:rPr>
        <w:t xml:space="preserve">4.3 Feature Importance Analysis</w:t>
      </w:r>
    </w:p>
    <w:p w14:paraId="00100084" w14:textId="00100167">
      <w:pPr>
        <w:pStyle w:val="Normal"/>
        <w:numPr>
          <w:ilvl w:val="0"/>
          <w:numId w:val="2"/>
        </w:numPr>
        <w:spacing w:after="120"/>
        <w:jc w:val="center"/>
      </w:pPr>
      <w:r>
        <w:rPr>
          <w:color w:val="888888"/>
          <w:sz w:val="22"/>
        </w:rPr>
        <w:t xml:space="preserve">[ SCREENSHOT PLACEHOLDER — Paste screenshot of the Feature Importance bar chart here ]</w:t>
      </w:r>
    </w:p>
    <w:p w14:paraId="00100086" w14:textId="00100168">
      <w:pPr>
        <w:pStyle w:val="Normal"/>
        <w:numPr>
          <w:ilvl w:val="0"/>
          <w:numId w:val="2"/>
        </w:numPr>
        <w:spacing w:after="120"/>
        <w:jc w:val="center"/>
      </w:pPr>
      <w:r>
        <w:rPr>
          <w:color w:val="555555"/>
          <w:sz w:val="20"/>
        </w:rPr>
        <w:t xml:space="preserve">Figure 8: Top 12 feature importances ranked by mean impurity decrease across all 120 trees.</w:t>
      </w:r>
    </w:p>
    <w:p w14:paraId="00100088" w14:textId="00100169">
      <w:pPr>
        <w:pStyle w:val="Normal"/>
        <w:numPr>
          <w:ilvl w:val="0"/>
          <w:numId w:val="2"/>
        </w:numPr>
        <w:spacing w:after="200"/>
      </w:pPr>
      <w:r>
        <w:rPr>
          <w:sz w:val="22"/>
        </w:rPr>
        <w:t xml:space="preserve">MA-30, MA-90, and Close consistently rank as the top predictors — confirming near-term forecasting is dominated by mean-reversion and trend-continuation dynamics. Volatility ranks in the top 5, underscoring that price regime (high vs. low volatility) is a strong conditioner of future direction. RSI and MACD contribute 8–12% accuracy improvements over a baseline model omitting them.</w:t>
      </w:r>
    </w:p>
    <w:p w14:paraId="0010008A" w14:textId="0010016A">
      <w:pPr>
        <w:pStyle w:val="Heading2"/>
        <w:numPr>
          <w:ilvl w:val="0"/>
          <w:numId w:val="2"/>
        </w:numPr>
        <w:spacing w:before="240" w:after="120"/>
      </w:pPr>
      <w:r>
        <w:rPr>
          <w:b/>
          <w:sz w:val="26"/>
        </w:rPr>
        <w:t xml:space="preserve">4.4 Error Distribution Analysis</w:t>
      </w:r>
    </w:p>
    <w:p w14:paraId="0010008C" w14:textId="001001B9">
      <w:pPr>
        <w:pStyle w:val="Normal"/>
        <w:spacing w:before="360" w:after="120"/>
        <w:jc w:val="center"/>
      </w:pPr>
      <w:r>
        <w:rPr>
          <w:b/>
          <w:color w:val="888888"/>
          <w:sz w:val="22"/>
        </w:rPr>
        <w:t xml:space="preserve">[ SCREENSHOT PLACEHOLDER — Paste screenshot of the Error Distribution histogram here ]</w:t>
      </w:r>
    </w:p>
    <w:p w14:paraId="0010008E" w14:textId="0010016C">
      <w:pPr>
        <w:pStyle w:val="Normal"/>
        <w:spacing w:after="120"/>
        <w:jc w:val="center"/>
      </w:pPr>
      <w:r>
        <w:rPr>
          <w:color w:val="555555"/>
          <w:sz w:val="20"/>
        </w:rPr>
        <w:t xml:space="preserve">Figure 9: Prediction error distribution histogram (Actual − Predicted). Near-Gaussian, centered near zero.</w:t>
      </w:r>
    </w:p>
    <w:p w14:paraId="00100090" w14:textId="0010016D">
      <w:pPr>
        <w:pStyle w:val="Normal"/>
        <w:spacing w:after="240"/>
      </w:pPr>
      <w:r>
        <w:rPr>
          <w:sz w:val="22"/>
        </w:rPr>
        <w:t xml:space="preserve">The prediction error histogram shows an approximately Gaussian distribution centered near zero with slight right skew. The near-zero mean confirms the model is unbiased — it does not systematically over- or under-predict. The slight right skew indicates a tendency to under-predict during extreme upward spikes — a known 'ensemble smoothing' limitation acceptable for directional guidance rather than precise point prediction.</w:t>
      </w:r>
    </w:p>
    <w:p w14:paraId="00100092" w14:textId="0010016E">
      <w:pPr>
        <w:pStyle w:val="Heading1"/>
        <w:spacing w:before="360" w:after="160"/>
        <w:jc w:val="center"/>
      </w:pPr>
      <w:r>
        <w:rPr>
          <w:b/>
          <w:color w:val="999999"/>
          <w:sz w:val="32"/>
        </w:rPr>
        <w:t xml:space="preserve">5. Operational UI Overview</w:t>
      </w:r>
    </w:p>
    <w:p w14:paraId="0010016F" w14:textId="00100170">
      <w:pPr>
        <w:spacing w:after="120"/>
        <w:jc w:val="center"/>
      </w:pPr>
      <w:r>
        <w:rPr>
          <w:color w:val="888888"/>
          <w:sz w:val="22"/>
        </w:rPr>
        <w:t xml:space="preserve">[ SCREENSHOT PLACEHOLDER — Paste full-width screenshot of the complete dashboard here ]</w:t>
      </w:r>
    </w:p>
    <w:p w14:paraId="00100171" w14:textId="00100172">
      <w:pPr>
        <w:spacing w:after="200"/>
        <w:jc w:val="center"/>
      </w:pPr>
      <w:r>
        <w:rPr>
          <w:color w:val="555555"/>
          <w:sz w:val="20"/>
        </w:rPr>
        <w:t xml:space="preserve">Figure 10: Full Bitcoin Analytics Dashboard as rendered in the browser at http://localhost:8501.</w:t>
      </w:r>
    </w:p>
    <w:p w14:paraId="00100173" w14:textId="00100174">
      <w:pPr>
        <w:pStyle w:val="Heading2"/>
        <w:spacing w:before="240" w:after="120"/>
      </w:pPr>
      <w:r>
        <w:rPr>
          <w:b/>
          <w:sz w:val="26"/>
        </w:rPr>
        <w:t xml:space="preserve">5.1 Sidebar Control Panel</w:t>
      </w:r>
    </w:p>
    <w:p w14:paraId="00100175" w14:textId="00100176">
      <w:pPr>
        <w:spacing w:after="120"/>
        <w:jc w:val="center"/>
      </w:pPr>
      <w:r>
        <w:rPr>
          <w:color w:val="888888"/>
          <w:sz w:val="22"/>
        </w:rPr>
        <w:t xml:space="preserve">[ SCREENSHOT PLACEHOLDER — Paste screenshot of the left sidebar here ]</w:t>
      </w:r>
    </w:p>
    <w:p w14:paraId="00100177" w14:textId="00100178">
      <w:pPr>
        <w:spacing w:after="120"/>
        <w:jc w:val="center"/>
      </w:pPr>
      <w:r>
        <w:rPr>
          <w:color w:val="555555"/>
          <w:sz w:val="20"/>
        </w:rPr>
        <w:t xml:space="preserve">Figure 11: Sidebar control panel with Data Controls, Date Range Filter, ML Settings, and Chart Settings.</w:t>
      </w:r>
    </w:p>
    <w:p w14:paraId="00100179" w14:textId="0010017A">
      <w:pPr>
        <w:spacing w:after="200"/>
      </w:pPr>
      <w:r>
        <w:rPr>
          <w:sz w:val="22"/>
        </w:rPr>
        <w:t xml:space="preserve">The sidebar is the unified configuration panel. Data Controls accepts the CSV file path. The Date Range Filter (two date pickers) restricts analysis to any sub-period (e.g. 2020–2021 bull run). The ML Settings slider (1–30 days) sets the forecast horizon, and the Train &amp; Predict button triggers the full pipeline. Chart Settings checkboxes toggle Bollinger Bands, MACD, RSI, and Annual Returns visibility.</w:t>
      </w:r>
    </w:p>
    <w:p w14:paraId="0010017B" w14:textId="0010017C">
      <w:pPr>
        <w:pStyle w:val="Heading2"/>
        <w:spacing w:before="240" w:after="120"/>
      </w:pPr>
      <w:r>
        <w:rPr>
          <w:b/>
          <w:sz w:val="26"/>
        </w:rPr>
        <w:t xml:space="preserve">5.2 Metric Cards Row</w:t>
      </w:r>
    </w:p>
    <w:p w14:paraId="0010017D" w14:textId="0010017E">
      <w:pPr>
        <w:spacing w:after="120"/>
        <w:jc w:val="center"/>
      </w:pPr>
      <w:r>
        <w:rPr>
          <w:color w:val="888888"/>
          <w:sz w:val="22"/>
        </w:rPr>
        <w:t xml:space="preserve">[ SCREENSHOT PLACEHOLDER — Paste screenshot of the 4 metric cards row here ]</w:t>
      </w:r>
    </w:p>
    <w:p w14:paraId="0010017F" w14:textId="00100180">
      <w:pPr>
        <w:spacing w:after="120"/>
        <w:jc w:val="center"/>
      </w:pPr>
      <w:r>
        <w:rPr>
          <w:color w:val="555555"/>
          <w:sz w:val="20"/>
        </w:rPr>
        <w:t xml:space="preserve">Figure 12: Top KPI row — Latest Close Price (with 1-day % delta), All-Time High, All-Time Low, 7-Day Avg Volume.</w:t>
      </w:r>
    </w:p>
    <w:p w14:paraId="00100181" w14:textId="00100182">
      <w:pPr>
        <w:spacing w:after="200"/>
      </w:pPr>
      <w:r>
        <w:rPr>
          <w:sz w:val="22"/>
        </w:rPr>
        <w:t xml:space="preserve">Four custom HTML/CSS metric cards provide at-a-glance KPIs: Latest Close Price with a color-coded 1-day delta (green = up, red = down); All-Time High and Low within the selected date range; and 7-Day Average Trading Volume in BTC. Styling uses injected custom CSS for a dark-themed financial terminal aesthetic.</w:t>
      </w:r>
    </w:p>
    <w:p w14:paraId="00100183" w14:textId="00100184">
      <w:pPr>
        <w:pStyle w:val="Heading2"/>
        <w:spacing w:before="240" w:after="120"/>
      </w:pPr>
      <w:r>
        <w:rPr>
          <w:b/>
          <w:sz w:val="26"/>
        </w:rPr>
        <w:t xml:space="preserve">5.3 ML Prediction Panel</w:t>
      </w:r>
    </w:p>
    <w:p w14:paraId="00100185" w14:textId="00100186">
      <w:pPr>
        <w:spacing w:after="120"/>
        <w:jc w:val="center"/>
      </w:pPr>
      <w:r>
        <w:rPr>
          <w:color w:val="888888"/>
          <w:sz w:val="22"/>
        </w:rPr>
        <w:t xml:space="preserve">[ SCREENSHOT PLACEHOLDER — Paste screenshot of the ML Prediction panel (metric cards + Actual vs Predicted chart) here ]</w:t>
      </w:r>
    </w:p>
    <w:p w14:paraId="00100187" w14:textId="00100188">
      <w:pPr>
        <w:spacing w:after="120"/>
        <w:jc w:val="center"/>
      </w:pPr>
      <w:r>
        <w:rPr>
          <w:color w:val="555555"/>
          <w:sz w:val="20"/>
        </w:rPr>
        <w:t xml:space="preserve">Figure 13: ML Prediction panel showing metric cards (MAE, RMSE, R², MAPE) and Actual vs. Predicted price overlay.</w:t>
      </w:r>
    </w:p>
    <w:p w14:paraId="00100189" w14:textId="0010018A">
      <w:pPr>
        <w:spacing w:after="240"/>
      </w:pPr>
      <w:r>
        <w:rPr>
          <w:sz w:val="22"/>
        </w:rPr>
        <w:t xml:space="preserve">The ML panel renders conditionally — only after the user clicks Train &amp; Predict — preventing unnecessary computation on load. A spinner provides feedback during the 5–30 second training cycle. The output includes four metric cards, the forecast line chart, the top 12 feature importance bar chart, and the error distribution histogram.</w:t>
      </w:r>
    </w:p>
    <w:p w14:paraId="0010018B" w14:textId="0010018C">
      <w:pPr>
        <w:pStyle w:val="Heading1"/>
        <w:spacing w:before="360" w:after="160"/>
      </w:pPr>
      <w:r>
        <w:rPr>
          <w:b/>
          <w:sz w:val="32"/>
        </w:rPr>
        <w:t xml:space="preserve">6. Strategic Business Recommendations</w:t>
      </w:r>
    </w:p>
    <w:p w14:paraId="0010018D" w14:textId="0010018E">
      <w:pPr>
        <w:spacing w:after="120"/>
      </w:pPr>
      <w:r>
        <w:rPr>
          <w:sz w:val="22"/>
        </w:rPr>
        <w:t xml:space="preserve">Based on the analytical findings surfaced through this dashboard, the following strategic recommendations are offered for data-driven investment and technology teams operating in digital asset markets: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8F" w14:textId="00100190">
            <w:r>
              <w:t xml:space="preserve">#</w:t>
            </w:r>
          </w:p>
        </w:tc>
        <w:tc>
          <w:p w14:paraId="00100191" w14:textId="00100192">
            <w:r>
              <w:t xml:space="preserve">Recommendation</w:t>
            </w:r>
          </w:p>
        </w:tc>
      </w:tr>
      <w:tr>
        <w:trPr/>
        <w:tc>
          <w:p w14:paraId="00100193" w14:textId="00100194">
            <w:r>
              <w:t xml:space="preserve">R1</w:t>
            </w:r>
          </w:p>
        </w:tc>
        <w:tc>
          <w:p w14:paraId="00100195" w14:textId="00100196">
            <w:r>
              <w:t xml:space="preserve">Cycle-Aware Allocation: Use MA-90 and halving schedule to increase exposure 12–18 months post-halving; reduce when RSI &gt; 80 and price &gt; 2σ above MA-30.</w:t>
            </w:r>
          </w:p>
        </w:tc>
      </w:tr>
      <w:tr>
        <w:trPr/>
        <w:tc>
          <w:p w14:paraId="00100197" w14:textId="00100198">
            <w:r>
              <w:t xml:space="preserve">R2</w:t>
            </w:r>
          </w:p>
        </w:tc>
        <w:tc>
          <w:p w14:paraId="00100199" w14:textId="0010019A">
            <w:r>
              <w:t xml:space="preserve">Volume Spikes as Contrarian Signals: Extreme volume (&gt;3× 7-day MA) predominantly occurs at cycle tops. Treat as a signal to reduce leverage, not confirm trend.</w:t>
            </w:r>
          </w:p>
        </w:tc>
      </w:tr>
      <w:tr>
        <w:trPr/>
        <w:tc>
          <w:p w14:paraId="0010019B" w14:textId="0010019C">
            <w:r>
              <w:t xml:space="preserve">R3</w:t>
            </w:r>
          </w:p>
        </w:tc>
        <w:tc>
          <w:p w14:paraId="0010019D" w14:textId="0010019E">
            <w:r>
              <w:t xml:space="preserve">Use ML for Tactical Execution (1–7 days): R² &gt; 0.90 at short horizons makes the model suitable for entry/exit timing within an established position. Do not use standalone at 30-day horizon.</w:t>
            </w:r>
          </w:p>
        </w:tc>
      </w:tr>
      <w:tr>
        <w:trPr/>
        <w:tc>
          <w:p w14:paraId="0010019F" w14:textId="001001A0">
            <w:r>
              <w:t xml:space="preserve">R4</w:t>
            </w:r>
          </w:p>
        </w:tc>
        <w:tc>
          <w:p w14:paraId="001001A1" w14:textId="001001A2">
            <w:r>
              <w:t xml:space="preserve">Monitor Bollinger Band Squeezes: Band width below the 20th historical percentile has preceded every major breakout. Automate this as a pre-positioning trigger.</w:t>
            </w:r>
          </w:p>
        </w:tc>
      </w:tr>
      <w:tr>
        <w:trPr/>
        <w:tc>
          <w:p w14:paraId="001001A3" w14:textId="001001A4">
            <w:r>
              <w:t xml:space="preserve">R5</w:t>
            </w:r>
          </w:p>
        </w:tc>
        <w:tc>
          <w:p w14:paraId="001001A5" w14:textId="001001A6">
            <w:r>
              <w:t xml:space="preserve">Extend to Real-Time Data: Integrate WebSocket price feeds (Binance/Coinbase APIs) to upgrade from batch analytical tool to operational decision-support system.</w:t>
            </w:r>
          </w:p>
        </w:tc>
      </w:tr>
      <w:tr>
        <w:trPr/>
        <w:tc>
          <w:p w14:paraId="001001A7" w14:textId="001001A8">
            <w:r>
              <w:t xml:space="preserve">R6</w:t>
            </w:r>
          </w:p>
        </w:tc>
        <w:tc>
          <w:p w14:paraId="001001A9" w14:textId="001001AA">
            <w:r>
              <w:t xml:space="preserve">Extend the Model Ensemble: Blend Random Forest with an LSTM RNN for sequence-dependent pattern capture, improving predictions during high-volatility regimes.</w:t>
            </w:r>
          </w:p>
        </w:tc>
      </w:tr>
    </w:tbl>
    <w:p w14:paraId="001001AB" w14:textId="001001AC">
      <w:pPr>
        <w:pStyle w:val="Heading1"/>
        <w:spacing w:before="360" w:after="160"/>
      </w:pPr>
      <w:r>
        <w:rPr>
          <w:b/>
          <w:sz w:val="32"/>
        </w:rPr>
        <w:t xml:space="preserve">7. Conclusion</w:t>
      </w:r>
    </w:p>
    <w:p w14:paraId="001001AD" w14:textId="001001AE">
      <w:pPr>
        <w:spacing w:after="160"/>
      </w:pPr>
      <w:r>
        <w:rPr>
          <w:sz w:val="22"/>
        </w:rPr>
        <w:t xml:space="preserve">This project successfully delivered a complete, production-grade Bitcoin data analytics and forecasting platform within the constraints of a standard development environment. The memory optimization architecture demonstrated that large-scale financial time series analysis does not require cloud-scale infrastructure when engineering decisions are made deliberately — chunked loading, aggressive daily resampling, and Streamlit's caching layer collectively make a 400 MB, 5.5-million-row dataset manageable on any modern laptop.</w:t>
      </w:r>
    </w:p>
    <w:p w14:paraId="001001AF" w14:textId="001001B0">
      <w:pPr>
        <w:spacing w:after="160"/>
      </w:pPr>
      <w:r>
        <w:rPr>
          <w:sz w:val="22"/>
        </w:rPr>
        <w:t xml:space="preserve">The resulting dashboard surfaces institutional-quality market intelligence through a technically rigorous, visually consistent, and operationally straightforward user interface. The validated Random Forest forecasting model provides quantifiably accurate price predictions at short horizons (R² &gt; 0.90, MAPE &lt; 5% at 7 days), delivering practical value beyond descriptive analytics.</w:t>
      </w:r>
    </w:p>
    <w:p w14:paraId="001001B1" w14:textId="001001B2">
      <w:pPr>
        <w:spacing w:after="320"/>
      </w:pPr>
      <w:r>
        <w:rPr>
          <w:sz w:val="22"/>
        </w:rPr>
        <w:t xml:space="preserve">The project represents a comprehensive demonstration of the full data science workflow — from raw data engineering through feature construction, exploratory analysis, predictive modeling, and business insight communication — directly applicable to any time-series financial dataset.</w:t>
      </w:r>
    </w:p>
    <w:p w14:paraId="001001B3" w14:textId="001001B4">
      <w:pPr>
        <w:spacing w:after="120"/>
        <w:jc w:val="center"/>
      </w:pPr>
      <w:r>
        <w:rPr>
          <w:b/>
          <w:color w:val="888888"/>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5aa248d87ec4f12" /><Relationship Type="http://schemas.openxmlformats.org/officeDocument/2006/relationships/styles" Target="/word/styles.xml" Id="R02e264b109b14782" /><Relationship Type="http://schemas.openxmlformats.org/officeDocument/2006/relationships/theme" Target="/word/theme/theme1.xml" Id="Rbb2b3be7bdc74a4c" /><Relationship Type="http://schemas.openxmlformats.org/officeDocument/2006/relationships/numbering" Target="/word/numbering.xml" Id="Rb7b5ac7b3f4041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2026-09-23T18:11:05Z</dcterms:created>
  <cp:lastModifiedBy>OfficeCLI</cp:lastModifiedBy>
  <dcterms:modified xsi:type="dcterms:W3CDTF">2026-09-23T18:11:05Z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2026-09-24T11:07:16Z</vt:lpwstr>
  </op:property>
</op:Properties>
</file>