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40"/>
        <w:jc w:val="left"/>
      </w:pPr>
      <w:r>
        <w:rPr>
          <w:rFonts w:ascii="Calibri" w:hAnsi="Calibri"/>
          <w:b/>
          <w:color w:val="1E3A8A"/>
          <w:sz w:val="52"/>
        </w:rPr>
        <w:t>Mobile Application Architecture,</w:t>
        <w:br/>
        <w:t>Security &amp; QA Audit Report</w:t>
      </w:r>
    </w:p>
    <w:p>
      <w:pPr>
        <w:spacing w:after="400"/>
      </w:pPr>
      <w:r>
        <w:rPr>
          <w:rFonts w:ascii="Calibri" w:hAnsi="Calibri"/>
          <w:i/>
          <w:color w:val="1E293B"/>
          <w:sz w:val="26"/>
        </w:rPr>
        <w:t>Comprehensive Technical Audit, Architecture Breakdown &amp; Visual Golden Snapshot Verification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CBD5E1"/>
          <w:bottom w:val="single" w:sz="6" w:space="0" w:color="CBD5E1"/>
          <w:left w:val="none"/>
          <w:right w:val="none"/>
          <w:insideH w:val="single" w:sz="6" w:space="0" w:color="CBD5E1"/>
          <w:insideV w:val="none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160"/>
            <w:shd w:fill="1E3A8A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Project Name</w:t>
            </w:r>
          </w:p>
        </w:tc>
        <w:tc>
          <w:tcPr>
            <w:tcW w:type="dxa" w:w="2592"/>
            <w:shd w:fill="1E3A8A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Target SDK</w:t>
            </w:r>
          </w:p>
        </w:tc>
        <w:tc>
          <w:tcPr>
            <w:tcW w:type="dxa" w:w="2160"/>
            <w:shd w:fill="1E3A8A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Audit Date</w:t>
            </w:r>
          </w:p>
        </w:tc>
        <w:tc>
          <w:tcPr>
            <w:tcW w:type="dxa" w:w="2448"/>
            <w:shd w:fill="1E3A8A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Delivery Status</w:t>
            </w:r>
          </w:p>
        </w:tc>
      </w:tr>
      <w:tr>
        <w:tc>
          <w:tcPr>
            <w:tcW w:type="dxa" w:w="216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18"/>
              </w:rPr>
              <w:t>EZMoov Partner App</w:t>
            </w:r>
          </w:p>
        </w:tc>
        <w:tc>
          <w:tcPr>
            <w:tcW w:type="dxa" w:w="2592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18"/>
              </w:rPr>
              <w:t>Flutter 3.x / Dart 3.x</w:t>
            </w:r>
          </w:p>
        </w:tc>
        <w:tc>
          <w:tcPr>
            <w:tcW w:type="dxa" w:w="216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18"/>
              </w:rPr>
              <w:t>August 19, 2026</w:t>
            </w:r>
          </w:p>
        </w:tc>
        <w:tc>
          <w:tcPr>
            <w:tcW w:type="dxa" w:w="2448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108043"/>
                <w:sz w:val="18"/>
              </w:rPr>
              <w:t>APPROVED</w:t>
            </w:r>
          </w:p>
        </w:tc>
      </w:tr>
    </w:tbl>
    <w:p>
      <w:pPr>
        <w:spacing w:after="480"/>
      </w:pPr>
    </w:p>
    <w:p>
      <w:pPr>
        <w:pStyle w:val="Heading1"/>
      </w:pPr>
      <w:r>
        <w:rPr>
          <w:b/>
          <w:color w:val="1E293B"/>
          <w:sz w:val="36"/>
        </w:rPr>
        <w:t>1. Executive Summary &amp; Technology Stack</w:t>
      </w:r>
    </w:p>
    <w:p>
      <w:pPr>
        <w:spacing w:after="240"/>
      </w:pPr>
      <w:r>
        <w:t>This document presents a comprehensive technical architecture, security compliance, and QA automation audit of the EZMoov Partner Application (ezmoov_partner_app), built for driver registration, document verification, real-time trip broadcasting, outstation bidding, and digital wallet management. The evaluation was conducted using static code inspection, architectural pattern analysis, dynamic state tracing, and automated golden screen snapshot verification.</w:t>
      </w:r>
    </w:p>
    <w:p>
      <w:r>
        <w:rPr>
          <w:b/>
          <w:color w:val="1E293B"/>
        </w:rPr>
        <w:t>Core Technology Stack Specifications: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E2E8F0"/>
          <w:bottom w:val="single" w:sz="4" w:space="0" w:color="E2E8F0"/>
          <w:left w:val="none"/>
          <w:right w:val="none"/>
          <w:insideH w:val="single" w:sz="4" w:space="0" w:color="E2E8F0"/>
          <w:insideV w:val="none"/>
        </w:tblBorders>
      </w:tblPr>
      <w:tblGrid>
        <w:gridCol w:w="3120"/>
        <w:gridCol w:w="3120"/>
        <w:gridCol w:w="3120"/>
      </w:tblGrid>
      <w:tr>
        <w:tc>
          <w:tcPr>
            <w:tcW w:type="dxa" w:w="2880"/>
            <w:shd w:fill="1E293B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Component Layer</w:t>
            </w:r>
          </w:p>
        </w:tc>
        <w:tc>
          <w:tcPr>
            <w:tcW w:type="dxa" w:w="3168"/>
            <w:shd w:fill="1E293B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Framework / Library</w:t>
            </w:r>
          </w:p>
        </w:tc>
        <w:tc>
          <w:tcPr>
            <w:tcW w:type="dxa" w:w="3312"/>
            <w:shd w:fill="1E293B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Implementation Detail</w:t>
            </w:r>
          </w:p>
        </w:tc>
      </w:tr>
      <w:tr>
        <w:tc>
          <w:tcPr>
            <w:tcW w:type="dxa" w:w="288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18"/>
              </w:rPr>
              <w:t>Core UI Framework</w:t>
            </w:r>
          </w:p>
        </w:tc>
        <w:tc>
          <w:tcPr>
            <w:tcW w:type="dxa" w:w="3168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18"/>
              </w:rPr>
              <w:t>Flutter SDK (&gt;=3.0.0 &lt;4.0.0)</w:t>
            </w:r>
          </w:p>
        </w:tc>
        <w:tc>
          <w:tcPr>
            <w:tcW w:type="dxa" w:w="3312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18"/>
              </w:rPr>
              <w:t>Material 3, Responsive Layouts, Multi-language L10n</w:t>
            </w:r>
          </w:p>
        </w:tc>
      </w:tr>
      <w:tr>
        <w:tc>
          <w:tcPr>
            <w:tcW w:type="dxa" w:w="2880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18"/>
              </w:rPr>
              <w:t>State Management</w:t>
            </w:r>
          </w:p>
        </w:tc>
        <w:tc>
          <w:tcPr>
            <w:tcW w:type="dxa" w:w="3168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18"/>
              </w:rPr>
              <w:t>Provider (^6.1.2)</w:t>
            </w:r>
          </w:p>
        </w:tc>
        <w:tc>
          <w:tcPr>
            <w:tcW w:type="dxa" w:w="3312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18"/>
              </w:rPr>
              <w:t>ChangeNotifier, Consumer &amp; Consumer2 granular rebuild scoping</w:t>
            </w:r>
          </w:p>
        </w:tc>
      </w:tr>
      <w:tr>
        <w:tc>
          <w:tcPr>
            <w:tcW w:type="dxa" w:w="288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18"/>
              </w:rPr>
              <w:t>Declarative Routing</w:t>
            </w:r>
          </w:p>
        </w:tc>
        <w:tc>
          <w:tcPr>
            <w:tcW w:type="dxa" w:w="3168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18"/>
              </w:rPr>
              <w:t>GoRouter (^14.8.0)</w:t>
            </w:r>
          </w:p>
        </w:tc>
        <w:tc>
          <w:tcPr>
            <w:tcW w:type="dxa" w:w="3312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18"/>
              </w:rPr>
              <w:t>Strict multi-tier verification route guards and redirects</w:t>
            </w:r>
          </w:p>
        </w:tc>
      </w:tr>
      <w:tr>
        <w:tc>
          <w:tcPr>
            <w:tcW w:type="dxa" w:w="2880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18"/>
              </w:rPr>
              <w:t>Backend &amp; Auth</w:t>
            </w:r>
          </w:p>
        </w:tc>
        <w:tc>
          <w:tcPr>
            <w:tcW w:type="dxa" w:w="3168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18"/>
              </w:rPr>
              <w:t>Supabase Flutter (^2.8.0)</w:t>
            </w:r>
          </w:p>
        </w:tc>
        <w:tc>
          <w:tcPr>
            <w:tcW w:type="dxa" w:w="3312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18"/>
              </w:rPr>
              <w:t>PostgreSQL database, Auth session tokens, Realtime channels</w:t>
            </w:r>
          </w:p>
        </w:tc>
      </w:tr>
      <w:tr>
        <w:tc>
          <w:tcPr>
            <w:tcW w:type="dxa" w:w="288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18"/>
              </w:rPr>
              <w:t>Push Notifications</w:t>
            </w:r>
          </w:p>
        </w:tc>
        <w:tc>
          <w:tcPr>
            <w:tcW w:type="dxa" w:w="3168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18"/>
              </w:rPr>
              <w:t>Firebase Messaging (^15.2.0)</w:t>
            </w:r>
          </w:p>
        </w:tc>
        <w:tc>
          <w:tcPr>
            <w:tcW w:type="dxa" w:w="3312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18"/>
              </w:rPr>
              <w:t>FCM background trip alerts and sound triggers</w:t>
            </w:r>
          </w:p>
        </w:tc>
      </w:tr>
      <w:tr>
        <w:tc>
          <w:tcPr>
            <w:tcW w:type="dxa" w:w="2880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18"/>
              </w:rPr>
              <w:t>Payments &amp; Payouts</w:t>
            </w:r>
          </w:p>
        </w:tc>
        <w:tc>
          <w:tcPr>
            <w:tcW w:type="dxa" w:w="3168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18"/>
              </w:rPr>
              <w:t>Razorpay Flutter (^1.4.5)</w:t>
            </w:r>
          </w:p>
        </w:tc>
        <w:tc>
          <w:tcPr>
            <w:tcW w:type="dxa" w:w="3312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18"/>
              </w:rPr>
              <w:t>Partner wallet recharge and automated bank payout integration</w:t>
            </w:r>
          </w:p>
        </w:tc>
      </w:tr>
      <w:tr>
        <w:tc>
          <w:tcPr>
            <w:tcW w:type="dxa" w:w="288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18"/>
              </w:rPr>
              <w:t>Local Persistence</w:t>
            </w:r>
          </w:p>
        </w:tc>
        <w:tc>
          <w:tcPr>
            <w:tcW w:type="dxa" w:w="3168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18"/>
              </w:rPr>
              <w:t>SharedPreferences (^2.3.5)</w:t>
            </w:r>
          </w:p>
        </w:tc>
        <w:tc>
          <w:tcPr>
            <w:tcW w:type="dxa" w:w="3312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18"/>
              </w:rPr>
              <w:t>Persisted locale preferences and offline trip fallback queue</w:t>
            </w:r>
          </w:p>
        </w:tc>
      </w:tr>
      <w:tr>
        <w:tc>
          <w:tcPr>
            <w:tcW w:type="dxa" w:w="2880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18"/>
              </w:rPr>
              <w:t>Audio &amp; Media</w:t>
            </w:r>
          </w:p>
        </w:tc>
        <w:tc>
          <w:tcPr>
            <w:tcW w:type="dxa" w:w="3168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18"/>
              </w:rPr>
              <w:t>AudioPlayers (^6.1.0)</w:t>
            </w:r>
          </w:p>
        </w:tc>
        <w:tc>
          <w:tcPr>
            <w:tcW w:type="dxa" w:w="3312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18"/>
              </w:rPr>
              <w:t>Looping audio alerts for incoming ride broadcasts</w:t>
            </w:r>
          </w:p>
        </w:tc>
      </w:tr>
      <w:tr>
        <w:tc>
          <w:tcPr>
            <w:tcW w:type="dxa" w:w="288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18"/>
              </w:rPr>
              <w:t>Visual QA Testing</w:t>
            </w:r>
          </w:p>
        </w:tc>
        <w:tc>
          <w:tcPr>
            <w:tcW w:type="dxa" w:w="3168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18"/>
              </w:rPr>
              <w:t>Golden Toolkit (^0.15.0)</w:t>
            </w:r>
          </w:p>
        </w:tc>
        <w:tc>
          <w:tcPr>
            <w:tcW w:type="dxa" w:w="3312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18"/>
              </w:rPr>
              <w:t>Automated multi-device golden screenshot snapshot suite</w:t>
            </w:r>
          </w:p>
        </w:tc>
      </w:tr>
    </w:tbl>
    <w:p>
      <w:pPr>
        <w:spacing w:after="480"/>
      </w:pPr>
    </w:p>
    <w:p>
      <w:pPr>
        <w:pStyle w:val="Heading1"/>
      </w:pPr>
      <w:r>
        <w:rPr>
          <w:b/>
          <w:color w:val="1E293B"/>
          <w:sz w:val="36"/>
        </w:rPr>
        <w:t>2. System Architecture &amp; Data Flow Diagram</w:t>
      </w:r>
    </w:p>
    <w:p>
      <w:pPr>
        <w:spacing w:after="240"/>
      </w:pPr>
      <w:r>
        <w:t>The application strictly adheres to the Provider MVVM (Model-View-ViewModel) + Layered Clean Architecture pattern. UI Views remain fully decoupled from business logic, observing ViewModels via Provider. Data operations are encapsulated within core singleton services.</w:t>
      </w:r>
    </w:p>
    <w:p>
      <w:r>
        <w:rPr>
          <w:b/>
          <w:color w:val="1E293B"/>
        </w:rPr>
        <w:t>Workspace Directory Structure (lib/):</w:t>
      </w:r>
    </w:p>
    <w:p>
      <w:pPr>
        <w:spacing w:before="120" w:after="360"/>
      </w:pPr>
      <w:r>
        <w:rPr>
          <w:rFonts w:ascii="Courier New" w:hAnsi="Courier New"/>
          <w:color w:val="0F172A"/>
          <w:sz w:val="17"/>
        </w:rPr>
        <w:t>lib/</w:t>
        <w:br/>
        <w:t>├── main.dart                          # Application entry point &amp; Provider initialization</w:t>
        <w:br/>
        <w:t>├── firebase_options.dart              # Firebase SDK platform configuration</w:t>
        <w:br/>
        <w:t>├── core/</w:t>
        <w:br/>
        <w:t>│   ├── constants/                     # Color tokens, styling constants &amp; app theme</w:t>
        <w:br/>
        <w:t>│   ├── router/                        # AppRouter (GoRouter setup &amp; authentication guards)</w:t>
        <w:br/>
        <w:t>│   ├── services/                      # Core services (Supabase, Audio, OfflineTrip, Notifications)</w:t>
        <w:br/>
        <w:t>│   └── theme/                         # Light &amp; Dark theme definitions</w:t>
        <w:br/>
        <w:t>├── l10n/                              # Localization resources (English, Kannada, Hindi, etc.)</w:t>
        <w:br/>
        <w:t>├── models/                            # Type-safe models (Booking, Driver, VehicleType, Wallet, Bid)</w:t>
        <w:br/>
        <w:t>├── viewmodels/                        # Reactive ViewModels (Auth, Home, RideRequest, Wallet, Profile, etc.)</w:t>
        <w:br/>
        <w:t>├── views/                             # 14 UI Screen Modules</w:t>
        <w:br/>
        <w:t>│   ├── bank/                          # BankDetailsView</w:t>
        <w:br/>
        <w:t>│   ├── bidding/                       # OutstationBiddingStatusView</w:t>
        <w:br/>
        <w:t>│   ├── document/                      # DocumentCollectionView</w:t>
        <w:br/>
        <w:t>│   ├── home/                          # HomeView &amp; Tab Views (Home, Wallet, Earnings, Alerts, Profile)</w:t>
        <w:br/>
        <w:t>│   ├── login/                         # LoginView</w:t>
        <w:br/>
        <w:t>│   ├── otp/                           # OtpView</w:t>
        <w:br/>
        <w:t>│   ├── profile/                       # EditProfileView</w:t>
        <w:br/>
        <w:t>│   ├── referral/                      # ReferralView</w:t>
        <w:br/>
        <w:t>│   ├── signup/                        # SignupView</w:t>
        <w:br/>
        <w:t>│   ├── support/                       # SupportView</w:t>
        <w:br/>
        <w:t>│   ├── trip/                          # DriverPickupView</w:t>
        <w:br/>
        <w:t>│   ├── vehicle/                       # VehicleDetailsView</w:t>
        <w:br/>
        <w:t>│   ├── verification/                  # VerificationPendingView</w:t>
        <w:br/>
        <w:t>│   └── wallet/                        # WalletView</w:t>
        <w:br/>
        <w:t>└── widgets/                           # Reusable UI components (Buttons, Cards, Dialogs)</w:t>
      </w:r>
    </w:p>
    <w:p>
      <w:pPr>
        <w:pStyle w:val="Heading1"/>
      </w:pPr>
      <w:r>
        <w:rPr>
          <w:b/>
          <w:color w:val="1E293B"/>
          <w:sz w:val="36"/>
        </w:rPr>
        <w:t>3. Screen Functionality &amp; Visual Golden Snapshots</w:t>
      </w:r>
    </w:p>
    <w:p>
      <w:pPr>
        <w:spacing w:after="320"/>
      </w:pPr>
      <w:r>
        <w:t>Each key application screen was automatically captured using golden_toolkit under standard device physical dimensions. The screenshots below demonstrate crisp visual fidelity, internationalized strings, and responsive widget layout rendering.</w:t>
      </w:r>
    </w:p>
    <w:p>
      <w:pPr>
        <w:pStyle w:val="Heading2"/>
      </w:pPr>
      <w:r>
        <w:rPr>
          <w:b/>
          <w:color w:val="1E3A8A"/>
          <w:sz w:val="28"/>
        </w:rPr>
        <w:t>1. Partner Login View (/login)</w:t>
      </w:r>
    </w:p>
    <w:p>
      <w:pPr>
        <w:spacing w:after="160"/>
      </w:pPr>
      <w:r>
        <w:t>Serves as the authentication entry point for driver partners. Accepts phone number input with instant validation, country code selection, and localized onboarding banners.</w:t>
      </w:r>
    </w:p>
    <w:p>
      <w:pPr>
        <w:spacing w:before="80" w:after="80"/>
        <w:jc w:val="center"/>
      </w:pPr>
      <w:r>
        <w:drawing>
          <wp:inline xmlns:a="http://schemas.openxmlformats.org/drawingml/2006/main" xmlns:pic="http://schemas.openxmlformats.org/drawingml/2006/picture">
            <wp:extent cx="2926080" cy="633233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login_view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926080" cy="633233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360"/>
        <w:jc w:val="center"/>
      </w:pPr>
      <w:r>
        <w:rPr>
          <w:i/>
          <w:color w:val="64748B"/>
          <w:sz w:val="18"/>
        </w:rPr>
        <w:t>Figure: Visual Golden Screenshot for 1. Partner Login View (/login)</w:t>
      </w:r>
    </w:p>
    <w:p>
      <w:pPr>
        <w:pStyle w:val="Heading2"/>
      </w:pPr>
      <w:r>
        <w:rPr>
          <w:b/>
          <w:color w:val="1E3A8A"/>
          <w:sz w:val="28"/>
        </w:rPr>
        <w:t>2. Driver Signup &amp; Registration View (/signup)</w:t>
      </w:r>
    </w:p>
    <w:p>
      <w:pPr>
        <w:spacing w:after="160"/>
      </w:pPr>
      <w:r>
        <w:t>Collects driver personal information including full name, operating city, and email. Initiates the partner onboarding workflow upon agreement to terms.</w:t>
      </w:r>
    </w:p>
    <w:p>
      <w:pPr>
        <w:spacing w:before="80" w:after="80"/>
        <w:jc w:val="center"/>
      </w:pPr>
      <w:r>
        <w:drawing>
          <wp:inline xmlns:a="http://schemas.openxmlformats.org/drawingml/2006/main" xmlns:pic="http://schemas.openxmlformats.org/drawingml/2006/picture">
            <wp:extent cx="2926080" cy="6332337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signup_view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926080" cy="633233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360"/>
        <w:jc w:val="center"/>
      </w:pPr>
      <w:r>
        <w:rPr>
          <w:i/>
          <w:color w:val="64748B"/>
          <w:sz w:val="18"/>
        </w:rPr>
        <w:t>Figure: Visual Golden Screenshot for 2. Driver Signup &amp; Registration View (/signup)</w:t>
      </w:r>
    </w:p>
    <w:p>
      <w:pPr>
        <w:pStyle w:val="Heading2"/>
      </w:pPr>
      <w:r>
        <w:rPr>
          <w:b/>
          <w:color w:val="1E3A8A"/>
          <w:sz w:val="28"/>
        </w:rPr>
        <w:t>3. OTP Verification View (/otp)</w:t>
      </w:r>
    </w:p>
    <w:p>
      <w:pPr>
        <w:spacing w:after="160"/>
      </w:pPr>
      <w:r>
        <w:t>Validates identity via a 6-digit PInput PIN entry field with auto-submit, resend countdown timer, and automated auth token acquisition via Supabase OTP.</w:t>
      </w:r>
    </w:p>
    <w:p>
      <w:pPr>
        <w:spacing w:before="80" w:after="80"/>
        <w:jc w:val="center"/>
      </w:pPr>
      <w:r>
        <w:drawing>
          <wp:inline xmlns:a="http://schemas.openxmlformats.org/drawingml/2006/main" xmlns:pic="http://schemas.openxmlformats.org/drawingml/2006/picture">
            <wp:extent cx="2926080" cy="6332337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otp_view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926080" cy="633233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360"/>
        <w:jc w:val="center"/>
      </w:pPr>
      <w:r>
        <w:rPr>
          <w:i/>
          <w:color w:val="64748B"/>
          <w:sz w:val="18"/>
        </w:rPr>
        <w:t>Figure: Visual Golden Screenshot for 3. OTP Verification View (/otp)</w:t>
      </w:r>
    </w:p>
    <w:p>
      <w:pPr>
        <w:pStyle w:val="Heading2"/>
      </w:pPr>
      <w:r>
        <w:rPr>
          <w:b/>
          <w:color w:val="1E3A8A"/>
          <w:sz w:val="28"/>
        </w:rPr>
        <w:t>4. Vehicle Details &amp; Specification View (/vehicle-details)</w:t>
      </w:r>
    </w:p>
    <w:p>
      <w:pPr>
        <w:spacing w:after="160"/>
      </w:pPr>
      <w:r>
        <w:t>Allows drivers to register their vehicle details. Features vehicle category selector (2W, 3W, Truck, Auto), registration number, vehicle model, and payload capacity inputs.</w:t>
      </w:r>
    </w:p>
    <w:p>
      <w:pPr>
        <w:spacing w:before="80" w:after="80"/>
        <w:jc w:val="center"/>
      </w:pPr>
      <w:r>
        <w:drawing>
          <wp:inline xmlns:a="http://schemas.openxmlformats.org/drawingml/2006/main" xmlns:pic="http://schemas.openxmlformats.org/drawingml/2006/picture">
            <wp:extent cx="2926080" cy="6332337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vehicle_details_view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926080" cy="633233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360"/>
        <w:jc w:val="center"/>
      </w:pPr>
      <w:r>
        <w:rPr>
          <w:i/>
          <w:color w:val="64748B"/>
          <w:sz w:val="18"/>
        </w:rPr>
        <w:t>Figure: Visual Golden Screenshot for 4. Vehicle Details &amp; Specification View (/vehicle-details)</w:t>
      </w:r>
    </w:p>
    <w:p>
      <w:pPr>
        <w:pStyle w:val="Heading2"/>
      </w:pPr>
      <w:r>
        <w:rPr>
          <w:b/>
          <w:color w:val="1E3A8A"/>
          <w:sz w:val="28"/>
        </w:rPr>
        <w:t>5. Document Collection &amp; Upload Pipeline View (/document-collection)</w:t>
      </w:r>
    </w:p>
    <w:p>
      <w:pPr>
        <w:spacing w:after="160"/>
      </w:pPr>
      <w:r>
        <w:t>Comprehensive document verification module featuring 10 required upload cards: Aadhaar, Driving License, RC, PAN, Insurance, PUC, Permit, Fitness, Police Clearance, and Vehicle Selfie.</w:t>
      </w:r>
    </w:p>
    <w:p>
      <w:pPr>
        <w:spacing w:before="80" w:after="80"/>
        <w:jc w:val="center"/>
      </w:pPr>
      <w:r>
        <w:drawing>
          <wp:inline xmlns:a="http://schemas.openxmlformats.org/drawingml/2006/main" xmlns:pic="http://schemas.openxmlformats.org/drawingml/2006/picture">
            <wp:extent cx="2926080" cy="6332337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_document_collection_view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926080" cy="633233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360"/>
        <w:jc w:val="center"/>
      </w:pPr>
      <w:r>
        <w:rPr>
          <w:i/>
          <w:color w:val="64748B"/>
          <w:sz w:val="18"/>
        </w:rPr>
        <w:t>Figure: Visual Golden Screenshot for 5. Document Collection &amp; Upload Pipeline View (/document-collection)</w:t>
      </w:r>
    </w:p>
    <w:p>
      <w:pPr>
        <w:pStyle w:val="Heading2"/>
      </w:pPr>
      <w:r>
        <w:rPr>
          <w:b/>
          <w:color w:val="1E3A8A"/>
          <w:sz w:val="28"/>
        </w:rPr>
        <w:t>6. Partner Payout Bank Details View (/bank-details)</w:t>
      </w:r>
    </w:p>
    <w:p>
      <w:pPr>
        <w:spacing w:after="160"/>
      </w:pPr>
      <w:r>
        <w:t>Captures driver bank account number, IFSC code, account holder name, and UPI ID for automated daily payout transfers.</w:t>
      </w:r>
    </w:p>
    <w:p>
      <w:pPr>
        <w:spacing w:before="80" w:after="80"/>
        <w:jc w:val="center"/>
      </w:pPr>
      <w:r>
        <w:drawing>
          <wp:inline xmlns:a="http://schemas.openxmlformats.org/drawingml/2006/main" xmlns:pic="http://schemas.openxmlformats.org/drawingml/2006/picture">
            <wp:extent cx="2926080" cy="6332337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_bank_details_view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926080" cy="633233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360"/>
        <w:jc w:val="center"/>
      </w:pPr>
      <w:r>
        <w:rPr>
          <w:i/>
          <w:color w:val="64748B"/>
          <w:sz w:val="18"/>
        </w:rPr>
        <w:t>Figure: Visual Golden Screenshot for 6. Partner Payout Bank Details View (/bank-details)</w:t>
      </w:r>
    </w:p>
    <w:p>
      <w:pPr>
        <w:pStyle w:val="Heading2"/>
      </w:pPr>
      <w:r>
        <w:rPr>
          <w:b/>
          <w:color w:val="1E3A8A"/>
          <w:sz w:val="28"/>
        </w:rPr>
        <w:t>7. Verification Pending &amp; Status View (/verification-pending)</w:t>
      </w:r>
    </w:p>
    <w:p>
      <w:pPr>
        <w:spacing w:after="160"/>
      </w:pPr>
      <w:r>
        <w:t>Displays onboarding review status to drivers awaiting admin document approval. Prevents unverified drivers from accessing ride dispatch features.</w:t>
      </w:r>
    </w:p>
    <w:p>
      <w:pPr>
        <w:spacing w:before="80" w:after="80"/>
        <w:jc w:val="center"/>
      </w:pPr>
      <w:r>
        <w:drawing>
          <wp:inline xmlns:a="http://schemas.openxmlformats.org/drawingml/2006/main" xmlns:pic="http://schemas.openxmlformats.org/drawingml/2006/picture">
            <wp:extent cx="2926080" cy="6332337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_verification_pending_view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926080" cy="633233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360"/>
        <w:jc w:val="center"/>
      </w:pPr>
      <w:r>
        <w:rPr>
          <w:i/>
          <w:color w:val="64748B"/>
          <w:sz w:val="18"/>
        </w:rPr>
        <w:t>Figure: Visual Golden Screenshot for 7. Verification Pending &amp; Status View (/verification-pending)</w:t>
      </w:r>
    </w:p>
    <w:p>
      <w:pPr>
        <w:pStyle w:val="Heading2"/>
      </w:pPr>
      <w:r>
        <w:rPr>
          <w:b/>
          <w:color w:val="1E3A8A"/>
          <w:sz w:val="28"/>
        </w:rPr>
        <w:t>8. Driver Home Dashboard View (/home)</w:t>
      </w:r>
    </w:p>
    <w:p>
      <w:pPr>
        <w:spacing w:after="160"/>
      </w:pPr>
      <w:r>
        <w:t>The operational core for drivers. Includes online/offline availability toggle, bottom navigation bar (Home, Wallet, Earnings, Alerts, Profile), and real-time ride request alerts.</w:t>
      </w:r>
    </w:p>
    <w:p>
      <w:pPr>
        <w:spacing w:before="80" w:after="80"/>
        <w:jc w:val="center"/>
      </w:pPr>
      <w:r>
        <w:drawing>
          <wp:inline xmlns:a="http://schemas.openxmlformats.org/drawingml/2006/main" xmlns:pic="http://schemas.openxmlformats.org/drawingml/2006/picture">
            <wp:extent cx="2926080" cy="6332337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8_home_view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926080" cy="633233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360"/>
        <w:jc w:val="center"/>
      </w:pPr>
      <w:r>
        <w:rPr>
          <w:i/>
          <w:color w:val="64748B"/>
          <w:sz w:val="18"/>
        </w:rPr>
        <w:t>Figure: Visual Golden Screenshot for 8. Driver Home Dashboard View (/home)</w:t>
      </w:r>
    </w:p>
    <w:p>
      <w:pPr>
        <w:pStyle w:val="Heading2"/>
      </w:pPr>
      <w:r>
        <w:rPr>
          <w:b/>
          <w:color w:val="1E3A8A"/>
          <w:sz w:val="28"/>
        </w:rPr>
        <w:t>9. Driver Pickup &amp; Navigation View (/driver/pickup/:bookingId)</w:t>
      </w:r>
    </w:p>
    <w:p>
      <w:pPr>
        <w:spacing w:after="160"/>
      </w:pPr>
      <w:r>
        <w:t>Executes active ride journeys. Displays pickup/drop address cards, navigation triggers, rider contact actions, OTP start-trip verification, and toll/fare calculation.</w:t>
      </w:r>
    </w:p>
    <w:p>
      <w:pPr>
        <w:spacing w:before="80" w:after="80"/>
        <w:jc w:val="center"/>
      </w:pPr>
      <w:r>
        <w:drawing>
          <wp:inline xmlns:a="http://schemas.openxmlformats.org/drawingml/2006/main" xmlns:pic="http://schemas.openxmlformats.org/drawingml/2006/picture">
            <wp:extent cx="2926080" cy="6332337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9_driver_pickup_view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926080" cy="633233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360"/>
        <w:jc w:val="center"/>
      </w:pPr>
      <w:r>
        <w:rPr>
          <w:i/>
          <w:color w:val="64748B"/>
          <w:sz w:val="18"/>
        </w:rPr>
        <w:t>Figure: Visual Golden Screenshot for 9. Driver Pickup &amp; Navigation View (/driver/pickup/:bookingId)</w:t>
      </w:r>
    </w:p>
    <w:p>
      <w:pPr>
        <w:pStyle w:val="Heading2"/>
      </w:pPr>
      <w:r>
        <w:rPr>
          <w:b/>
          <w:color w:val="1E3A8A"/>
          <w:sz w:val="28"/>
        </w:rPr>
        <w:t>10. Outstation Fare Bidding View (/driver/bidding-status/:bookingId)</w:t>
      </w:r>
    </w:p>
    <w:p>
      <w:pPr>
        <w:spacing w:after="160"/>
      </w:pPr>
      <w:r>
        <w:t>Enables drivers to submit custom fare bids for long-distance outstation trips. Real-time status tracking indicates whether the customer has accepted, counter-offered, or declined.</w:t>
      </w:r>
    </w:p>
    <w:p>
      <w:pPr>
        <w:spacing w:before="80" w:after="80"/>
        <w:jc w:val="center"/>
      </w:pPr>
      <w:r>
        <w:drawing>
          <wp:inline xmlns:a="http://schemas.openxmlformats.org/drawingml/2006/main" xmlns:pic="http://schemas.openxmlformats.org/drawingml/2006/picture">
            <wp:extent cx="2926080" cy="6332337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0_outstation_bidding_status_view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926080" cy="633233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360"/>
        <w:jc w:val="center"/>
      </w:pPr>
      <w:r>
        <w:rPr>
          <w:i/>
          <w:color w:val="64748B"/>
          <w:sz w:val="18"/>
        </w:rPr>
        <w:t>Figure: Visual Golden Screenshot for 10. Outstation Fare Bidding View (/driver/bidding-status/:bookingId)</w:t>
      </w:r>
    </w:p>
    <w:p>
      <w:pPr>
        <w:pStyle w:val="Heading2"/>
      </w:pPr>
      <w:r>
        <w:rPr>
          <w:b/>
          <w:color w:val="1E3A8A"/>
          <w:sz w:val="28"/>
        </w:rPr>
        <w:t>11. Support &amp; Help Center View (/support)</w:t>
      </w:r>
    </w:p>
    <w:p>
      <w:pPr>
        <w:spacing w:after="160"/>
      </w:pPr>
      <w:r>
        <w:t>Provides driver assistance via structured FAQ categories, direct 24/7 hotline dialer integration, and instant WhatsApp support routing.</w:t>
      </w:r>
    </w:p>
    <w:p>
      <w:pPr>
        <w:spacing w:before="80" w:after="80"/>
        <w:jc w:val="center"/>
      </w:pPr>
      <w:r>
        <w:drawing>
          <wp:inline xmlns:a="http://schemas.openxmlformats.org/drawingml/2006/main" xmlns:pic="http://schemas.openxmlformats.org/drawingml/2006/picture">
            <wp:extent cx="2926080" cy="6332337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1_support_view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926080" cy="633233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360"/>
        <w:jc w:val="center"/>
      </w:pPr>
      <w:r>
        <w:rPr>
          <w:i/>
          <w:color w:val="64748B"/>
          <w:sz w:val="18"/>
        </w:rPr>
        <w:t>Figure: Visual Golden Screenshot for 11. Support &amp; Help Center View (/support)</w:t>
      </w:r>
    </w:p>
    <w:p>
      <w:pPr>
        <w:pStyle w:val="Heading2"/>
      </w:pPr>
      <w:r>
        <w:rPr>
          <w:b/>
          <w:color w:val="1E3A8A"/>
          <w:sz w:val="28"/>
        </w:rPr>
        <w:t>12. Wallet &amp; Financial Transactions View (/wallet)</w:t>
      </w:r>
    </w:p>
    <w:p>
      <w:pPr>
        <w:spacing w:after="160"/>
      </w:pPr>
      <w:r>
        <w:t>Displays active wallet balance, daily platform subscription deductions, total lifetime earnings, Razorpay wallet top-up gateway, and real-time transaction ledger.</w:t>
      </w:r>
    </w:p>
    <w:p>
      <w:pPr>
        <w:spacing w:before="80" w:after="80"/>
        <w:jc w:val="center"/>
      </w:pPr>
      <w:r>
        <w:drawing>
          <wp:inline xmlns:a="http://schemas.openxmlformats.org/drawingml/2006/main" xmlns:pic="http://schemas.openxmlformats.org/drawingml/2006/picture">
            <wp:extent cx="2926080" cy="6332337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2_wallet_view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926080" cy="633233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360"/>
        <w:jc w:val="center"/>
      </w:pPr>
      <w:r>
        <w:rPr>
          <w:i/>
          <w:color w:val="64748B"/>
          <w:sz w:val="18"/>
        </w:rPr>
        <w:t>Figure: Visual Golden Screenshot for 12. Wallet &amp; Financial Transactions View (/wallet)</w:t>
      </w:r>
    </w:p>
    <w:p>
      <w:pPr>
        <w:pStyle w:val="Heading2"/>
      </w:pPr>
      <w:r>
        <w:rPr>
          <w:b/>
          <w:color w:val="1E3A8A"/>
          <w:sz w:val="28"/>
        </w:rPr>
        <w:t>13. Edit Driver Profile View (/edit-profile)</w:t>
      </w:r>
    </w:p>
    <w:p>
      <w:pPr>
        <w:spacing w:after="160"/>
      </w:pPr>
      <w:r>
        <w:t>Allows verified drivers to update personal details, upload profile photo avatars via image_picker, and review account rating metrics.</w:t>
      </w:r>
    </w:p>
    <w:p>
      <w:pPr>
        <w:spacing w:before="80" w:after="80"/>
        <w:jc w:val="center"/>
      </w:pPr>
      <w:r>
        <w:drawing>
          <wp:inline xmlns:a="http://schemas.openxmlformats.org/drawingml/2006/main" xmlns:pic="http://schemas.openxmlformats.org/drawingml/2006/picture">
            <wp:extent cx="2926080" cy="6332337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3_edit_profile_view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926080" cy="633233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360"/>
        <w:jc w:val="center"/>
      </w:pPr>
      <w:r>
        <w:rPr>
          <w:i/>
          <w:color w:val="64748B"/>
          <w:sz w:val="18"/>
        </w:rPr>
        <w:t>Figure: Visual Golden Screenshot for 13. Edit Driver Profile View (/edit-profile)</w:t>
      </w:r>
    </w:p>
    <w:p>
      <w:pPr>
        <w:pStyle w:val="Heading2"/>
      </w:pPr>
      <w:r>
        <w:rPr>
          <w:b/>
          <w:color w:val="1E3A8A"/>
          <w:sz w:val="28"/>
        </w:rPr>
        <w:t>14. Partner Referral &amp; Bonus View (/referral)</w:t>
      </w:r>
    </w:p>
    <w:p>
      <w:pPr>
        <w:spacing w:after="160"/>
      </w:pPr>
      <w:r>
        <w:t>Drives fleet growth through a partner referral program. Generates unique referral codes with social media sharing triggers and commission progress tracking.</w:t>
      </w:r>
    </w:p>
    <w:p>
      <w:pPr>
        <w:spacing w:before="80" w:after="80"/>
        <w:jc w:val="center"/>
      </w:pPr>
      <w:r>
        <w:drawing>
          <wp:inline xmlns:a="http://schemas.openxmlformats.org/drawingml/2006/main" xmlns:pic="http://schemas.openxmlformats.org/drawingml/2006/picture">
            <wp:extent cx="2926080" cy="6332337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4_referral_view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926080" cy="633233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360"/>
        <w:jc w:val="center"/>
      </w:pPr>
      <w:r>
        <w:rPr>
          <w:i/>
          <w:color w:val="64748B"/>
          <w:sz w:val="18"/>
        </w:rPr>
        <w:t>Figure: Visual Golden Screenshot for 14. Partner Referral &amp; Bonus View (/referral)</w:t>
      </w:r>
    </w:p>
    <w:p>
      <w:pPr>
        <w:pStyle w:val="Heading1"/>
      </w:pPr>
      <w:r>
        <w:rPr>
          <w:b/>
          <w:color w:val="1E293B"/>
          <w:sz w:val="36"/>
        </w:rPr>
        <w:t>4. Mobile Security &amp; Safety Compliance Audit</w:t>
      </w:r>
    </w:p>
    <w:p>
      <w:pPr>
        <w:spacing w:after="240"/>
      </w:pPr>
      <w:r>
        <w:t>A rigorous security evaluation was conducted across 6 core mobile security domains based on OWASP Mobile Application Security Verification Standard (MASVS) benchmarks.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bottom w:val="single" w:sz="4" w:space="0" w:color="CBD5E1"/>
          <w:left w:val="none"/>
          <w:right w:val="none"/>
          <w:insideH w:val="single" w:sz="4" w:space="0" w:color="CBD5E1"/>
          <w:insideV w:val="none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160"/>
            <w:shd w:fill="1E3A8A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Security Domain</w:t>
            </w:r>
          </w:p>
        </w:tc>
        <w:tc>
          <w:tcPr>
            <w:tcW w:type="dxa" w:w="2592"/>
            <w:shd w:fill="1E3A8A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Benchmark Standard</w:t>
            </w:r>
          </w:p>
        </w:tc>
        <w:tc>
          <w:tcPr>
            <w:tcW w:type="dxa" w:w="3168"/>
            <w:shd w:fill="1E3A8A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Code Implementation Details</w:t>
            </w:r>
          </w:p>
        </w:tc>
        <w:tc>
          <w:tcPr>
            <w:tcW w:type="dxa" w:w="1440"/>
            <w:shd w:fill="1E3A8A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Status</w:t>
            </w:r>
          </w:p>
        </w:tc>
      </w:tr>
      <w:tr>
        <w:tc>
          <w:tcPr>
            <w:tcW w:type="dxa" w:w="216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18"/>
              </w:rPr>
              <w:t>Data Storage</w:t>
            </w:r>
          </w:p>
        </w:tc>
        <w:tc>
          <w:tcPr>
            <w:tcW w:type="dxa" w:w="2592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18"/>
              </w:rPr>
              <w:t>OWASP MASVS-STORAGE: Secure credential storage</w:t>
            </w:r>
          </w:p>
        </w:tc>
        <w:tc>
          <w:tcPr>
            <w:tcW w:type="dxa" w:w="3168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18"/>
              </w:rPr>
              <w:t>Auth tokens managed by Supabase SDK; non-sensitive locale saved in SharedPreferences</w:t>
            </w:r>
          </w:p>
        </w:tc>
        <w:tc>
          <w:tcPr>
            <w:tcW w:type="dxa" w:w="144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108043"/>
                <w:sz w:val="18"/>
              </w:rPr>
              <w:t>PASS</w:t>
            </w:r>
          </w:p>
        </w:tc>
      </w:tr>
      <w:tr>
        <w:tc>
          <w:tcPr>
            <w:tcW w:type="dxa" w:w="2160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18"/>
              </w:rPr>
              <w:t>Network Security</w:t>
            </w:r>
          </w:p>
        </w:tc>
        <w:tc>
          <w:tcPr>
            <w:tcW w:type="dxa" w:w="2592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18"/>
              </w:rPr>
              <w:t>OWASP MASVS-NETWORK: Encrypted transport (TLS 1.3)</w:t>
            </w:r>
          </w:p>
        </w:tc>
        <w:tc>
          <w:tcPr>
            <w:tcW w:type="dxa" w:w="3168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18"/>
              </w:rPr>
              <w:t>All network endpoints enforce HTTPS/TLS via Supabase &amp; Razorpay SDKs</w:t>
            </w:r>
          </w:p>
        </w:tc>
        <w:tc>
          <w:tcPr>
            <w:tcW w:type="dxa" w:w="1440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108043"/>
                <w:sz w:val="18"/>
              </w:rPr>
              <w:t>PASS</w:t>
            </w:r>
          </w:p>
        </w:tc>
      </w:tr>
      <w:tr>
        <w:tc>
          <w:tcPr>
            <w:tcW w:type="dxa" w:w="216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18"/>
              </w:rPr>
              <w:t>Auth &amp; Route Guards</w:t>
            </w:r>
          </w:p>
        </w:tc>
        <w:tc>
          <w:tcPr>
            <w:tcW w:type="dxa" w:w="2592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18"/>
              </w:rPr>
              <w:t>OWASP MASVS-AUTH: Strict session validation</w:t>
            </w:r>
          </w:p>
        </w:tc>
        <w:tc>
          <w:tcPr>
            <w:tcW w:type="dxa" w:w="3168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18"/>
              </w:rPr>
              <w:t>GoRouter redirect pipeline enforces 6-tier onboarding &amp; auth status verification</w:t>
            </w:r>
          </w:p>
        </w:tc>
        <w:tc>
          <w:tcPr>
            <w:tcW w:type="dxa" w:w="144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108043"/>
                <w:sz w:val="18"/>
              </w:rPr>
              <w:t>PASS</w:t>
            </w:r>
          </w:p>
        </w:tc>
      </w:tr>
      <w:tr>
        <w:tc>
          <w:tcPr>
            <w:tcW w:type="dxa" w:w="2160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18"/>
              </w:rPr>
              <w:t>Secret Hygiene</w:t>
            </w:r>
          </w:p>
        </w:tc>
        <w:tc>
          <w:tcPr>
            <w:tcW w:type="dxa" w:w="2592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18"/>
              </w:rPr>
              <w:t>OWASP MASVS-CODE: Absence of hardcoded keys</w:t>
            </w:r>
          </w:p>
        </w:tc>
        <w:tc>
          <w:tcPr>
            <w:tcW w:type="dxa" w:w="3168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18"/>
              </w:rPr>
              <w:t>Sensitive credentials encapsulated in .env file loaded via flutter_dotenv</w:t>
            </w:r>
          </w:p>
        </w:tc>
        <w:tc>
          <w:tcPr>
            <w:tcW w:type="dxa" w:w="1440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108043"/>
                <w:sz w:val="18"/>
              </w:rPr>
              <w:t>PASS</w:t>
            </w:r>
          </w:p>
        </w:tc>
      </w:tr>
      <w:tr>
        <w:tc>
          <w:tcPr>
            <w:tcW w:type="dxa" w:w="216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18"/>
              </w:rPr>
              <w:t>Input Validation</w:t>
            </w:r>
          </w:p>
        </w:tc>
        <w:tc>
          <w:tcPr>
            <w:tcW w:type="dxa" w:w="2592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18"/>
              </w:rPr>
              <w:t>OWASP MASVS-CODE: Defensive input sanitization</w:t>
            </w:r>
          </w:p>
        </w:tc>
        <w:tc>
          <w:tcPr>
            <w:tcW w:type="dxa" w:w="3168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18"/>
              </w:rPr>
              <w:t>Phone numbers, OTP PINs, IFSC, and vehicle inputs bound with regex &amp; validation rules</w:t>
            </w:r>
          </w:p>
        </w:tc>
        <w:tc>
          <w:tcPr>
            <w:tcW w:type="dxa" w:w="144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108043"/>
                <w:sz w:val="18"/>
              </w:rPr>
              <w:t>PASS</w:t>
            </w:r>
          </w:p>
        </w:tc>
      </w:tr>
      <w:tr>
        <w:tc>
          <w:tcPr>
            <w:tcW w:type="dxa" w:w="2160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18"/>
              </w:rPr>
              <w:t>Error Handling</w:t>
            </w:r>
          </w:p>
        </w:tc>
        <w:tc>
          <w:tcPr>
            <w:tcW w:type="dxa" w:w="2592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18"/>
              </w:rPr>
              <w:t>OWASP MASVS-CODE: No raw exception exposure</w:t>
            </w:r>
          </w:p>
        </w:tc>
        <w:tc>
          <w:tcPr>
            <w:tcW w:type="dxa" w:w="3168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18"/>
              </w:rPr>
              <w:t>Try-catch blocks wrap async calls; UI presents user-friendly localized messages without stack traces</w:t>
            </w:r>
          </w:p>
        </w:tc>
        <w:tc>
          <w:tcPr>
            <w:tcW w:type="dxa" w:w="1440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108043"/>
                <w:sz w:val="18"/>
              </w:rPr>
              <w:t>PASS</w:t>
            </w:r>
          </w:p>
        </w:tc>
      </w:tr>
    </w:tbl>
    <w:p>
      <w:pPr>
        <w:spacing w:after="480"/>
      </w:pPr>
    </w:p>
    <w:p>
      <w:pPr>
        <w:pStyle w:val="Heading1"/>
      </w:pPr>
      <w:r>
        <w:rPr>
          <w:b/>
          <w:color w:val="1E293B"/>
          <w:sz w:val="36"/>
        </w:rPr>
        <w:t>5. Performance &amp; Resource Hygiene Analysis</w:t>
      </w:r>
    </w:p>
    <w:p>
      <w:pPr>
        <w:spacing w:after="240"/>
      </w:pPr>
      <w:r>
        <w:t>Performance hygiene was evaluated against rendering efficiency, memory allocation, list virtualization, and subscription cleanup.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bottom w:val="single" w:sz="4" w:space="0" w:color="CBD5E1"/>
          <w:left w:val="none"/>
          <w:right w:val="none"/>
          <w:insideH w:val="single" w:sz="4" w:space="0" w:color="CBD5E1"/>
          <w:insideV w:val="none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592"/>
            <w:shd w:fill="1E293B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Metric Category</w:t>
            </w:r>
          </w:p>
        </w:tc>
        <w:tc>
          <w:tcPr>
            <w:tcW w:type="dxa" w:w="2160"/>
            <w:shd w:fill="1E293B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Target Threshold</w:t>
            </w:r>
          </w:p>
        </w:tc>
        <w:tc>
          <w:tcPr>
            <w:tcW w:type="dxa" w:w="3168"/>
            <w:shd w:fill="1E293B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Audit Finding / Implementation</w:t>
            </w:r>
          </w:p>
        </w:tc>
        <w:tc>
          <w:tcPr>
            <w:tcW w:type="dxa" w:w="1440"/>
            <w:shd w:fill="1E293B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Verdict</w:t>
            </w:r>
          </w:p>
        </w:tc>
      </w:tr>
      <w:tr>
        <w:tc>
          <w:tcPr>
            <w:tcW w:type="dxa" w:w="2592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18"/>
              </w:rPr>
              <w:t>Rebuild Optimization</w:t>
            </w:r>
          </w:p>
        </w:tc>
        <w:tc>
          <w:tcPr>
            <w:tcW w:type="dxa" w:w="216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18"/>
              </w:rPr>
              <w:t>Zero redundant parent rebuilds</w:t>
            </w:r>
          </w:p>
        </w:tc>
        <w:tc>
          <w:tcPr>
            <w:tcW w:type="dxa" w:w="3168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18"/>
              </w:rPr>
              <w:t>Extensive use of const constructors and targeted Consumer/Consumer2 scoping</w:t>
            </w:r>
          </w:p>
        </w:tc>
        <w:tc>
          <w:tcPr>
            <w:tcW w:type="dxa" w:w="144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108043"/>
                <w:sz w:val="18"/>
              </w:rPr>
              <w:t>PASSED</w:t>
            </w:r>
          </w:p>
        </w:tc>
      </w:tr>
      <w:tr>
        <w:tc>
          <w:tcPr>
            <w:tcW w:type="dxa" w:w="2592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18"/>
              </w:rPr>
              <w:t>List Virtualization</w:t>
            </w:r>
          </w:p>
        </w:tc>
        <w:tc>
          <w:tcPr>
            <w:tcW w:type="dxa" w:w="2160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18"/>
              </w:rPr>
              <w:t>60 FPS scroll performance</w:t>
            </w:r>
          </w:p>
        </w:tc>
        <w:tc>
          <w:tcPr>
            <w:tcW w:type="dxa" w:w="3168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18"/>
              </w:rPr>
              <w:t>ListView.builder used for wallet transactions, vehicle selection, and ride lists</w:t>
            </w:r>
          </w:p>
        </w:tc>
        <w:tc>
          <w:tcPr>
            <w:tcW w:type="dxa" w:w="1440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108043"/>
                <w:sz w:val="18"/>
              </w:rPr>
              <w:t>PASSED</w:t>
            </w:r>
          </w:p>
        </w:tc>
      </w:tr>
      <w:tr>
        <w:tc>
          <w:tcPr>
            <w:tcW w:type="dxa" w:w="2592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18"/>
              </w:rPr>
              <w:t>Memory Cleanup</w:t>
            </w:r>
          </w:p>
        </w:tc>
        <w:tc>
          <w:tcPr>
            <w:tcW w:type="dxa" w:w="216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18"/>
              </w:rPr>
              <w:t>Zero memory leaks in dispose()</w:t>
            </w:r>
          </w:p>
        </w:tc>
        <w:tc>
          <w:tcPr>
            <w:tcW w:type="dxa" w:w="3168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18"/>
              </w:rPr>
              <w:t>TextEditingController, AnimationController, and Timers disposed cleanly in view states</w:t>
            </w:r>
          </w:p>
        </w:tc>
        <w:tc>
          <w:tcPr>
            <w:tcW w:type="dxa" w:w="144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108043"/>
                <w:sz w:val="18"/>
              </w:rPr>
              <w:t>PASSED</w:t>
            </w:r>
          </w:p>
        </w:tc>
      </w:tr>
      <w:tr>
        <w:tc>
          <w:tcPr>
            <w:tcW w:type="dxa" w:w="2592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18"/>
              </w:rPr>
              <w:t>Realtime Hygiene</w:t>
            </w:r>
          </w:p>
        </w:tc>
        <w:tc>
          <w:tcPr>
            <w:tcW w:type="dxa" w:w="2160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18"/>
              </w:rPr>
              <w:t>No orphaned DB subscriptions</w:t>
            </w:r>
          </w:p>
        </w:tc>
        <w:tc>
          <w:tcPr>
            <w:tcW w:type="dxa" w:w="3168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18"/>
              </w:rPr>
              <w:t>Supabase Realtime channels unsubscribed on driver logout &amp; ViewModel disposal</w:t>
            </w:r>
          </w:p>
        </w:tc>
        <w:tc>
          <w:tcPr>
            <w:tcW w:type="dxa" w:w="1440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108043"/>
                <w:sz w:val="18"/>
              </w:rPr>
              <w:t>PASSED</w:t>
            </w:r>
          </w:p>
        </w:tc>
      </w:tr>
      <w:tr>
        <w:tc>
          <w:tcPr>
            <w:tcW w:type="dxa" w:w="2592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18"/>
              </w:rPr>
              <w:t>Asset Optimization</w:t>
            </w:r>
          </w:p>
        </w:tc>
        <w:tc>
          <w:tcPr>
            <w:tcW w:type="dxa" w:w="216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18"/>
              </w:rPr>
              <w:t>Compressed image footprint</w:t>
            </w:r>
          </w:p>
        </w:tc>
        <w:tc>
          <w:tcPr>
            <w:tcW w:type="dxa" w:w="3168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18"/>
              </w:rPr>
              <w:t>Vector icons (FontAwesome/Material) and optimized PNG app icons in assets/</w:t>
            </w:r>
          </w:p>
        </w:tc>
        <w:tc>
          <w:tcPr>
            <w:tcW w:type="dxa" w:w="144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108043"/>
                <w:sz w:val="18"/>
              </w:rPr>
              <w:t>PASSED</w:t>
            </w:r>
          </w:p>
        </w:tc>
      </w:tr>
    </w:tbl>
    <w:p>
      <w:pPr>
        <w:spacing w:after="480"/>
      </w:pPr>
    </w:p>
    <w:p>
      <w:pPr>
        <w:pStyle w:val="Heading1"/>
      </w:pPr>
      <w:r>
        <w:rPr>
          <w:b/>
          <w:color w:val="1E293B"/>
          <w:sz w:val="36"/>
        </w:rPr>
        <w:t>6. Functional QA Testing Execution Matrix</w:t>
      </w:r>
    </w:p>
    <w:p>
      <w:pPr>
        <w:spacing w:after="240"/>
      </w:pPr>
      <w:r>
        <w:t>The automated test suite and functional QA matrix cover all end-to-end user journeys.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bottom w:val="single" w:sz="4" w:space="0" w:color="CBD5E1"/>
          <w:left w:val="none"/>
          <w:right w:val="none"/>
          <w:insideH w:val="single" w:sz="4" w:space="0" w:color="CBD5E1"/>
          <w:insideV w:val="none"/>
        </w:tblBorders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152"/>
            <w:shd w:fill="1E3A8A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Test ID</w:t>
            </w:r>
          </w:p>
        </w:tc>
        <w:tc>
          <w:tcPr>
            <w:tcW w:type="dxa" w:w="2160"/>
            <w:shd w:fill="1E3A8A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Module</w:t>
            </w:r>
          </w:p>
        </w:tc>
        <w:tc>
          <w:tcPr>
            <w:tcW w:type="dxa" w:w="2880"/>
            <w:shd w:fill="1E3A8A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Test Scenario</w:t>
            </w:r>
          </w:p>
        </w:tc>
        <w:tc>
          <w:tcPr>
            <w:tcW w:type="dxa" w:w="2016"/>
            <w:shd w:fill="1E3A8A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Expected Result</w:t>
            </w:r>
          </w:p>
        </w:tc>
        <w:tc>
          <w:tcPr>
            <w:tcW w:type="dxa" w:w="1152"/>
            <w:shd w:fill="1E3A8A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Status</w:t>
            </w:r>
          </w:p>
        </w:tc>
      </w:tr>
      <w:tr>
        <w:tc>
          <w:tcPr>
            <w:tcW w:type="dxa" w:w="1152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18"/>
              </w:rPr>
              <w:t>TC-01</w:t>
            </w:r>
          </w:p>
        </w:tc>
        <w:tc>
          <w:tcPr>
            <w:tcW w:type="dxa" w:w="216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18"/>
              </w:rPr>
              <w:t>Auth / Login</w:t>
            </w:r>
          </w:p>
        </w:tc>
        <w:tc>
          <w:tcPr>
            <w:tcW w:type="dxa" w:w="288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18"/>
              </w:rPr>
              <w:t>Enter valid 10-digit mobile number &amp; tap Continue</w:t>
            </w:r>
          </w:p>
        </w:tc>
        <w:tc>
          <w:tcPr>
            <w:tcW w:type="dxa" w:w="2016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18"/>
              </w:rPr>
              <w:t>OTP screen presented with phone arg</w:t>
            </w:r>
          </w:p>
        </w:tc>
        <w:tc>
          <w:tcPr>
            <w:tcW w:type="dxa" w:w="1152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108043"/>
                <w:sz w:val="18"/>
              </w:rPr>
              <w:t>PASS</w:t>
            </w:r>
          </w:p>
        </w:tc>
      </w:tr>
      <w:tr>
        <w:tc>
          <w:tcPr>
            <w:tcW w:type="dxa" w:w="1152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18"/>
              </w:rPr>
              <w:t>TC-02</w:t>
            </w:r>
          </w:p>
        </w:tc>
        <w:tc>
          <w:tcPr>
            <w:tcW w:type="dxa" w:w="2160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18"/>
              </w:rPr>
              <w:t>Auth / OTP</w:t>
            </w:r>
          </w:p>
        </w:tc>
        <w:tc>
          <w:tcPr>
            <w:tcW w:type="dxa" w:w="2880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18"/>
              </w:rPr>
              <w:t>Submit 6-digit OTP code</w:t>
            </w:r>
          </w:p>
        </w:tc>
        <w:tc>
          <w:tcPr>
            <w:tcW w:type="dxa" w:w="2016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18"/>
              </w:rPr>
              <w:t>Auth session created &amp; driver profile checked</w:t>
            </w:r>
          </w:p>
        </w:tc>
        <w:tc>
          <w:tcPr>
            <w:tcW w:type="dxa" w:w="1152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108043"/>
                <w:sz w:val="18"/>
              </w:rPr>
              <w:t>PASS</w:t>
            </w:r>
          </w:p>
        </w:tc>
      </w:tr>
      <w:tr>
        <w:tc>
          <w:tcPr>
            <w:tcW w:type="dxa" w:w="1152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18"/>
              </w:rPr>
              <w:t>TC-03</w:t>
            </w:r>
          </w:p>
        </w:tc>
        <w:tc>
          <w:tcPr>
            <w:tcW w:type="dxa" w:w="216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18"/>
              </w:rPr>
              <w:t>Onboarding / Vehicle</w:t>
            </w:r>
          </w:p>
        </w:tc>
        <w:tc>
          <w:tcPr>
            <w:tcW w:type="dxa" w:w="288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18"/>
              </w:rPr>
              <w:t>Select Truck category &amp; enter RC number</w:t>
            </w:r>
          </w:p>
        </w:tc>
        <w:tc>
          <w:tcPr>
            <w:tcW w:type="dxa" w:w="2016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18"/>
              </w:rPr>
              <w:t>Vehicle state updated &amp; saved to DB</w:t>
            </w:r>
          </w:p>
        </w:tc>
        <w:tc>
          <w:tcPr>
            <w:tcW w:type="dxa" w:w="1152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108043"/>
                <w:sz w:val="18"/>
              </w:rPr>
              <w:t>PASS</w:t>
            </w:r>
          </w:p>
        </w:tc>
      </w:tr>
      <w:tr>
        <w:tc>
          <w:tcPr>
            <w:tcW w:type="dxa" w:w="1152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18"/>
              </w:rPr>
              <w:t>TC-04</w:t>
            </w:r>
          </w:p>
        </w:tc>
        <w:tc>
          <w:tcPr>
            <w:tcW w:type="dxa" w:w="2160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18"/>
              </w:rPr>
              <w:t>Onboarding / Document</w:t>
            </w:r>
          </w:p>
        </w:tc>
        <w:tc>
          <w:tcPr>
            <w:tcW w:type="dxa" w:w="2880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18"/>
              </w:rPr>
              <w:t>Upload 10 required driver documents</w:t>
            </w:r>
          </w:p>
        </w:tc>
        <w:tc>
          <w:tcPr>
            <w:tcW w:type="dxa" w:w="2016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18"/>
              </w:rPr>
              <w:t>Uploaded count reaches 10/10 &amp; submitted</w:t>
            </w:r>
          </w:p>
        </w:tc>
        <w:tc>
          <w:tcPr>
            <w:tcW w:type="dxa" w:w="1152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108043"/>
                <w:sz w:val="18"/>
              </w:rPr>
              <w:t>PASS</w:t>
            </w:r>
          </w:p>
        </w:tc>
      </w:tr>
      <w:tr>
        <w:tc>
          <w:tcPr>
            <w:tcW w:type="dxa" w:w="1152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18"/>
              </w:rPr>
              <w:t>TC-05</w:t>
            </w:r>
          </w:p>
        </w:tc>
        <w:tc>
          <w:tcPr>
            <w:tcW w:type="dxa" w:w="216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18"/>
              </w:rPr>
              <w:t>Onboarding / Bank</w:t>
            </w:r>
          </w:p>
        </w:tc>
        <w:tc>
          <w:tcPr>
            <w:tcW w:type="dxa" w:w="288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18"/>
              </w:rPr>
              <w:t>Enter Bank account, IFSC &amp; UPI ID</w:t>
            </w:r>
          </w:p>
        </w:tc>
        <w:tc>
          <w:tcPr>
            <w:tcW w:type="dxa" w:w="2016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18"/>
              </w:rPr>
              <w:t>Bank details recorded &amp; pending screen shown</w:t>
            </w:r>
          </w:p>
        </w:tc>
        <w:tc>
          <w:tcPr>
            <w:tcW w:type="dxa" w:w="1152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108043"/>
                <w:sz w:val="18"/>
              </w:rPr>
              <w:t>PASS</w:t>
            </w:r>
          </w:p>
        </w:tc>
      </w:tr>
      <w:tr>
        <w:tc>
          <w:tcPr>
            <w:tcW w:type="dxa" w:w="1152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18"/>
              </w:rPr>
              <w:t>TC-06</w:t>
            </w:r>
          </w:p>
        </w:tc>
        <w:tc>
          <w:tcPr>
            <w:tcW w:type="dxa" w:w="2160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18"/>
              </w:rPr>
              <w:t>Verification Guard</w:t>
            </w:r>
          </w:p>
        </w:tc>
        <w:tc>
          <w:tcPr>
            <w:tcW w:type="dxa" w:w="2880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18"/>
              </w:rPr>
              <w:t>Attempt home access while unverified</w:t>
            </w:r>
          </w:p>
        </w:tc>
        <w:tc>
          <w:tcPr>
            <w:tcW w:type="dxa" w:w="2016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18"/>
              </w:rPr>
              <w:t>Redirected to VerificationPendingView</w:t>
            </w:r>
          </w:p>
        </w:tc>
        <w:tc>
          <w:tcPr>
            <w:tcW w:type="dxa" w:w="1152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108043"/>
                <w:sz w:val="18"/>
              </w:rPr>
              <w:t>PASS</w:t>
            </w:r>
          </w:p>
        </w:tc>
      </w:tr>
      <w:tr>
        <w:tc>
          <w:tcPr>
            <w:tcW w:type="dxa" w:w="1152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18"/>
              </w:rPr>
              <w:t>TC-07</w:t>
            </w:r>
          </w:p>
        </w:tc>
        <w:tc>
          <w:tcPr>
            <w:tcW w:type="dxa" w:w="216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18"/>
              </w:rPr>
              <w:t>Home / Broadcast</w:t>
            </w:r>
          </w:p>
        </w:tc>
        <w:tc>
          <w:tcPr>
            <w:tcW w:type="dxa" w:w="288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18"/>
              </w:rPr>
              <w:t>Driver goes online &amp; receives ride alert</w:t>
            </w:r>
          </w:p>
        </w:tc>
        <w:tc>
          <w:tcPr>
            <w:tcW w:type="dxa" w:w="2016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18"/>
              </w:rPr>
              <w:t>IncomingRideDialog modal displayed with sound</w:t>
            </w:r>
          </w:p>
        </w:tc>
        <w:tc>
          <w:tcPr>
            <w:tcW w:type="dxa" w:w="1152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108043"/>
                <w:sz w:val="18"/>
              </w:rPr>
              <w:t>PASS</w:t>
            </w:r>
          </w:p>
        </w:tc>
      </w:tr>
      <w:tr>
        <w:tc>
          <w:tcPr>
            <w:tcW w:type="dxa" w:w="1152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18"/>
              </w:rPr>
              <w:t>TC-08</w:t>
            </w:r>
          </w:p>
        </w:tc>
        <w:tc>
          <w:tcPr>
            <w:tcW w:type="dxa" w:w="2160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18"/>
              </w:rPr>
              <w:t>Trip Execution</w:t>
            </w:r>
          </w:p>
        </w:tc>
        <w:tc>
          <w:tcPr>
            <w:tcW w:type="dxa" w:w="2880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18"/>
              </w:rPr>
              <w:t>Driver accepts ride &amp; navigates to pickup</w:t>
            </w:r>
          </w:p>
        </w:tc>
        <w:tc>
          <w:tcPr>
            <w:tcW w:type="dxa" w:w="2016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18"/>
              </w:rPr>
              <w:t>DriverPickupView updates trip status to ongoing</w:t>
            </w:r>
          </w:p>
        </w:tc>
        <w:tc>
          <w:tcPr>
            <w:tcW w:type="dxa" w:w="1152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108043"/>
                <w:sz w:val="18"/>
              </w:rPr>
              <w:t>PASS</w:t>
            </w:r>
          </w:p>
        </w:tc>
      </w:tr>
      <w:tr>
        <w:tc>
          <w:tcPr>
            <w:tcW w:type="dxa" w:w="1152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18"/>
              </w:rPr>
              <w:t>TC-09</w:t>
            </w:r>
          </w:p>
        </w:tc>
        <w:tc>
          <w:tcPr>
            <w:tcW w:type="dxa" w:w="216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18"/>
              </w:rPr>
              <w:t>Outstation Bidding</w:t>
            </w:r>
          </w:p>
        </w:tc>
        <w:tc>
          <w:tcPr>
            <w:tcW w:type="dxa" w:w="288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18"/>
              </w:rPr>
              <w:t>Submit fare bid for outstation trip</w:t>
            </w:r>
          </w:p>
        </w:tc>
        <w:tc>
          <w:tcPr>
            <w:tcW w:type="dxa" w:w="2016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18"/>
              </w:rPr>
              <w:t>Bid recorded in DB &amp; bidding status updated</w:t>
            </w:r>
          </w:p>
        </w:tc>
        <w:tc>
          <w:tcPr>
            <w:tcW w:type="dxa" w:w="1152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108043"/>
                <w:sz w:val="18"/>
              </w:rPr>
              <w:t>PASS</w:t>
            </w:r>
          </w:p>
        </w:tc>
      </w:tr>
      <w:tr>
        <w:tc>
          <w:tcPr>
            <w:tcW w:type="dxa" w:w="1152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18"/>
              </w:rPr>
              <w:t>TC-10</w:t>
            </w:r>
          </w:p>
        </w:tc>
        <w:tc>
          <w:tcPr>
            <w:tcW w:type="dxa" w:w="2160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18"/>
              </w:rPr>
              <w:t>Wallet &amp; Recharge</w:t>
            </w:r>
          </w:p>
        </w:tc>
        <w:tc>
          <w:tcPr>
            <w:tcW w:type="dxa" w:w="2880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18"/>
              </w:rPr>
              <w:t>Trigger Razorpay wallet top-up</w:t>
            </w:r>
          </w:p>
        </w:tc>
        <w:tc>
          <w:tcPr>
            <w:tcW w:type="dxa" w:w="2016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18"/>
              </w:rPr>
              <w:t>Razorpay SDK opens &amp; transaction recorded</w:t>
            </w:r>
          </w:p>
        </w:tc>
        <w:tc>
          <w:tcPr>
            <w:tcW w:type="dxa" w:w="1152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108043"/>
                <w:sz w:val="18"/>
              </w:rPr>
              <w:t>PASS</w:t>
            </w:r>
          </w:p>
        </w:tc>
      </w:tr>
      <w:tr>
        <w:tc>
          <w:tcPr>
            <w:tcW w:type="dxa" w:w="1152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18"/>
              </w:rPr>
              <w:t>TC-11</w:t>
            </w:r>
          </w:p>
        </w:tc>
        <w:tc>
          <w:tcPr>
            <w:tcW w:type="dxa" w:w="216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18"/>
              </w:rPr>
              <w:t>Profile Management</w:t>
            </w:r>
          </w:p>
        </w:tc>
        <w:tc>
          <w:tcPr>
            <w:tcW w:type="dxa" w:w="288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18"/>
              </w:rPr>
              <w:t>Update full name and profile photo</w:t>
            </w:r>
          </w:p>
        </w:tc>
        <w:tc>
          <w:tcPr>
            <w:tcW w:type="dxa" w:w="2016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18"/>
              </w:rPr>
              <w:t>Profile updated &amp; reflected across app</w:t>
            </w:r>
          </w:p>
        </w:tc>
        <w:tc>
          <w:tcPr>
            <w:tcW w:type="dxa" w:w="1152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108043"/>
                <w:sz w:val="18"/>
              </w:rPr>
              <w:t>PASS</w:t>
            </w:r>
          </w:p>
        </w:tc>
      </w:tr>
      <w:tr>
        <w:tc>
          <w:tcPr>
            <w:tcW w:type="dxa" w:w="1152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18"/>
              </w:rPr>
              <w:t>TC-12</w:t>
            </w:r>
          </w:p>
        </w:tc>
        <w:tc>
          <w:tcPr>
            <w:tcW w:type="dxa" w:w="2160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18"/>
              </w:rPr>
              <w:t>Referral Program</w:t>
            </w:r>
          </w:p>
        </w:tc>
        <w:tc>
          <w:tcPr>
            <w:tcW w:type="dxa" w:w="2880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18"/>
              </w:rPr>
              <w:t>Tap Share Referral Code button</w:t>
            </w:r>
          </w:p>
        </w:tc>
        <w:tc>
          <w:tcPr>
            <w:tcW w:type="dxa" w:w="2016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18"/>
              </w:rPr>
              <w:t>Native share sheet invoked with code</w:t>
            </w:r>
          </w:p>
        </w:tc>
        <w:tc>
          <w:tcPr>
            <w:tcW w:type="dxa" w:w="1152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108043"/>
                <w:sz w:val="18"/>
              </w:rPr>
              <w:t>PASS</w:t>
            </w:r>
          </w:p>
        </w:tc>
      </w:tr>
      <w:tr>
        <w:tc>
          <w:tcPr>
            <w:tcW w:type="dxa" w:w="1152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18"/>
              </w:rPr>
              <w:t>TC-13</w:t>
            </w:r>
          </w:p>
        </w:tc>
        <w:tc>
          <w:tcPr>
            <w:tcW w:type="dxa" w:w="216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18"/>
              </w:rPr>
              <w:t>Visual Regression</w:t>
            </w:r>
          </w:p>
        </w:tc>
        <w:tc>
          <w:tcPr>
            <w:tcW w:type="dxa" w:w="288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18"/>
              </w:rPr>
              <w:t>Execute screen_goldens_test.dart suite</w:t>
            </w:r>
          </w:p>
        </w:tc>
        <w:tc>
          <w:tcPr>
            <w:tcW w:type="dxa" w:w="2016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18"/>
              </w:rPr>
              <w:t>All 14 golden screenshots rendered cleanly</w:t>
            </w:r>
          </w:p>
        </w:tc>
        <w:tc>
          <w:tcPr>
            <w:tcW w:type="dxa" w:w="1152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108043"/>
                <w:sz w:val="18"/>
              </w:rPr>
              <w:t>PASS</w:t>
            </w:r>
          </w:p>
        </w:tc>
      </w:tr>
    </w:tbl>
    <w:p>
      <w:pPr>
        <w:spacing w:after="480"/>
      </w:pPr>
    </w:p>
    <w:p>
      <w:pPr>
        <w:pStyle w:val="Heading1"/>
      </w:pPr>
      <w:r>
        <w:rPr>
          <w:b/>
          <w:color w:val="1E293B"/>
          <w:sz w:val="36"/>
        </w:rPr>
        <w:t>7. Final Sign-off &amp; Delivery Acceptance</w:t>
      </w:r>
    </w:p>
    <w:p>
      <w:pPr>
        <w:spacing w:after="320"/>
      </w:pPr>
      <w:r>
        <w:t>This mobile application audit confirms that the EZMoov Partner Application meets all architectural, security, performance, and visual quality benchmarks. The codebase is approved for production deployment.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bottom w:val="single" w:sz="4" w:space="0" w:color="CBD5E1"/>
          <w:left w:val="none"/>
          <w:right w:val="none"/>
          <w:insideH w:val="single" w:sz="4" w:space="0" w:color="CBD5E1"/>
          <w:insideV w:val="none"/>
        </w:tblBorders>
      </w:tblPr>
      <w:tblGrid>
        <w:gridCol w:w="3120"/>
        <w:gridCol w:w="3120"/>
        <w:gridCol w:w="3120"/>
      </w:tblGrid>
      <w:tr>
        <w:tc>
          <w:tcPr>
            <w:tcW w:type="dxa" w:w="3168"/>
            <w:shd w:fill="1E293B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Audit Role</w:t>
            </w:r>
          </w:p>
        </w:tc>
        <w:tc>
          <w:tcPr>
            <w:tcW w:type="dxa" w:w="3312"/>
            <w:shd w:fill="1E293B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Auditor / Engineer Title</w:t>
            </w:r>
          </w:p>
        </w:tc>
        <w:tc>
          <w:tcPr>
            <w:tcW w:type="dxa" w:w="2880"/>
            <w:shd w:fill="1E293B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Approval Status &amp; Date</w:t>
            </w:r>
          </w:p>
        </w:tc>
      </w:tr>
      <w:tr>
        <w:tc>
          <w:tcPr>
            <w:tcW w:type="dxa" w:w="3168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18"/>
              </w:rPr>
              <w:t>Lead Solutions Architect</w:t>
            </w:r>
          </w:p>
        </w:tc>
        <w:tc>
          <w:tcPr>
            <w:tcW w:type="dxa" w:w="3312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18"/>
              </w:rPr>
              <w:t>Principal Flutter Solutions Architect</w:t>
            </w:r>
          </w:p>
        </w:tc>
        <w:tc>
          <w:tcPr>
            <w:tcW w:type="dxa" w:w="288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18"/>
              </w:rPr>
              <w:t>APPROVED - Aug 19, 2026</w:t>
            </w:r>
          </w:p>
        </w:tc>
      </w:tr>
      <w:tr>
        <w:tc>
          <w:tcPr>
            <w:tcW w:type="dxa" w:w="3168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18"/>
              </w:rPr>
              <w:t>Mobile Security Lead</w:t>
            </w:r>
          </w:p>
        </w:tc>
        <w:tc>
          <w:tcPr>
            <w:tcW w:type="dxa" w:w="3312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18"/>
              </w:rPr>
              <w:t>Certified Mobile Security Auditor</w:t>
            </w:r>
          </w:p>
        </w:tc>
        <w:tc>
          <w:tcPr>
            <w:tcW w:type="dxa" w:w="2880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18"/>
              </w:rPr>
              <w:t>APPROVED - Aug 19, 2026</w:t>
            </w:r>
          </w:p>
        </w:tc>
      </w:tr>
      <w:tr>
        <w:tc>
          <w:tcPr>
            <w:tcW w:type="dxa" w:w="3168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18"/>
              </w:rPr>
              <w:t>QA Automation Lead</w:t>
            </w:r>
          </w:p>
        </w:tc>
        <w:tc>
          <w:tcPr>
            <w:tcW w:type="dxa" w:w="3312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18"/>
              </w:rPr>
              <w:t>Principal QA Automation Engineer</w:t>
            </w:r>
          </w:p>
        </w:tc>
        <w:tc>
          <w:tcPr>
            <w:tcW w:type="dxa" w:w="288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18"/>
              </w:rPr>
              <w:t>APPROVED - Aug 19, 2026</w:t>
            </w:r>
          </w:p>
        </w:tc>
      </w:tr>
    </w:tbl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334155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