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B2A4A"/>
          <w:sz w:val="32"/>
          <w:szCs w:val="32"/>
        </w:rPr>
        <w:t xml:space="preserve">Architectural Justification</w:t>
      </w:r>
    </w:p>
    <w:p>
      <w:pPr>
        <w:spacing w:after="200"/>
        <w:jc w:val="center"/>
      </w:pPr>
      <w:r>
        <w:rPr>
          <w:color w:val="2E4372"/>
          <w:sz w:val="24"/>
          <w:szCs w:val="24"/>
        </w:rPr>
        <w:t xml:space="preserve">OpenAPI Mock Server Generator</w:t>
      </w:r>
    </w:p>
    <w:p>
      <w:pPr>
        <w:spacing w:after="60"/>
        <w:jc w:val="center"/>
      </w:pPr>
      <w:r>
        <w:rPr>
          <w:b/>
          <w:bCs/>
          <w:sz w:val="20"/>
          <w:szCs w:val="20"/>
        </w:rPr>
        <w:t xml:space="preserve">Name: </w:t>
      </w:r>
      <w:r>
        <w:rPr>
          <w:sz w:val="20"/>
          <w:szCs w:val="20"/>
        </w:rPr>
        <w:t xml:space="preserve">Bharath CD</w:t>
      </w:r>
    </w:p>
    <w:p>
      <w:pPr>
        <w:spacing w:after="60"/>
        <w:jc w:val="center"/>
      </w:pPr>
      <w:r>
        <w:rPr>
          <w:b/>
          <w:bCs/>
          <w:sz w:val="20"/>
          <w:szCs w:val="20"/>
        </w:rPr>
        <w:t xml:space="preserve">SRN: </w:t>
      </w:r>
      <w:r>
        <w:rPr>
          <w:sz w:val="20"/>
          <w:szCs w:val="20"/>
        </w:rPr>
        <w:t xml:space="preserve">PES1UG24CS562</w:t>
      </w:r>
    </w:p>
    <w:p>
      <w:pPr>
        <w:pBdr>
          <w:bottom w:val="single" w:color="CCCCCC" w:sz="6" w:space="8"/>
        </w:pBdr>
        <w:spacing w:after="280"/>
        <w:jc w:val="center"/>
      </w:pPr>
      <w:r>
        <w:rPr>
          <w:b/>
          <w:bCs/>
          <w:sz w:val="20"/>
          <w:szCs w:val="20"/>
        </w:rPr>
        <w:t xml:space="preserve">Section: </w:t>
      </w:r>
      <w:r>
        <w:rPr>
          <w:sz w:val="20"/>
          <w:szCs w:val="20"/>
        </w:rPr>
        <w:t xml:space="preserve">5J</w:t>
      </w:r>
    </w:p>
    <w:p>
      <w:pPr>
        <w:spacing w:after="200" w:before="200"/>
      </w:pPr>
      <w:r>
        <w:rPr>
          <w:b/>
          <w:bCs/>
          <w:color w:val="1B2A4A"/>
          <w:sz w:val="24"/>
          <w:szCs w:val="24"/>
        </w:rPr>
        <w:t xml:space="preserve">We chose Layered Architecture for the OpenAPI Mock Server Generator System.</w:t>
      </w:r>
    </w:p>
    <w:p>
      <w:pPr>
        <w:spacing w:after="80" w:before="120"/>
      </w:pPr>
      <w:r>
        <w:rPr>
          <w:b/>
          <w:bCs/>
          <w:color w:val="2E4372"/>
          <w:sz w:val="22"/>
          <w:szCs w:val="22"/>
        </w:rPr>
        <w:t xml:space="preserve">Architectural Choice</w:t>
      </w:r>
    </w:p>
    <w:p>
      <w:pPr>
        <w:spacing w:after="160"/>
      </w:pPr>
      <w:r>
        <w:rPr>
          <w:sz w:val="22"/>
          <w:szCs w:val="22"/>
        </w:rPr>
        <w:t xml:space="preserve">The system is organized into three layers: a Presentation Layer (User Interface Component, handling specification upload, validation-error display, server controls, and the test-request console), a Business Layer (Specification Validator, Mock Server Generator, and Server Lifecycle Manager components, which validate specs, generate mock endpoints, and control start/stop/restart and request routing), and a Data Layer (Specification Data Store, persisting uploaded specifications and generated endpoint configurations).</w:t>
      </w:r>
    </w:p>
    <w:p>
      <w:pPr>
        <w:spacing w:after="80" w:before="120"/>
      </w:pPr>
      <w:r>
        <w:rPr>
          <w:b/>
          <w:bCs/>
          <w:color w:val="2E4372"/>
          <w:sz w:val="22"/>
          <w:szCs w:val="22"/>
        </w:rPr>
        <w:t xml:space="preserve">Two Reasons for This Choice</w:t>
      </w:r>
    </w:p>
    <w:p>
      <w:pPr>
        <w:spacing w:after="100"/>
      </w:pPr>
      <w:r>
        <w:rPr>
          <w:b/>
          <w:bCs/>
          <w:sz w:val="22"/>
          <w:szCs w:val="22"/>
        </w:rPr>
        <w:t xml:space="preserve">1. </w:t>
      </w:r>
      <w:r>
        <w:rPr>
          <w:sz w:val="22"/>
          <w:szCs w:val="22"/>
        </w:rPr>
        <w:t xml:space="preserve">Natural fit for a sequential workflow: the system's core use cases (upload → validate → generate → control → test) map directly onto the Presentation, Business, and Data layers. This keeps each concern isolated — for example, the OpenAPI parsing logic in the Specification Validator can be upgraded or swapped without touching the UI or the mock-generation logic.</w:t>
      </w:r>
    </w:p>
    <w:p>
      <w:pPr>
        <w:spacing w:after="160"/>
      </w:pPr>
      <w:r>
        <w:rPr>
          <w:b/>
          <w:bCs/>
          <w:sz w:val="22"/>
          <w:szCs w:val="22"/>
        </w:rPr>
        <w:t xml:space="preserve">2. </w:t>
      </w:r>
      <w:r>
        <w:rPr>
          <w:sz w:val="22"/>
          <w:szCs w:val="22"/>
        </w:rPr>
        <w:t xml:space="preserve">Right-sized for a single-user developer tool: the Mock Server Generator is used by one API Developer or QA Engineer at a time on their own machine or test environment, not a large-scale distributed system. Microservices would add operational complexity and network latency with no real benefit here, while Layered Architecture keeps the tool simple to build, run, and reason about while still separating concerns cleanly.</w:t>
      </w:r>
    </w:p>
    <w:p>
      <w:pPr>
        <w:spacing w:after="80" w:before="120"/>
      </w:pPr>
      <w:r>
        <w:rPr>
          <w:b/>
          <w:bCs/>
          <w:color w:val="2E4372"/>
          <w:sz w:val="22"/>
          <w:szCs w:val="22"/>
        </w:rPr>
        <w:t xml:space="preserve">Security Advantage</w:t>
      </w:r>
    </w:p>
    <w:p>
      <w:pPr>
        <w:spacing w:after="160"/>
      </w:pPr>
      <w:r>
        <w:rPr>
          <w:sz w:val="22"/>
          <w:szCs w:val="22"/>
        </w:rPr>
        <w:t xml:space="preserve">Every uploaded specification must pass through the Specification Validator in the Business Layer before the Mock Server Generator can act on it. The Presentation Layer has no direct path to generate endpoints or persist data — all uploads are funneled through this single validation gate, which prevents malformed or malicious specifications from being parsed directly into live mock endpoints or reaching the Data Layer unchecked.</w:t>
      </w:r>
    </w:p>
    <w:p>
      <w:pPr>
        <w:spacing w:after="80" w:before="120"/>
      </w:pPr>
      <w:r>
        <w:rPr>
          <w:b/>
          <w:bCs/>
          <w:color w:val="2E4372"/>
          <w:sz w:val="22"/>
          <w:szCs w:val="22"/>
        </w:rPr>
        <w:t xml:space="preserve">Performance Benefit</w:t>
      </w:r>
    </w:p>
    <w:p>
      <w:pPr>
        <w:spacing w:after="0"/>
      </w:pPr>
      <w:r>
        <w:rPr>
          <w:sz w:val="22"/>
          <w:szCs w:val="22"/>
        </w:rPr>
        <w:t xml:space="preserve">Because each layer is independent, performance work can be targeted precisely where it's needed to meet NFR-001 (mock server generation within 5 seconds for up to 50 endpoints) and NFR-002 (validation results within 2 seconds for specs up to 1 MB) — for instance, optimizing or caching within the Specification Validator and Mock Server Generator components — without requiring any changes to the Presentation Layer's responsiveness or the Data Layer's storage logic.</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2026-09-17T13:23:06.051Z</dcterms:created>
  <dcterms:modified xsi:type="dcterms:W3CDTF">2026-09-17T13:23:06.060Z</dcterms:modified>
</cp:coreProperties>
</file>

<file path=docProps/custom.xml><?xml version="1.0" encoding="utf-8"?>
<Properties xmlns="http://schemas.openxmlformats.org/officeDocument/2006/custom-properties" xmlns:vt="http://schemas.openxmlformats.org/officeDocument/2006/docPropsVTypes"/>
</file>