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4D3C" w14:textId="77777777" w:rsidR="00202EEC" w:rsidRPr="00063D4D" w:rsidRDefault="00000000" w:rsidP="00A328EF">
      <w:pPr>
        <w:pStyle w:val="papertitle"/>
        <w:spacing w:before="100" w:beforeAutospacing="1" w:after="100" w:afterAutospacing="1"/>
        <w:rPr>
          <w:sz w:val="56"/>
          <w:szCs w:val="56"/>
        </w:rPr>
      </w:pPr>
      <w:r w:rsidRPr="00063D4D">
        <w:rPr>
          <w:i/>
          <w:iCs/>
          <w:sz w:val="56"/>
          <w:szCs w:val="56"/>
        </w:rPr>
        <w:t>A legal predicting model using logistic regression for predicting judgements and making decisions</w:t>
      </w:r>
    </w:p>
    <w:p w14:paraId="33E5C58C" w14:textId="77777777" w:rsidR="00634662" w:rsidRPr="00063D4D" w:rsidRDefault="00634662" w:rsidP="00634662">
      <w:pPr>
        <w:pStyle w:val="Author"/>
        <w:tabs>
          <w:tab w:val="left" w:pos="1500"/>
          <w:tab w:val="center" w:pos="5060"/>
        </w:tabs>
        <w:spacing w:before="100" w:beforeAutospacing="1" w:after="100" w:afterAutospacing="1" w:line="120" w:lineRule="auto"/>
        <w:jc w:val="left"/>
        <w:rPr>
          <w:sz w:val="20"/>
          <w:szCs w:val="20"/>
        </w:rPr>
        <w:sectPr w:rsidR="00634662" w:rsidRPr="00063D4D" w:rsidSect="00202EEC">
          <w:pgSz w:w="11906" w:h="16838"/>
          <w:pgMar w:top="540" w:right="893" w:bottom="1440" w:left="893" w:header="720" w:footer="720" w:gutter="0"/>
          <w:cols w:space="720"/>
        </w:sectPr>
      </w:pPr>
    </w:p>
    <w:p w14:paraId="10D86208" w14:textId="77777777" w:rsidR="00634662" w:rsidRPr="00063D4D" w:rsidRDefault="00634662" w:rsidP="00634662">
      <w:pPr>
        <w:pStyle w:val="Author"/>
        <w:tabs>
          <w:tab w:val="left" w:pos="1500"/>
          <w:tab w:val="center" w:pos="5060"/>
        </w:tabs>
        <w:spacing w:before="100" w:beforeAutospacing="1" w:after="100" w:afterAutospacing="1" w:line="120" w:lineRule="auto"/>
        <w:jc w:val="left"/>
        <w:rPr>
          <w:sz w:val="20"/>
          <w:szCs w:val="20"/>
        </w:rPr>
      </w:pPr>
    </w:p>
    <w:p w14:paraId="58357C09" w14:textId="77777777" w:rsidR="002202DE" w:rsidRPr="00063D4D" w:rsidRDefault="002202DE" w:rsidP="002202DE">
      <w:pPr>
        <w:pStyle w:val="Author"/>
        <w:spacing w:before="100" w:beforeAutospacing="1"/>
        <w:sectPr w:rsidR="002202DE" w:rsidRPr="00063D4D" w:rsidSect="00634662">
          <w:type w:val="continuous"/>
          <w:pgSz w:w="11906" w:h="16838"/>
          <w:pgMar w:top="450" w:right="893" w:bottom="1440" w:left="893" w:header="720" w:footer="720" w:gutter="0"/>
          <w:cols w:num="3" w:space="720"/>
        </w:sectPr>
      </w:pPr>
    </w:p>
    <w:p w14:paraId="16E448C7" w14:textId="77777777" w:rsidR="00202EEC" w:rsidRPr="005D65E3" w:rsidRDefault="00000000" w:rsidP="002202DE">
      <w:pPr>
        <w:pStyle w:val="Author"/>
        <w:spacing w:before="100" w:beforeAutospacing="1"/>
        <w:rPr>
          <w:sz w:val="24"/>
          <w:szCs w:val="24"/>
        </w:rPr>
      </w:pPr>
      <w:r w:rsidRPr="005D65E3">
        <w:rPr>
          <w:sz w:val="24"/>
          <w:szCs w:val="24"/>
        </w:rPr>
        <w:t xml:space="preserve">Bharathwaj K S </w:t>
      </w:r>
      <w:r w:rsidRPr="005D65E3">
        <w:rPr>
          <w:sz w:val="24"/>
          <w:szCs w:val="24"/>
        </w:rPr>
        <w:br/>
      </w:r>
      <w:r w:rsidRPr="005D65E3">
        <w:rPr>
          <w:i/>
          <w:sz w:val="24"/>
          <w:szCs w:val="24"/>
        </w:rPr>
        <w:t xml:space="preserve">B TECH AI AND DS  </w:t>
      </w:r>
      <w:r w:rsidRPr="005D65E3">
        <w:rPr>
          <w:sz w:val="24"/>
          <w:szCs w:val="24"/>
        </w:rPr>
        <w:br/>
      </w:r>
      <w:r w:rsidRPr="005D65E3">
        <w:rPr>
          <w:i/>
          <w:sz w:val="24"/>
          <w:szCs w:val="24"/>
        </w:rPr>
        <w:t xml:space="preserve">SIMATS ENGINEERING </w:t>
      </w:r>
      <w:r w:rsidRPr="005D65E3">
        <w:rPr>
          <w:i/>
          <w:sz w:val="24"/>
          <w:szCs w:val="24"/>
        </w:rPr>
        <w:br/>
      </w:r>
      <w:bookmarkStart w:id="0" w:name="_Hlk190960732"/>
      <w:r w:rsidR="00434263">
        <w:rPr>
          <w:i/>
          <w:sz w:val="24"/>
          <w:szCs w:val="24"/>
        </w:rPr>
        <w:t>Saveetha University</w:t>
      </w:r>
      <w:bookmarkEnd w:id="0"/>
      <w:r w:rsidRPr="005D65E3">
        <w:rPr>
          <w:i/>
          <w:sz w:val="24"/>
          <w:szCs w:val="24"/>
        </w:rPr>
        <w:br/>
      </w:r>
      <w:r w:rsidRPr="005D65E3">
        <w:rPr>
          <w:sz w:val="24"/>
          <w:szCs w:val="24"/>
        </w:rPr>
        <w:t>Chennai, India</w:t>
      </w:r>
      <w:r w:rsidRPr="005D65E3">
        <w:rPr>
          <w:sz w:val="24"/>
          <w:szCs w:val="24"/>
        </w:rPr>
        <w:br/>
        <w:t>bharathwajks26@gmail.com</w:t>
      </w:r>
    </w:p>
    <w:p w14:paraId="4EC8B629" w14:textId="77777777" w:rsidR="00202EEC" w:rsidRPr="005D65E3" w:rsidRDefault="00000000" w:rsidP="002202DE">
      <w:pPr>
        <w:pStyle w:val="Author"/>
        <w:spacing w:before="100" w:beforeAutospacing="1"/>
        <w:rPr>
          <w:sz w:val="24"/>
          <w:szCs w:val="24"/>
        </w:rPr>
      </w:pPr>
      <w:r w:rsidRPr="005D65E3">
        <w:rPr>
          <w:sz w:val="24"/>
          <w:szCs w:val="24"/>
        </w:rPr>
        <w:br w:type="column"/>
      </w:r>
      <w:r w:rsidR="00B77AE8" w:rsidRPr="005D65E3">
        <w:rPr>
          <w:sz w:val="24"/>
          <w:szCs w:val="24"/>
        </w:rPr>
        <w:t>Manik Rakshan I</w:t>
      </w:r>
      <w:r w:rsidRPr="005D65E3">
        <w:rPr>
          <w:sz w:val="24"/>
          <w:szCs w:val="24"/>
        </w:rPr>
        <w:br/>
      </w:r>
      <w:r w:rsidR="00B77AE8" w:rsidRPr="005D65E3">
        <w:rPr>
          <w:i/>
          <w:sz w:val="24"/>
          <w:szCs w:val="24"/>
        </w:rPr>
        <w:t>BE CSE</w:t>
      </w:r>
      <w:r w:rsidRPr="005D65E3">
        <w:rPr>
          <w:i/>
          <w:sz w:val="24"/>
          <w:szCs w:val="24"/>
        </w:rPr>
        <w:br/>
      </w:r>
      <w:r w:rsidR="00B77AE8" w:rsidRPr="005D65E3">
        <w:rPr>
          <w:i/>
          <w:sz w:val="24"/>
          <w:szCs w:val="24"/>
        </w:rPr>
        <w:t>SIMATS ENGINEERING</w:t>
      </w:r>
      <w:r w:rsidRPr="005D65E3">
        <w:rPr>
          <w:i/>
          <w:sz w:val="24"/>
          <w:szCs w:val="24"/>
        </w:rPr>
        <w:br/>
      </w:r>
      <w:r w:rsidR="00434263" w:rsidRPr="00434263">
        <w:rPr>
          <w:i/>
          <w:sz w:val="24"/>
          <w:szCs w:val="24"/>
        </w:rPr>
        <w:t>Saveetha University</w:t>
      </w:r>
      <w:r w:rsidRPr="005D65E3">
        <w:rPr>
          <w:i/>
          <w:sz w:val="24"/>
          <w:szCs w:val="24"/>
        </w:rPr>
        <w:br/>
      </w:r>
      <w:r w:rsidR="00B77AE8" w:rsidRPr="005D65E3">
        <w:rPr>
          <w:sz w:val="24"/>
          <w:szCs w:val="24"/>
        </w:rPr>
        <w:t>Chennai, India</w:t>
      </w:r>
      <w:r w:rsidRPr="005D65E3">
        <w:rPr>
          <w:sz w:val="24"/>
          <w:szCs w:val="24"/>
        </w:rPr>
        <w:br/>
      </w:r>
      <w:r w:rsidR="00B77AE8" w:rsidRPr="005D65E3">
        <w:rPr>
          <w:sz w:val="24"/>
          <w:szCs w:val="24"/>
        </w:rPr>
        <w:t>manikrakshan16@gmail.com</w:t>
      </w:r>
    </w:p>
    <w:p w14:paraId="050121C2" w14:textId="77777777" w:rsidR="00202EEC" w:rsidRPr="005D65E3" w:rsidRDefault="00000000" w:rsidP="002202DE">
      <w:pPr>
        <w:pStyle w:val="Author"/>
        <w:spacing w:before="100" w:beforeAutospacing="1"/>
        <w:rPr>
          <w:sz w:val="24"/>
          <w:szCs w:val="24"/>
        </w:rPr>
      </w:pPr>
      <w:r w:rsidRPr="005D65E3">
        <w:rPr>
          <w:sz w:val="24"/>
          <w:szCs w:val="24"/>
        </w:rPr>
        <w:br w:type="column"/>
      </w:r>
      <w:r w:rsidR="00B77AE8" w:rsidRPr="005D65E3">
        <w:rPr>
          <w:sz w:val="24"/>
          <w:szCs w:val="24"/>
        </w:rPr>
        <w:t>Siva Surya E</w:t>
      </w:r>
      <w:r w:rsidRPr="005D65E3">
        <w:rPr>
          <w:sz w:val="24"/>
          <w:szCs w:val="24"/>
        </w:rPr>
        <w:br/>
      </w:r>
      <w:r w:rsidR="00B77AE8" w:rsidRPr="005D65E3">
        <w:rPr>
          <w:i/>
          <w:sz w:val="24"/>
          <w:szCs w:val="24"/>
        </w:rPr>
        <w:t>BE CSE</w:t>
      </w:r>
      <w:r w:rsidRPr="005D65E3">
        <w:rPr>
          <w:i/>
          <w:sz w:val="24"/>
          <w:szCs w:val="24"/>
        </w:rPr>
        <w:br/>
      </w:r>
      <w:r w:rsidR="00B77AE8" w:rsidRPr="005D65E3">
        <w:rPr>
          <w:i/>
          <w:sz w:val="24"/>
          <w:szCs w:val="24"/>
        </w:rPr>
        <w:t>SIMATS ENGINEERING</w:t>
      </w:r>
      <w:r w:rsidRPr="005D65E3">
        <w:rPr>
          <w:i/>
          <w:sz w:val="24"/>
          <w:szCs w:val="24"/>
        </w:rPr>
        <w:br/>
      </w:r>
      <w:r w:rsidR="00447A6B" w:rsidRPr="00447A6B">
        <w:rPr>
          <w:i/>
          <w:sz w:val="24"/>
          <w:szCs w:val="24"/>
        </w:rPr>
        <w:t>Saveetha University</w:t>
      </w:r>
      <w:r w:rsidRPr="005D65E3">
        <w:rPr>
          <w:i/>
          <w:sz w:val="24"/>
          <w:szCs w:val="24"/>
        </w:rPr>
        <w:br/>
      </w:r>
      <w:r w:rsidR="00B77AE8" w:rsidRPr="005D65E3">
        <w:rPr>
          <w:sz w:val="24"/>
          <w:szCs w:val="24"/>
        </w:rPr>
        <w:t>Chennai, India</w:t>
      </w:r>
      <w:r w:rsidRPr="005D65E3">
        <w:rPr>
          <w:sz w:val="24"/>
          <w:szCs w:val="24"/>
        </w:rPr>
        <w:br/>
      </w:r>
      <w:r w:rsidR="00B77AE8" w:rsidRPr="005D65E3">
        <w:rPr>
          <w:sz w:val="24"/>
          <w:szCs w:val="24"/>
        </w:rPr>
        <w:t>sivasurya3203@gmail.com</w:t>
      </w:r>
    </w:p>
    <w:p w14:paraId="1778C14F" w14:textId="77777777" w:rsidR="00202EEC" w:rsidRPr="00063D4D" w:rsidRDefault="00202EEC" w:rsidP="00202EEC">
      <w:pPr>
        <w:jc w:val="left"/>
        <w:rPr>
          <w:sz w:val="24"/>
          <w:szCs w:val="24"/>
        </w:rPr>
        <w:sectPr w:rsidR="00202EEC" w:rsidRPr="00063D4D" w:rsidSect="002202DE">
          <w:type w:val="continuous"/>
          <w:pgSz w:w="11906" w:h="16838"/>
          <w:pgMar w:top="450" w:right="893" w:bottom="1440" w:left="893" w:header="720" w:footer="720" w:gutter="0"/>
          <w:cols w:num="3" w:space="720"/>
        </w:sectPr>
      </w:pPr>
    </w:p>
    <w:p w14:paraId="0E9C9F29" w14:textId="77777777" w:rsidR="00202EEC" w:rsidRPr="00063D4D" w:rsidRDefault="00000000" w:rsidP="00202EEC">
      <w:pPr>
        <w:jc w:val="left"/>
        <w:rPr>
          <w:sz w:val="24"/>
          <w:szCs w:val="24"/>
        </w:rPr>
        <w:sectPr w:rsidR="00202EEC" w:rsidRPr="00063D4D" w:rsidSect="00202EEC">
          <w:type w:val="continuous"/>
          <w:pgSz w:w="11906" w:h="16838"/>
          <w:pgMar w:top="450" w:right="893" w:bottom="1440" w:left="893" w:header="720" w:footer="720" w:gutter="0"/>
          <w:cols w:num="3" w:space="720"/>
        </w:sectPr>
      </w:pPr>
      <w:r w:rsidRPr="00063D4D">
        <w:rPr>
          <w:sz w:val="32"/>
          <w:szCs w:val="32"/>
          <w:lang w:val="en-IN" w:eastAsia="en-IN"/>
        </w:rPr>
        <w:br w:type="column"/>
      </w:r>
    </w:p>
    <w:p w14:paraId="2992A8DC" w14:textId="77777777" w:rsidR="00B77AE8" w:rsidRPr="00063D4D" w:rsidRDefault="00000000" w:rsidP="00202EEC">
      <w:pPr>
        <w:pStyle w:val="Heading1"/>
        <w:tabs>
          <w:tab w:val="left" w:pos="216"/>
          <w:tab w:val="num" w:pos="576"/>
        </w:tabs>
        <w:spacing w:before="160"/>
        <w:rPr>
          <w:rFonts w:ascii="Times New Roman" w:eastAsia="SimSun" w:hAnsi="Times New Roman" w:cs="Times New Roman"/>
          <w:sz w:val="48"/>
          <w:szCs w:val="44"/>
        </w:rPr>
      </w:pPr>
      <w:r w:rsidRPr="00063D4D">
        <w:rPr>
          <w:rFonts w:ascii="Times New Roman" w:eastAsia="SimSun" w:hAnsi="Times New Roman" w:cs="Times New Roman"/>
          <w:sz w:val="48"/>
          <w:szCs w:val="44"/>
        </w:rPr>
        <w:t>A</w:t>
      </w:r>
      <w:r w:rsidR="0056231B">
        <w:rPr>
          <w:rFonts w:ascii="Times New Roman" w:eastAsia="SimSun" w:hAnsi="Times New Roman" w:cs="Times New Roman"/>
          <w:sz w:val="48"/>
          <w:szCs w:val="44"/>
        </w:rPr>
        <w:t>bstract</w:t>
      </w:r>
    </w:p>
    <w:p w14:paraId="7A64C5E7" w14:textId="77777777" w:rsidR="00CC410E" w:rsidRPr="00063D4D" w:rsidRDefault="00000000" w:rsidP="005D65E3">
      <w:pPr>
        <w:pStyle w:val="BodyText"/>
        <w:rPr>
          <w:sz w:val="24"/>
          <w:szCs w:val="24"/>
        </w:rPr>
      </w:pPr>
      <w:r w:rsidRPr="00063D4D">
        <w:rPr>
          <w:sz w:val="24"/>
          <w:szCs w:val="24"/>
        </w:rPr>
        <w:t xml:space="preserve"> In today’s evolving legal landscape, the need for efficient and accurate prediction of civil case outcomes is more pronounced than ever. This paper presents a novel logistic regression model, implemented in Python on Google Collab, for predicting civil case judgements based on a structured CSV dataset. The dataset comprises key features including Type of Civil Case, Property Value, Case Duration, Number of Hearings, Lawyer Experience, Lawyer Success Rate, Judge Tenure, Strength of Evidence, Number of Witnesses, and Court Type. By leveraging these features, the proposed model achieves a predictive accuracy of 89.2%, demonstrating its potential as a reliable decision-support tool for legal practitioners. This work underscores the applicability of logistic regression—a model known for its simplicity and interpretability—in the legal domain, where transparent and robust predictive analytics can significantly enhance judicial efficiency and inform strategic case management.</w:t>
      </w:r>
    </w:p>
    <w:p w14:paraId="070921C9" w14:textId="77777777" w:rsidR="00B77AE8" w:rsidRPr="00063D4D" w:rsidRDefault="00000000" w:rsidP="00CC410E">
      <w:pPr>
        <w:pStyle w:val="BodyText"/>
        <w:rPr>
          <w:sz w:val="24"/>
          <w:szCs w:val="24"/>
        </w:rPr>
      </w:pPr>
      <w:r w:rsidRPr="00063D4D">
        <w:rPr>
          <w:b/>
          <w:bCs/>
          <w:sz w:val="24"/>
          <w:szCs w:val="24"/>
        </w:rPr>
        <w:t>Keywords</w:t>
      </w:r>
      <w:r w:rsidRPr="00063D4D">
        <w:rPr>
          <w:sz w:val="24"/>
          <w:szCs w:val="24"/>
        </w:rPr>
        <w:t>: Logistic Regression, Civil Case Judgement Prediction, Machine Learning, Legal Informatics, Predictive Analytics.</w:t>
      </w:r>
    </w:p>
    <w:p w14:paraId="0461E108" w14:textId="77777777" w:rsidR="00202EEC" w:rsidRPr="00063D4D" w:rsidRDefault="00000000" w:rsidP="00202EEC">
      <w:pPr>
        <w:pStyle w:val="Heading1"/>
        <w:tabs>
          <w:tab w:val="left" w:pos="216"/>
          <w:tab w:val="num" w:pos="576"/>
        </w:tabs>
        <w:spacing w:before="160"/>
        <w:rPr>
          <w:rFonts w:ascii="Times New Roman" w:eastAsia="SimSun" w:hAnsi="Times New Roman" w:cs="Times New Roman"/>
          <w:sz w:val="48"/>
          <w:szCs w:val="44"/>
        </w:rPr>
      </w:pPr>
      <w:r w:rsidRPr="00063D4D">
        <w:rPr>
          <w:rFonts w:ascii="Times New Roman" w:eastAsia="SimSun" w:hAnsi="Times New Roman" w:cs="Times New Roman"/>
          <w:sz w:val="48"/>
          <w:szCs w:val="44"/>
        </w:rPr>
        <w:t>Introduction</w:t>
      </w:r>
    </w:p>
    <w:p w14:paraId="3A02AE8C" w14:textId="77777777" w:rsidR="00CC410E" w:rsidRPr="00063D4D" w:rsidRDefault="00000000" w:rsidP="00CC410E">
      <w:pPr>
        <w:pStyle w:val="BodyText"/>
        <w:rPr>
          <w:sz w:val="24"/>
          <w:szCs w:val="24"/>
        </w:rPr>
      </w:pPr>
      <w:r w:rsidRPr="00063D4D">
        <w:rPr>
          <w:sz w:val="24"/>
          <w:szCs w:val="24"/>
        </w:rPr>
        <w:t xml:space="preserve">The legal field is increasingly embracing data-driven methodologies to enhance decision-making processes and alleviate the burdens of protracted litigation. Civil cases, characterized by their complexity and extended timelines, often impose </w:t>
      </w:r>
      <w:r w:rsidRPr="00063D4D">
        <w:rPr>
          <w:sz w:val="24"/>
          <w:szCs w:val="24"/>
        </w:rPr>
        <w:t>significant challenges on judicial systems and stakeholders alike. Traditional approaches to case analysis, while thorough, are frequently hampered by subjectivity and inefficiencies, prompting the exploration of predictive analytics as a means to expedite and refine judicial outcomes.</w:t>
      </w:r>
    </w:p>
    <w:p w14:paraId="13EF0502" w14:textId="77777777" w:rsidR="00CC410E" w:rsidRPr="00063D4D" w:rsidRDefault="00000000" w:rsidP="00CC410E">
      <w:pPr>
        <w:pStyle w:val="BodyText"/>
        <w:rPr>
          <w:sz w:val="24"/>
          <w:szCs w:val="24"/>
        </w:rPr>
      </w:pPr>
      <w:r w:rsidRPr="00063D4D">
        <w:rPr>
          <w:sz w:val="24"/>
          <w:szCs w:val="24"/>
        </w:rPr>
        <w:t>This paper introduces a logistic regression model specifically tailored for predicting civil case judgements. Logistic regression is favoured for its simplicity, interpretability, and effectiveness in binary classification tasks—attributes that are particularly valuable in legal contexts where transparency and accountability are paramount. The proposed model leverages a structured CSV dataset comprising ten critical features: Type of Civil Case, Property Value, Case Duration, Number of Hearings, Lawyer Experience, Lawyer Success Rate, Judge Tenure, Strength of Evidence, Number of Witnesses, and Court Type. These features were meticulously chosen to encapsulate the multifaceted aspects of civil litigation that can influence case outcomes.</w:t>
      </w:r>
    </w:p>
    <w:p w14:paraId="539FD087" w14:textId="77777777" w:rsidR="00634662" w:rsidRDefault="00000000" w:rsidP="00CC410E">
      <w:pPr>
        <w:pStyle w:val="BodyText"/>
        <w:ind w:firstLine="0"/>
        <w:rPr>
          <w:sz w:val="24"/>
          <w:szCs w:val="24"/>
        </w:rPr>
      </w:pPr>
      <w:r w:rsidRPr="00063D4D">
        <w:rPr>
          <w:sz w:val="24"/>
          <w:szCs w:val="24"/>
        </w:rPr>
        <w:t xml:space="preserve">Implemented in Python on the Google Collab platform, the model not only forecasts the likelihood of a favourable or unfavourable judgement but also provides probabilistic insights into the contribution of each feature. This interpretability empowers legal practitioners to better understand the underlying factors driving predictions, thereby supporting more informed decision-making and strategic case management. Ultimately, by achieving a predictive accuracy of 89.2%, the model demonstrates its potential as a robust decision-support tool within the legal domain. The subsequent sections of this paper </w:t>
      </w:r>
      <w:r w:rsidRPr="00063D4D">
        <w:rPr>
          <w:sz w:val="24"/>
          <w:szCs w:val="24"/>
        </w:rPr>
        <w:lastRenderedPageBreak/>
        <w:t>elaborate on the data acquisition, preprocessing, model development, and experimental evaluation, outlining the pathway toward integrating machine learning into civil case analysis.</w:t>
      </w:r>
    </w:p>
    <w:p w14:paraId="350FAABA" w14:textId="77777777" w:rsidR="00D70D73" w:rsidRPr="00063D4D" w:rsidRDefault="00D70D73" w:rsidP="00CC410E">
      <w:pPr>
        <w:pStyle w:val="BodyText"/>
        <w:ind w:firstLine="0"/>
        <w:rPr>
          <w:sz w:val="24"/>
          <w:szCs w:val="24"/>
        </w:rPr>
      </w:pPr>
    </w:p>
    <w:p w14:paraId="351579B0" w14:textId="77777777" w:rsidR="00A958FF" w:rsidRPr="00063D4D" w:rsidRDefault="00000000" w:rsidP="00A958FF">
      <w:pPr>
        <w:pStyle w:val="Heading1"/>
        <w:rPr>
          <w:rFonts w:ascii="Times New Roman" w:hAnsi="Times New Roman" w:cs="Times New Roman"/>
          <w:sz w:val="44"/>
          <w:szCs w:val="40"/>
        </w:rPr>
      </w:pPr>
      <w:r w:rsidRPr="00063D4D">
        <w:rPr>
          <w:rFonts w:ascii="Times New Roman" w:hAnsi="Times New Roman" w:cs="Times New Roman"/>
          <w:sz w:val="44"/>
          <w:szCs w:val="40"/>
        </w:rPr>
        <w:t>Related work</w:t>
      </w:r>
    </w:p>
    <w:p w14:paraId="13EA1FCB" w14:textId="33D7E19C" w:rsidR="0055218A" w:rsidRPr="00063D4D" w:rsidRDefault="00000000" w:rsidP="0055218A">
      <w:pPr>
        <w:pStyle w:val="BodyText"/>
        <w:rPr>
          <w:spacing w:val="0"/>
          <w:sz w:val="24"/>
          <w:szCs w:val="24"/>
          <w:lang w:val="en-US" w:eastAsia="en-US"/>
        </w:rPr>
      </w:pPr>
      <w:r w:rsidRPr="00063D4D">
        <w:rPr>
          <w:spacing w:val="0"/>
          <w:sz w:val="24"/>
          <w:szCs w:val="24"/>
          <w:lang w:val="en-US" w:eastAsia="en-US"/>
        </w:rPr>
        <w:t xml:space="preserve">Civil Case Outcome Prediction using </w:t>
      </w:r>
      <w:r w:rsidR="00F35239">
        <w:rPr>
          <w:spacing w:val="0"/>
          <w:sz w:val="24"/>
          <w:szCs w:val="24"/>
          <w:lang w:val="en-US" w:eastAsia="en-US"/>
        </w:rPr>
        <w:t>Machine learning</w:t>
      </w:r>
      <w:r w:rsidRPr="00063D4D">
        <w:rPr>
          <w:spacing w:val="0"/>
          <w:sz w:val="24"/>
          <w:szCs w:val="24"/>
          <w:lang w:val="en-US" w:eastAsia="en-US"/>
        </w:rPr>
        <w:t xml:space="preserve"> (2018): This study introduced a logistic regression framework tailored for civil litigation. The research emphasized careful feature selection and demonstrated that the model, with its inherent interpretability, could achieve competitive accuracy in predicting case outcomes.</w:t>
      </w:r>
    </w:p>
    <w:p w14:paraId="17D273D5" w14:textId="77777777" w:rsidR="0055218A" w:rsidRPr="00063D4D" w:rsidRDefault="00000000" w:rsidP="0055218A">
      <w:pPr>
        <w:pStyle w:val="BodyText"/>
        <w:rPr>
          <w:spacing w:val="0"/>
          <w:sz w:val="24"/>
          <w:szCs w:val="24"/>
          <w:lang w:val="en-US" w:eastAsia="en-US"/>
        </w:rPr>
      </w:pPr>
      <w:r w:rsidRPr="00063D4D">
        <w:rPr>
          <w:spacing w:val="0"/>
          <w:sz w:val="24"/>
          <w:szCs w:val="24"/>
          <w:lang w:val="en-US" w:eastAsia="en-US"/>
        </w:rPr>
        <w:t xml:space="preserve">Machine Learning Approaches for Civil Litigation (2019): In this work, various machine learning methods such as decision trees, random forests, and logistic regression were compared. Logistic regression was highlighted as an effective baseline model due to its transparent coefficients and simplicity, making it particularly suitable for legal applications. </w:t>
      </w:r>
    </w:p>
    <w:p w14:paraId="7FB277FC" w14:textId="77777777" w:rsidR="0055218A" w:rsidRPr="00063D4D" w:rsidRDefault="00000000" w:rsidP="0055218A">
      <w:pPr>
        <w:pStyle w:val="BodyText"/>
        <w:rPr>
          <w:spacing w:val="0"/>
          <w:sz w:val="24"/>
          <w:szCs w:val="24"/>
          <w:lang w:val="en-US" w:eastAsia="en-US"/>
        </w:rPr>
      </w:pPr>
      <w:r w:rsidRPr="00063D4D">
        <w:rPr>
          <w:spacing w:val="0"/>
          <w:sz w:val="24"/>
          <w:szCs w:val="24"/>
          <w:lang w:val="en-US" w:eastAsia="en-US"/>
        </w:rPr>
        <w:t>Predictive Analytics in Civil Law: A Logistic Regression Perspective (2020): Focusing on integrating diverse legal features—including case type, property value, and case duration—this paper showcased the ability of logistic regression to manage the complexities of civil cases while maintaining a high level of interpretability in its predictions.</w:t>
      </w:r>
    </w:p>
    <w:p w14:paraId="7CB1F4EE" w14:textId="77777777" w:rsidR="0055218A" w:rsidRPr="00063D4D" w:rsidRDefault="00000000" w:rsidP="0055218A">
      <w:pPr>
        <w:pStyle w:val="BodyText"/>
        <w:rPr>
          <w:spacing w:val="0"/>
          <w:sz w:val="24"/>
          <w:szCs w:val="24"/>
          <w:lang w:val="en-US" w:eastAsia="en-US"/>
        </w:rPr>
      </w:pPr>
      <w:r w:rsidRPr="00063D4D">
        <w:rPr>
          <w:spacing w:val="0"/>
          <w:sz w:val="24"/>
          <w:szCs w:val="24"/>
          <w:lang w:val="en-US" w:eastAsia="en-US"/>
        </w:rPr>
        <w:t>Statistical Models in Legal Judgement Prediction (2021): This research evaluated a range of statistical methods for predicting civil case outcomes. Logistic regression emerged as a robust option due to its efficiency and the ease with which legal professionals can interpret the influence of different features on the prediction.</w:t>
      </w:r>
    </w:p>
    <w:p w14:paraId="520E4E5D" w14:textId="77777777" w:rsidR="0055218A" w:rsidRDefault="00000000" w:rsidP="0055218A">
      <w:pPr>
        <w:pStyle w:val="BodyText"/>
        <w:rPr>
          <w:spacing w:val="0"/>
          <w:sz w:val="24"/>
          <w:szCs w:val="24"/>
          <w:lang w:val="en-US" w:eastAsia="en-US"/>
        </w:rPr>
      </w:pPr>
      <w:r w:rsidRPr="00063D4D">
        <w:rPr>
          <w:spacing w:val="0"/>
          <w:sz w:val="24"/>
          <w:szCs w:val="24"/>
          <w:lang w:val="en-US" w:eastAsia="en-US"/>
        </w:rPr>
        <w:t>Explainable Machine Learning for Civil Litigation Predictions (2023): Addressing the critical need for transparency in legal decision-making, this paper advocated for the use of logistic regression. It’s clear, interpretable results support informed legal decisions, emphasizing that simplicity in the model can coexist with high predictive performance.</w:t>
      </w:r>
    </w:p>
    <w:p w14:paraId="09E12207" w14:textId="77777777" w:rsidR="00D70D73" w:rsidRDefault="00D70D73" w:rsidP="0055218A">
      <w:pPr>
        <w:pStyle w:val="BodyText"/>
        <w:rPr>
          <w:spacing w:val="0"/>
          <w:sz w:val="24"/>
          <w:szCs w:val="24"/>
          <w:lang w:val="en-US" w:eastAsia="en-US"/>
        </w:rPr>
      </w:pPr>
    </w:p>
    <w:p w14:paraId="1CE30AA9" w14:textId="77777777" w:rsidR="001E2C50" w:rsidRDefault="001E2C50" w:rsidP="0055218A">
      <w:pPr>
        <w:pStyle w:val="BodyText"/>
        <w:rPr>
          <w:spacing w:val="0"/>
          <w:sz w:val="24"/>
          <w:szCs w:val="24"/>
          <w:lang w:val="en-US" w:eastAsia="en-US"/>
        </w:rPr>
      </w:pPr>
    </w:p>
    <w:p w14:paraId="4D1CBE00" w14:textId="77777777" w:rsidR="00D70D73" w:rsidRPr="00063D4D" w:rsidRDefault="00D70D73" w:rsidP="0055218A">
      <w:pPr>
        <w:pStyle w:val="BodyText"/>
        <w:rPr>
          <w:sz w:val="24"/>
          <w:szCs w:val="24"/>
        </w:rPr>
      </w:pPr>
    </w:p>
    <w:p w14:paraId="62B1E036" w14:textId="77777777" w:rsidR="0055218A" w:rsidRPr="00063D4D" w:rsidRDefault="00000000" w:rsidP="0055218A">
      <w:pPr>
        <w:pStyle w:val="BodyText"/>
        <w:jc w:val="center"/>
        <w:rPr>
          <w:rFonts w:eastAsiaTheme="majorEastAsia"/>
          <w:color w:val="2F5496" w:themeColor="accent1" w:themeShade="BF"/>
          <w:spacing w:val="0"/>
          <w:sz w:val="44"/>
          <w:szCs w:val="40"/>
          <w:lang w:val="en-US" w:eastAsia="en-US"/>
        </w:rPr>
      </w:pPr>
      <w:r w:rsidRPr="00063D4D">
        <w:rPr>
          <w:rFonts w:eastAsiaTheme="majorEastAsia"/>
          <w:color w:val="2F5496" w:themeColor="accent1" w:themeShade="BF"/>
          <w:spacing w:val="0"/>
          <w:sz w:val="44"/>
          <w:szCs w:val="40"/>
          <w:lang w:val="en-US" w:eastAsia="en-US"/>
        </w:rPr>
        <w:t>Proposed Work</w:t>
      </w:r>
    </w:p>
    <w:p w14:paraId="5CF36C21" w14:textId="77777777" w:rsidR="0055218A" w:rsidRPr="00063D4D" w:rsidRDefault="00000000" w:rsidP="0055218A">
      <w:pPr>
        <w:pStyle w:val="BodyText"/>
        <w:rPr>
          <w:sz w:val="24"/>
          <w:szCs w:val="24"/>
        </w:rPr>
      </w:pPr>
      <w:r w:rsidRPr="00063D4D">
        <w:rPr>
          <w:sz w:val="24"/>
          <w:szCs w:val="24"/>
        </w:rPr>
        <w:t>This study aims to streamline civil case analysis by leveraging logistic regression—a model celebrated for its simplicity and interpretability—to predict civil case judgements with high accuracy. The proposed work is structured around two key components: feature-based modelling and model interpretability.</w:t>
      </w:r>
    </w:p>
    <w:p w14:paraId="01881924" w14:textId="77777777" w:rsidR="0055218A" w:rsidRPr="00063D4D" w:rsidRDefault="00000000" w:rsidP="0055218A">
      <w:pPr>
        <w:pStyle w:val="BodyText"/>
        <w:rPr>
          <w:b/>
          <w:bCs/>
          <w:sz w:val="24"/>
          <w:szCs w:val="24"/>
        </w:rPr>
      </w:pPr>
      <w:r w:rsidRPr="00063D4D">
        <w:rPr>
          <w:b/>
          <w:bCs/>
          <w:sz w:val="24"/>
          <w:szCs w:val="24"/>
        </w:rPr>
        <w:t>Logistic Regression for Civil Case Prediction:</w:t>
      </w:r>
    </w:p>
    <w:p w14:paraId="5D3923D0" w14:textId="77777777" w:rsidR="0055218A" w:rsidRPr="00063D4D" w:rsidRDefault="00000000" w:rsidP="0055218A">
      <w:pPr>
        <w:pStyle w:val="BodyText"/>
        <w:rPr>
          <w:sz w:val="24"/>
          <w:szCs w:val="24"/>
        </w:rPr>
      </w:pPr>
      <w:r w:rsidRPr="00063D4D">
        <w:rPr>
          <w:sz w:val="24"/>
          <w:szCs w:val="24"/>
        </w:rPr>
        <w:t>This research employs logistic regression to construct a predictive model that estimates the probability of a favourable or unfavourable civil case outcome. The model is built on a structured CSV dataset comprising critical legal features such as Type of Civil Case, Property Value, Case Duration, Number of Hearings, Lawyer Experience, Lawyer Success Rate, Judge Tenure, Strength of Evidence, Number of Witnesses, and Court Type. By quantifying the influence of each feature through coefficient values, logistic regression not only facilitates accurate predictions but also offers clear insights into the factors driving judicial decisions.</w:t>
      </w:r>
    </w:p>
    <w:p w14:paraId="741FC312" w14:textId="77777777" w:rsidR="0055218A" w:rsidRPr="00063D4D" w:rsidRDefault="00000000" w:rsidP="0055218A">
      <w:pPr>
        <w:pStyle w:val="BodyText"/>
        <w:rPr>
          <w:b/>
          <w:bCs/>
          <w:sz w:val="24"/>
          <w:szCs w:val="24"/>
        </w:rPr>
      </w:pPr>
      <w:r w:rsidRPr="00063D4D">
        <w:rPr>
          <w:b/>
          <w:bCs/>
          <w:sz w:val="24"/>
          <w:szCs w:val="24"/>
        </w:rPr>
        <w:t>Model Implementation and Validation:</w:t>
      </w:r>
    </w:p>
    <w:p w14:paraId="018B6D0C" w14:textId="77777777" w:rsidR="0055218A" w:rsidRDefault="00000000" w:rsidP="0055218A">
      <w:pPr>
        <w:pStyle w:val="BodyText"/>
        <w:rPr>
          <w:sz w:val="24"/>
          <w:szCs w:val="24"/>
        </w:rPr>
      </w:pPr>
      <w:r w:rsidRPr="00063D4D">
        <w:rPr>
          <w:sz w:val="24"/>
          <w:szCs w:val="24"/>
        </w:rPr>
        <w:t>Implemented in Python on the Google Collab platform, the model undergoes rigorous preprocessing steps—including data cleaning, encoding, and normalization—to ensure data integrity and consistency. The dataset is partitioned using an 80/20 train-test split, and hyperparameter tuning is performed via cross-validation to optimize the model's performance. The logistic regression framework achieves an impressive predictive accuracy of 89.2%, underscoring its potential as a reliable decision-support tool for legal practitioners. This dual focus on predictive power and interpretability positions the model as a valuable asset in facilitating informed decision-making in the realm of civil litigation.</w:t>
      </w:r>
    </w:p>
    <w:p w14:paraId="5CE3213A" w14:textId="77777777" w:rsidR="00000367" w:rsidRPr="00063D4D" w:rsidRDefault="00000367" w:rsidP="0055218A">
      <w:pPr>
        <w:pStyle w:val="BodyText"/>
        <w:rPr>
          <w:sz w:val="24"/>
          <w:szCs w:val="24"/>
        </w:rPr>
      </w:pPr>
    </w:p>
    <w:p w14:paraId="107E8CEF" w14:textId="77777777" w:rsidR="0055218A" w:rsidRPr="00E20B44" w:rsidRDefault="00000000" w:rsidP="0055218A">
      <w:pPr>
        <w:pStyle w:val="BodyText"/>
        <w:jc w:val="center"/>
        <w:rPr>
          <w:rFonts w:eastAsiaTheme="majorEastAsia"/>
          <w:color w:val="2F5496" w:themeColor="accent1" w:themeShade="BF"/>
          <w:spacing w:val="0"/>
          <w:sz w:val="44"/>
          <w:szCs w:val="40"/>
          <w:lang w:val="en-US" w:eastAsia="en-US"/>
        </w:rPr>
      </w:pPr>
      <w:r w:rsidRPr="00E20B44">
        <w:rPr>
          <w:rFonts w:eastAsiaTheme="majorEastAsia"/>
          <w:color w:val="2F5496" w:themeColor="accent1" w:themeShade="BF"/>
          <w:spacing w:val="0"/>
          <w:sz w:val="44"/>
          <w:szCs w:val="40"/>
          <w:lang w:val="en-US" w:eastAsia="en-US"/>
        </w:rPr>
        <w:t>Architecture</w:t>
      </w:r>
    </w:p>
    <w:p w14:paraId="61F16A1D" w14:textId="77777777" w:rsidR="0055218A" w:rsidRPr="00063D4D" w:rsidRDefault="00000000" w:rsidP="0055218A">
      <w:pPr>
        <w:pStyle w:val="BodyText"/>
        <w:rPr>
          <w:sz w:val="24"/>
          <w:szCs w:val="24"/>
        </w:rPr>
      </w:pPr>
      <w:r w:rsidRPr="00063D4D">
        <w:rPr>
          <w:sz w:val="24"/>
          <w:szCs w:val="24"/>
        </w:rPr>
        <w:t>Figure 1 illustrates the overall architecture of the proposed logistic regression model for predicting civil case judgements. The model is built on a streamlined pipeline that integrates data preprocessing with a robust prediction engine, all implemented in Python on the Google Collab platform.</w:t>
      </w:r>
    </w:p>
    <w:p w14:paraId="0580CAB5" w14:textId="77777777" w:rsidR="00A623CA" w:rsidRDefault="00000000" w:rsidP="0055218A">
      <w:pPr>
        <w:pStyle w:val="BodyText"/>
        <w:rPr>
          <w:b/>
          <w:bCs/>
          <w:sz w:val="24"/>
          <w:szCs w:val="24"/>
        </w:rPr>
      </w:pPr>
      <w:r>
        <w:rPr>
          <w:b/>
          <w:bCs/>
          <w:sz w:val="24"/>
          <w:szCs w:val="24"/>
        </w:rPr>
        <w:lastRenderedPageBreak/>
        <w:t>Figure 1: Architecture of the model</w:t>
      </w:r>
    </w:p>
    <w:p w14:paraId="38ED3202" w14:textId="77777777" w:rsidR="0055218A" w:rsidRPr="00063D4D" w:rsidRDefault="00000000" w:rsidP="0055218A">
      <w:pPr>
        <w:pStyle w:val="BodyText"/>
        <w:rPr>
          <w:sz w:val="24"/>
          <w:szCs w:val="24"/>
        </w:rPr>
      </w:pPr>
      <w:r w:rsidRPr="00063D4D">
        <w:rPr>
          <w:b/>
          <w:bCs/>
          <w:sz w:val="24"/>
          <w:szCs w:val="24"/>
        </w:rPr>
        <w:t>Data Ingestion:</w:t>
      </w:r>
      <w:r w:rsidRPr="00063D4D">
        <w:rPr>
          <w:sz w:val="24"/>
          <w:szCs w:val="24"/>
        </w:rPr>
        <w:t xml:space="preserve"> The process begins with the input of a CSV file containing key legal features, including Type of Civil Case, Property Value, Case Duration, Number of Hearings, Lawyer Experience, Lawyer Success Rate, Judge Tenure, Strength of Evidence, Number of Witnesses, and Court Type.</w:t>
      </w:r>
    </w:p>
    <w:p w14:paraId="7EA44FAA" w14:textId="77777777" w:rsidR="0055218A" w:rsidRPr="00063D4D" w:rsidRDefault="00000000" w:rsidP="0055218A">
      <w:pPr>
        <w:pStyle w:val="BodyText"/>
        <w:rPr>
          <w:sz w:val="24"/>
          <w:szCs w:val="24"/>
        </w:rPr>
      </w:pPr>
      <w:r w:rsidRPr="00063D4D">
        <w:rPr>
          <w:b/>
          <w:bCs/>
          <w:sz w:val="24"/>
          <w:szCs w:val="24"/>
        </w:rPr>
        <w:t xml:space="preserve">Data Preprocessing: </w:t>
      </w:r>
      <w:r w:rsidRPr="00063D4D">
        <w:rPr>
          <w:sz w:val="24"/>
          <w:szCs w:val="24"/>
        </w:rPr>
        <w:t>The raw data undergoes comprehensive preprocessing. This involves cleaning the dataset to remove inconsistencies and missing values, encoding categorical variables, and normalizing numerical features to ensure uniformity across the dataset.</w:t>
      </w:r>
    </w:p>
    <w:p w14:paraId="00911DE7" w14:textId="77777777" w:rsidR="0055218A" w:rsidRPr="00063D4D" w:rsidRDefault="00000000" w:rsidP="0055218A">
      <w:pPr>
        <w:pStyle w:val="BodyText"/>
        <w:rPr>
          <w:sz w:val="24"/>
          <w:szCs w:val="24"/>
        </w:rPr>
      </w:pPr>
      <w:r w:rsidRPr="00063D4D">
        <w:rPr>
          <w:b/>
          <w:bCs/>
          <w:sz w:val="24"/>
          <w:szCs w:val="24"/>
        </w:rPr>
        <w:t xml:space="preserve">Model Training: </w:t>
      </w:r>
      <w:r w:rsidRPr="00063D4D">
        <w:rPr>
          <w:sz w:val="24"/>
          <w:szCs w:val="24"/>
        </w:rPr>
        <w:t>The pre-processed data is split into training and testing sets (80/20 split). The logistic regression model is then trained on the training set. Hyperparameter tuning via cross-validation is employed to optimize the model’s performance, capitalizing on the simplicity and interpretability of logistic regression for binary classification.</w:t>
      </w:r>
    </w:p>
    <w:p w14:paraId="5A34E52F" w14:textId="77777777" w:rsidR="0055218A" w:rsidRPr="00063D4D" w:rsidRDefault="00000000" w:rsidP="0055218A">
      <w:pPr>
        <w:pStyle w:val="BodyText"/>
        <w:rPr>
          <w:sz w:val="24"/>
          <w:szCs w:val="24"/>
        </w:rPr>
      </w:pPr>
      <w:r w:rsidRPr="00063D4D">
        <w:rPr>
          <w:b/>
          <w:bCs/>
          <w:sz w:val="24"/>
          <w:szCs w:val="24"/>
        </w:rPr>
        <w:t xml:space="preserve">Prediction and Output Generation: </w:t>
      </w:r>
      <w:r w:rsidRPr="00063D4D">
        <w:rPr>
          <w:sz w:val="24"/>
          <w:szCs w:val="24"/>
        </w:rPr>
        <w:t>Once the model is trained, it predicts the probability of a favourable civil case judgement on new, unseen data. The output includes a binary classification along with a probability score, providing clear insights into the decision-making process. The model achieves an accuracy of 89.2%, validating its effectiveness as a decision-support tool.</w:t>
      </w:r>
    </w:p>
    <w:p w14:paraId="3A4913BE" w14:textId="77777777" w:rsidR="0055218A" w:rsidRPr="00063D4D" w:rsidRDefault="00000000" w:rsidP="0055218A">
      <w:pPr>
        <w:pStyle w:val="BodyText"/>
        <w:rPr>
          <w:sz w:val="24"/>
          <w:szCs w:val="24"/>
        </w:rPr>
      </w:pPr>
      <w:r w:rsidRPr="00063D4D">
        <w:rPr>
          <w:b/>
          <w:bCs/>
          <w:sz w:val="24"/>
          <w:szCs w:val="24"/>
        </w:rPr>
        <w:t xml:space="preserve">Reporting: </w:t>
      </w:r>
      <w:r w:rsidRPr="00063D4D">
        <w:rPr>
          <w:sz w:val="24"/>
          <w:szCs w:val="24"/>
        </w:rPr>
        <w:t>Finally, the model generates a comprehensive report detailing the prediction results and key performance metrics, facilitating transparent and informed decision-making for legal practitioners.</w:t>
      </w:r>
    </w:p>
    <w:p w14:paraId="208732E5" w14:textId="77777777" w:rsidR="0055218A" w:rsidRPr="00063D4D" w:rsidRDefault="00000000" w:rsidP="0055218A">
      <w:pPr>
        <w:pStyle w:val="BodyText"/>
        <w:rPr>
          <w:sz w:val="24"/>
          <w:szCs w:val="24"/>
        </w:rPr>
      </w:pPr>
      <w:r w:rsidRPr="00063D4D">
        <w:rPr>
          <w:sz w:val="24"/>
          <w:szCs w:val="24"/>
        </w:rPr>
        <w:t>This architecture, characterized by its simplicity and efficacy, underscores the potential of logistic regression as a practical tool for enhancing the predictability of civil case outcomes while maintaining high interpretability.</w:t>
      </w:r>
    </w:p>
    <w:p w14:paraId="7DB850FB" w14:textId="77777777" w:rsidR="00063D4D" w:rsidRPr="00063D4D" w:rsidRDefault="00000000" w:rsidP="0055218A">
      <w:pPr>
        <w:pStyle w:val="BodyText"/>
        <w:rPr>
          <w:sz w:val="24"/>
          <w:szCs w:val="24"/>
        </w:rPr>
      </w:pPr>
      <w:r>
        <w:rPr>
          <w:b/>
          <w:bCs/>
          <w:noProof/>
          <w:sz w:val="24"/>
          <w:szCs w:val="24"/>
          <w14:ligatures w14:val="standardContextual"/>
        </w:rPr>
        <w:drawing>
          <wp:anchor distT="0" distB="0" distL="114300" distR="114300" simplePos="0" relativeHeight="251658240" behindDoc="0" locked="0" layoutInCell="1" allowOverlap="1" wp14:anchorId="6E09FF76" wp14:editId="109A3AC5">
            <wp:simplePos x="0" y="0"/>
            <wp:positionH relativeFrom="column">
              <wp:posOffset>-12065</wp:posOffset>
            </wp:positionH>
            <wp:positionV relativeFrom="paragraph">
              <wp:posOffset>-7040245</wp:posOffset>
            </wp:positionV>
            <wp:extent cx="3147060" cy="1520190"/>
            <wp:effectExtent l="133350" t="152400" r="34290" b="194310"/>
            <wp:wrapSquare wrapText="bothSides"/>
            <wp:docPr id="1444187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87026" name="Picture 14441870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7060" cy="1520190"/>
                    </a:xfrm>
                    <a:prstGeom prst="rect">
                      <a:avLst/>
                    </a:prstGeom>
                    <a:ln>
                      <a:noFill/>
                    </a:ln>
                    <a:effectLst>
                      <a:outerShdw blurRad="292100" dist="139700" dir="2700000" sx="90000" sy="90000" algn="tl" rotWithShape="0">
                        <a:srgbClr val="333333">
                          <a:alpha val="47000"/>
                        </a:srgbClr>
                      </a:outerShdw>
                    </a:effectLst>
                  </pic:spPr>
                </pic:pic>
              </a:graphicData>
            </a:graphic>
            <wp14:sizeRelH relativeFrom="margin">
              <wp14:pctWidth>0</wp14:pctWidth>
            </wp14:sizeRelH>
            <wp14:sizeRelV relativeFrom="margin">
              <wp14:pctHeight>0</wp14:pctHeight>
            </wp14:sizeRelV>
          </wp:anchor>
        </w:drawing>
      </w:r>
    </w:p>
    <w:p w14:paraId="2307AC90" w14:textId="77777777" w:rsidR="0055218A" w:rsidRPr="00E20B44" w:rsidRDefault="00000000" w:rsidP="0055218A">
      <w:pPr>
        <w:pStyle w:val="BodyText"/>
        <w:jc w:val="center"/>
        <w:rPr>
          <w:sz w:val="28"/>
          <w:szCs w:val="28"/>
        </w:rPr>
      </w:pPr>
      <w:r w:rsidRPr="00E20B44">
        <w:rPr>
          <w:rFonts w:eastAsiaTheme="majorEastAsia"/>
          <w:color w:val="2F5496" w:themeColor="accent1" w:themeShade="BF"/>
          <w:spacing w:val="0"/>
          <w:sz w:val="44"/>
          <w:szCs w:val="40"/>
          <w:lang w:val="en-US" w:eastAsia="en-US"/>
        </w:rPr>
        <w:t>Model Description and Procedure</w:t>
      </w:r>
    </w:p>
    <w:p w14:paraId="7873E20E" w14:textId="77777777" w:rsidR="00063D4D" w:rsidRPr="00063D4D" w:rsidRDefault="00000000" w:rsidP="00063D4D">
      <w:pPr>
        <w:jc w:val="both"/>
        <w:rPr>
          <w:b/>
          <w:bCs/>
          <w:spacing w:val="-1"/>
          <w:sz w:val="24"/>
          <w:szCs w:val="24"/>
          <w:lang w:val="x-none" w:eastAsia="x-none"/>
        </w:rPr>
      </w:pPr>
      <w:r w:rsidRPr="00063D4D">
        <w:rPr>
          <w:b/>
          <w:bCs/>
          <w:spacing w:val="-1"/>
          <w:sz w:val="24"/>
          <w:szCs w:val="24"/>
          <w:lang w:val="x-none" w:eastAsia="x-none"/>
        </w:rPr>
        <w:t>Data Collection and Case Documents</w:t>
      </w:r>
    </w:p>
    <w:p w14:paraId="10B439CF" w14:textId="77777777" w:rsidR="00063D4D" w:rsidRPr="00063D4D" w:rsidRDefault="00000000" w:rsidP="00063D4D">
      <w:pPr>
        <w:jc w:val="both"/>
        <w:rPr>
          <w:spacing w:val="-1"/>
          <w:sz w:val="24"/>
          <w:szCs w:val="24"/>
          <w:lang w:val="x-none" w:eastAsia="x-none"/>
        </w:rPr>
      </w:pPr>
      <w:r w:rsidRPr="00063D4D">
        <w:rPr>
          <w:spacing w:val="-1"/>
          <w:sz w:val="24"/>
          <w:szCs w:val="24"/>
          <w:lang w:val="x-none" w:eastAsia="x-none"/>
        </w:rPr>
        <w:t>The initial phase of this study involved the acquisition of a comprehensive dataset of civil cases. The dataset was provided in CSV format and encompassed ten key features: Type of Civil Case, Property Value, Case Duration, Number of Hearings, Lawyer Experience, Lawyer Success Rate, Judge Tenure, Strength of Evidence, Number of Witnesses, and Court Type. These records were meticulously curated from reputable legal sources and databases, ensuring that the data was both relevant and reflective of real-world civil litigation scenarios.</w:t>
      </w:r>
    </w:p>
    <w:p w14:paraId="6D1A8473" w14:textId="77777777" w:rsidR="00063D4D" w:rsidRPr="00063D4D" w:rsidRDefault="00063D4D" w:rsidP="00063D4D">
      <w:pPr>
        <w:jc w:val="both"/>
        <w:rPr>
          <w:spacing w:val="-1"/>
          <w:sz w:val="24"/>
          <w:szCs w:val="24"/>
          <w:lang w:val="x-none" w:eastAsia="x-none"/>
        </w:rPr>
      </w:pPr>
    </w:p>
    <w:p w14:paraId="2D583035" w14:textId="77777777" w:rsidR="00063D4D" w:rsidRPr="00063D4D" w:rsidRDefault="00000000" w:rsidP="00063D4D">
      <w:pPr>
        <w:jc w:val="both"/>
        <w:rPr>
          <w:b/>
          <w:bCs/>
          <w:spacing w:val="-1"/>
          <w:sz w:val="24"/>
          <w:szCs w:val="24"/>
          <w:lang w:val="x-none" w:eastAsia="x-none"/>
        </w:rPr>
      </w:pPr>
      <w:r w:rsidRPr="00063D4D">
        <w:rPr>
          <w:b/>
          <w:bCs/>
          <w:spacing w:val="-1"/>
          <w:sz w:val="24"/>
          <w:szCs w:val="24"/>
          <w:lang w:val="x-none" w:eastAsia="x-none"/>
        </w:rPr>
        <w:t>Data Preparation</w:t>
      </w:r>
    </w:p>
    <w:p w14:paraId="2B3E219E" w14:textId="77777777" w:rsidR="00063D4D" w:rsidRPr="00063D4D" w:rsidRDefault="00000000" w:rsidP="00063D4D">
      <w:pPr>
        <w:jc w:val="both"/>
        <w:rPr>
          <w:spacing w:val="-1"/>
          <w:sz w:val="24"/>
          <w:szCs w:val="24"/>
          <w:lang w:val="x-none" w:eastAsia="x-none"/>
        </w:rPr>
      </w:pPr>
      <w:r w:rsidRPr="00063D4D">
        <w:rPr>
          <w:spacing w:val="-1"/>
          <w:sz w:val="24"/>
          <w:szCs w:val="24"/>
          <w:lang w:val="x-none" w:eastAsia="x-none"/>
        </w:rPr>
        <w:t>To facilitate robust analysis, an extensive data preparation process was undertaken:</w:t>
      </w:r>
    </w:p>
    <w:p w14:paraId="099C855D" w14:textId="77777777" w:rsidR="00063D4D" w:rsidRPr="00063D4D" w:rsidRDefault="00000000" w:rsidP="00063D4D">
      <w:pPr>
        <w:jc w:val="both"/>
        <w:rPr>
          <w:spacing w:val="-1"/>
          <w:sz w:val="24"/>
          <w:szCs w:val="24"/>
          <w:lang w:val="x-none" w:eastAsia="x-none"/>
        </w:rPr>
      </w:pPr>
      <w:r w:rsidRPr="00063D4D">
        <w:rPr>
          <w:b/>
          <w:bCs/>
          <w:spacing w:val="-1"/>
          <w:sz w:val="24"/>
          <w:szCs w:val="24"/>
          <w:lang w:val="x-none" w:eastAsia="x-none"/>
        </w:rPr>
        <w:t>Data Cleaning:</w:t>
      </w:r>
      <w:r w:rsidRPr="00063D4D">
        <w:rPr>
          <w:spacing w:val="-1"/>
          <w:sz w:val="24"/>
          <w:szCs w:val="24"/>
          <w:lang w:val="x-none" w:eastAsia="x-none"/>
        </w:rPr>
        <w:t xml:space="preserve"> </w:t>
      </w:r>
    </w:p>
    <w:p w14:paraId="54B507E4"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The raw CSV dataset underwent rigorous cleaning to remove duplicates, correct inconsistencies, and handle missing values. Special attention was given to ensuring the integrity of critical attributes such as Property Value and Case Duration.</w:t>
      </w:r>
    </w:p>
    <w:p w14:paraId="3FFC9E21" w14:textId="77777777" w:rsidR="00063D4D" w:rsidRPr="00063D4D" w:rsidRDefault="00000000" w:rsidP="00063D4D">
      <w:pPr>
        <w:ind w:left="360"/>
        <w:jc w:val="both"/>
        <w:rPr>
          <w:spacing w:val="-1"/>
          <w:sz w:val="24"/>
          <w:szCs w:val="24"/>
          <w:lang w:val="x-none" w:eastAsia="x-none"/>
        </w:rPr>
      </w:pPr>
      <w:r w:rsidRPr="00063D4D">
        <w:rPr>
          <w:b/>
          <w:bCs/>
          <w:spacing w:val="-1"/>
          <w:sz w:val="24"/>
          <w:szCs w:val="24"/>
          <w:lang w:val="x-none" w:eastAsia="x-none"/>
        </w:rPr>
        <w:t>Feature Engineering and Encoding:</w:t>
      </w:r>
      <w:r w:rsidRPr="00063D4D">
        <w:rPr>
          <w:spacing w:val="-1"/>
          <w:sz w:val="24"/>
          <w:szCs w:val="24"/>
          <w:lang w:val="x-none" w:eastAsia="x-none"/>
        </w:rPr>
        <w:t xml:space="preserve"> </w:t>
      </w:r>
    </w:p>
    <w:p w14:paraId="594B2BD5"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Categorical features like Type of Civil Case and Court Type were transformed into numerical representations using appropriate encoding techniques. Additional derived features were created where necessary to enhance the dataset’s informational depth.</w:t>
      </w:r>
    </w:p>
    <w:p w14:paraId="33DD6E09" w14:textId="77777777" w:rsidR="00063D4D" w:rsidRPr="00063D4D" w:rsidRDefault="00000000" w:rsidP="00063D4D">
      <w:pPr>
        <w:ind w:left="360"/>
        <w:jc w:val="both"/>
        <w:rPr>
          <w:spacing w:val="-1"/>
          <w:sz w:val="24"/>
          <w:szCs w:val="24"/>
          <w:lang w:val="x-none" w:eastAsia="x-none"/>
        </w:rPr>
      </w:pPr>
      <w:r w:rsidRPr="00063D4D">
        <w:rPr>
          <w:b/>
          <w:bCs/>
          <w:spacing w:val="-1"/>
          <w:sz w:val="24"/>
          <w:szCs w:val="24"/>
          <w:lang w:val="x-none" w:eastAsia="x-none"/>
        </w:rPr>
        <w:t>Normalization:</w:t>
      </w:r>
    </w:p>
    <w:p w14:paraId="50D31913"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Continuous variables including Property Value, Case Duration, and Lawyer Success Rate were normalized to eliminate scale disparities, ensuring that each feature contributed proportionately to the model’s performance.</w:t>
      </w:r>
    </w:p>
    <w:p w14:paraId="4D75C485" w14:textId="77777777" w:rsidR="00063D4D" w:rsidRPr="00063D4D" w:rsidRDefault="00000000" w:rsidP="00063D4D">
      <w:pPr>
        <w:ind w:left="360"/>
        <w:jc w:val="both"/>
        <w:rPr>
          <w:spacing w:val="-1"/>
          <w:sz w:val="24"/>
          <w:szCs w:val="24"/>
          <w:lang w:val="x-none" w:eastAsia="x-none"/>
        </w:rPr>
      </w:pPr>
      <w:r w:rsidRPr="00063D4D">
        <w:rPr>
          <w:b/>
          <w:bCs/>
          <w:spacing w:val="-1"/>
          <w:sz w:val="24"/>
          <w:szCs w:val="24"/>
          <w:lang w:val="x-none" w:eastAsia="x-none"/>
        </w:rPr>
        <w:t>Data Splitting:</w:t>
      </w:r>
      <w:r w:rsidRPr="00063D4D">
        <w:rPr>
          <w:spacing w:val="-1"/>
          <w:sz w:val="24"/>
          <w:szCs w:val="24"/>
          <w:lang w:val="x-none" w:eastAsia="x-none"/>
        </w:rPr>
        <w:t xml:space="preserve"> </w:t>
      </w:r>
    </w:p>
    <w:p w14:paraId="3A00FB42"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The refined dataset was partitioned into training and testing subsets using an 80/20 split. This division provided a balanced framework for model training and subsequent validation.</w:t>
      </w:r>
    </w:p>
    <w:p w14:paraId="52B3DDC1" w14:textId="77777777" w:rsidR="00063D4D" w:rsidRPr="00063D4D" w:rsidRDefault="00063D4D" w:rsidP="00063D4D">
      <w:pPr>
        <w:jc w:val="both"/>
        <w:rPr>
          <w:spacing w:val="-1"/>
          <w:sz w:val="24"/>
          <w:szCs w:val="24"/>
          <w:lang w:val="x-none" w:eastAsia="x-none"/>
        </w:rPr>
      </w:pPr>
    </w:p>
    <w:p w14:paraId="594F1997" w14:textId="77777777" w:rsidR="005D65E3" w:rsidRDefault="005D65E3" w:rsidP="00063D4D">
      <w:pPr>
        <w:jc w:val="both"/>
        <w:rPr>
          <w:b/>
          <w:bCs/>
          <w:spacing w:val="-1"/>
          <w:sz w:val="24"/>
          <w:szCs w:val="24"/>
          <w:lang w:val="x-none" w:eastAsia="x-none"/>
        </w:rPr>
      </w:pPr>
    </w:p>
    <w:p w14:paraId="4A95A5F3" w14:textId="77777777" w:rsidR="00063D4D" w:rsidRPr="00063D4D" w:rsidRDefault="00000000" w:rsidP="00063D4D">
      <w:pPr>
        <w:jc w:val="both"/>
        <w:rPr>
          <w:b/>
          <w:bCs/>
          <w:spacing w:val="-1"/>
          <w:sz w:val="24"/>
          <w:szCs w:val="24"/>
          <w:lang w:val="x-none" w:eastAsia="x-none"/>
        </w:rPr>
      </w:pPr>
      <w:r w:rsidRPr="00063D4D">
        <w:rPr>
          <w:b/>
          <w:bCs/>
          <w:spacing w:val="-1"/>
          <w:sz w:val="24"/>
          <w:szCs w:val="24"/>
          <w:lang w:val="x-none" w:eastAsia="x-none"/>
        </w:rPr>
        <w:lastRenderedPageBreak/>
        <w:t>Classifier Modelling with Logistic Regression</w:t>
      </w:r>
    </w:p>
    <w:p w14:paraId="6A0C2AED" w14:textId="77777777" w:rsidR="00063D4D" w:rsidRPr="00063D4D" w:rsidRDefault="00063D4D" w:rsidP="00063D4D">
      <w:pPr>
        <w:jc w:val="both"/>
        <w:rPr>
          <w:b/>
          <w:bCs/>
          <w:spacing w:val="-1"/>
          <w:sz w:val="24"/>
          <w:szCs w:val="24"/>
          <w:lang w:val="x-none" w:eastAsia="x-none"/>
        </w:rPr>
      </w:pPr>
    </w:p>
    <w:p w14:paraId="6FD7A328" w14:textId="77777777" w:rsidR="00063D4D" w:rsidRPr="00063D4D" w:rsidRDefault="00000000" w:rsidP="00063D4D">
      <w:pPr>
        <w:jc w:val="both"/>
        <w:rPr>
          <w:spacing w:val="-1"/>
          <w:sz w:val="24"/>
          <w:szCs w:val="24"/>
          <w:lang w:val="x-none" w:eastAsia="x-none"/>
        </w:rPr>
      </w:pPr>
      <w:r w:rsidRPr="00063D4D">
        <w:rPr>
          <w:spacing w:val="-1"/>
          <w:sz w:val="24"/>
          <w:szCs w:val="24"/>
          <w:lang w:val="x-none" w:eastAsia="x-none"/>
        </w:rPr>
        <w:t>The core of this study is the application of logistic regression to predict civil case judgements:</w:t>
      </w:r>
    </w:p>
    <w:p w14:paraId="3E9B264C" w14:textId="77777777" w:rsidR="00063D4D" w:rsidRPr="00063D4D" w:rsidRDefault="00063D4D" w:rsidP="00063D4D">
      <w:pPr>
        <w:jc w:val="both"/>
        <w:rPr>
          <w:spacing w:val="-1"/>
          <w:sz w:val="24"/>
          <w:szCs w:val="24"/>
          <w:lang w:val="x-none" w:eastAsia="x-none"/>
        </w:rPr>
      </w:pPr>
    </w:p>
    <w:p w14:paraId="611919AF" w14:textId="77777777" w:rsidR="00063D4D" w:rsidRPr="00063D4D" w:rsidRDefault="00000000" w:rsidP="00063D4D">
      <w:pPr>
        <w:jc w:val="both"/>
        <w:rPr>
          <w:spacing w:val="-1"/>
          <w:sz w:val="24"/>
          <w:szCs w:val="24"/>
          <w:lang w:val="x-none" w:eastAsia="x-none"/>
        </w:rPr>
      </w:pPr>
      <w:r w:rsidRPr="00063D4D">
        <w:rPr>
          <w:b/>
          <w:bCs/>
          <w:spacing w:val="-1"/>
          <w:sz w:val="24"/>
          <w:szCs w:val="24"/>
          <w:lang w:val="x-none" w:eastAsia="x-none"/>
        </w:rPr>
        <w:t>Model Implementation:</w:t>
      </w:r>
      <w:r w:rsidRPr="00063D4D">
        <w:rPr>
          <w:spacing w:val="-1"/>
          <w:sz w:val="24"/>
          <w:szCs w:val="24"/>
          <w:lang w:val="x-none" w:eastAsia="x-none"/>
        </w:rPr>
        <w:t xml:space="preserve"> </w:t>
      </w:r>
    </w:p>
    <w:p w14:paraId="1AFB33E1"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Leveraging Python and the Scikit-learn library on the Google Collab platform, the logistic regression model was constructed. This choice was driven by the algorithm’s inherent simplicity and its capacity to yield interpretable probabilistic outputs.</w:t>
      </w:r>
    </w:p>
    <w:p w14:paraId="32020865" w14:textId="77777777" w:rsidR="00063D4D" w:rsidRPr="00063D4D" w:rsidRDefault="00000000" w:rsidP="00063D4D">
      <w:pPr>
        <w:ind w:left="360"/>
        <w:jc w:val="both"/>
        <w:rPr>
          <w:spacing w:val="-1"/>
          <w:sz w:val="24"/>
          <w:szCs w:val="24"/>
          <w:lang w:val="x-none" w:eastAsia="x-none"/>
        </w:rPr>
      </w:pPr>
      <w:r w:rsidRPr="00063D4D">
        <w:rPr>
          <w:b/>
          <w:bCs/>
          <w:spacing w:val="-1"/>
          <w:sz w:val="24"/>
          <w:szCs w:val="24"/>
          <w:lang w:val="x-none" w:eastAsia="x-none"/>
        </w:rPr>
        <w:t>Hyperparameter Tuning:</w:t>
      </w:r>
      <w:r w:rsidRPr="00063D4D">
        <w:rPr>
          <w:spacing w:val="-1"/>
          <w:sz w:val="24"/>
          <w:szCs w:val="24"/>
          <w:lang w:val="x-none" w:eastAsia="x-none"/>
        </w:rPr>
        <w:t xml:space="preserve"> </w:t>
      </w:r>
    </w:p>
    <w:p w14:paraId="1308D360"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Cross-validation techniques were employed to optimize key hyperparameters, such as the regularization strength. This tuning process was essential to enhancing the model’s generalizability and predictive performance.</w:t>
      </w:r>
    </w:p>
    <w:p w14:paraId="54A1C4B1" w14:textId="77777777" w:rsidR="00063D4D" w:rsidRPr="00063D4D" w:rsidRDefault="00000000" w:rsidP="00063D4D">
      <w:pPr>
        <w:ind w:left="360"/>
        <w:jc w:val="both"/>
        <w:rPr>
          <w:spacing w:val="-1"/>
          <w:sz w:val="24"/>
          <w:szCs w:val="24"/>
          <w:lang w:val="x-none" w:eastAsia="x-none"/>
        </w:rPr>
      </w:pPr>
      <w:r w:rsidRPr="00063D4D">
        <w:rPr>
          <w:b/>
          <w:bCs/>
          <w:spacing w:val="-1"/>
          <w:sz w:val="24"/>
          <w:szCs w:val="24"/>
          <w:lang w:val="x-none" w:eastAsia="x-none"/>
        </w:rPr>
        <w:t>Model Training and Evaluation:</w:t>
      </w:r>
      <w:r w:rsidRPr="00063D4D">
        <w:rPr>
          <w:spacing w:val="-1"/>
          <w:sz w:val="24"/>
          <w:szCs w:val="24"/>
          <w:lang w:val="x-none" w:eastAsia="x-none"/>
        </w:rPr>
        <w:t xml:space="preserve"> </w:t>
      </w:r>
    </w:p>
    <w:p w14:paraId="5D03AAB1"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The logistic regression classifier was trained on the pre-processed training data. Once trained, the model was evaluated on the test set, yielding an impressive accuracy of 89.2%. The results were further supported by detailed analysis of feature coefficients, which provided clear insights into the contribution of each legal attribute towards the prediction outcome.</w:t>
      </w:r>
    </w:p>
    <w:p w14:paraId="70B833D2" w14:textId="77777777" w:rsidR="00063D4D" w:rsidRPr="00063D4D" w:rsidRDefault="00000000" w:rsidP="00063D4D">
      <w:pPr>
        <w:ind w:left="360"/>
        <w:jc w:val="both"/>
        <w:rPr>
          <w:spacing w:val="-1"/>
          <w:sz w:val="24"/>
          <w:szCs w:val="24"/>
          <w:lang w:val="x-none" w:eastAsia="x-none"/>
        </w:rPr>
      </w:pPr>
      <w:r w:rsidRPr="00063D4D">
        <w:rPr>
          <w:b/>
          <w:bCs/>
          <w:spacing w:val="-1"/>
          <w:sz w:val="24"/>
          <w:szCs w:val="24"/>
          <w:lang w:val="x-none" w:eastAsia="x-none"/>
        </w:rPr>
        <w:t>Output Generation:</w:t>
      </w:r>
      <w:r w:rsidRPr="00063D4D">
        <w:rPr>
          <w:spacing w:val="-1"/>
          <w:sz w:val="24"/>
          <w:szCs w:val="24"/>
          <w:lang w:val="x-none" w:eastAsia="x-none"/>
        </w:rPr>
        <w:t xml:space="preserve"> </w:t>
      </w:r>
    </w:p>
    <w:p w14:paraId="65A8F23A" w14:textId="77777777" w:rsidR="00063D4D" w:rsidRPr="00063D4D" w:rsidRDefault="00000000" w:rsidP="00063D4D">
      <w:pPr>
        <w:pStyle w:val="ListParagraph"/>
        <w:numPr>
          <w:ilvl w:val="0"/>
          <w:numId w:val="9"/>
        </w:numPr>
        <w:jc w:val="both"/>
        <w:rPr>
          <w:spacing w:val="-1"/>
          <w:sz w:val="24"/>
          <w:szCs w:val="24"/>
          <w:lang w:val="x-none" w:eastAsia="x-none"/>
        </w:rPr>
      </w:pPr>
      <w:r w:rsidRPr="00063D4D">
        <w:rPr>
          <w:spacing w:val="-1"/>
          <w:sz w:val="24"/>
          <w:szCs w:val="24"/>
          <w:lang w:val="x-none" w:eastAsia="x-none"/>
        </w:rPr>
        <w:t>The final model produces both binary predictions and associated probability scores for each case, thereby offering legal practitioners not only a verdict prediction but also a measure of confidence in each decision.</w:t>
      </w:r>
    </w:p>
    <w:p w14:paraId="1D618D7D" w14:textId="77777777" w:rsidR="00063D4D" w:rsidRPr="00063D4D" w:rsidRDefault="00063D4D" w:rsidP="00063D4D">
      <w:pPr>
        <w:jc w:val="both"/>
        <w:rPr>
          <w:spacing w:val="-1"/>
          <w:sz w:val="24"/>
          <w:szCs w:val="24"/>
          <w:lang w:val="x-none" w:eastAsia="x-none"/>
        </w:rPr>
      </w:pPr>
    </w:p>
    <w:p w14:paraId="427DB5E6" w14:textId="77777777" w:rsidR="00E769FF" w:rsidRDefault="00E769FF" w:rsidP="00063D4D">
      <w:pPr>
        <w:jc w:val="both"/>
        <w:rPr>
          <w:spacing w:val="-1"/>
          <w:sz w:val="24"/>
          <w:szCs w:val="24"/>
          <w:lang w:val="x-none" w:eastAsia="x-none"/>
        </w:rPr>
      </w:pPr>
    </w:p>
    <w:p w14:paraId="6BB808F3" w14:textId="77777777" w:rsidR="00202EEC" w:rsidRDefault="00000000" w:rsidP="00063D4D">
      <w:pPr>
        <w:jc w:val="both"/>
        <w:rPr>
          <w:spacing w:val="-1"/>
          <w:sz w:val="24"/>
          <w:szCs w:val="24"/>
          <w:lang w:val="x-none" w:eastAsia="x-none"/>
        </w:rPr>
      </w:pPr>
      <w:r w:rsidRPr="00063D4D">
        <w:rPr>
          <w:spacing w:val="-1"/>
          <w:sz w:val="24"/>
          <w:szCs w:val="24"/>
          <w:lang w:val="x-none" w:eastAsia="x-none"/>
        </w:rPr>
        <w:t>Through this systematic approach—spanning from data collection and preparation to model implementation and evaluation—the proposed logistic regression framework demonstrates its efficacy in predicting civil case judgements. This model not only achieves high predictive accuracy but also maintains the interpretability necessary for practical deployment in legal decision support systems.</w:t>
      </w:r>
      <w:r w:rsidR="00C7341F">
        <w:rPr>
          <w:spacing w:val="-1"/>
          <w:sz w:val="24"/>
          <w:szCs w:val="24"/>
          <w:lang w:val="x-none" w:eastAsia="x-none"/>
        </w:rPr>
        <w:t>\</w:t>
      </w:r>
    </w:p>
    <w:p w14:paraId="0E3C4EA9" w14:textId="77777777" w:rsidR="00C7341F" w:rsidRDefault="00C7341F" w:rsidP="00063D4D">
      <w:pPr>
        <w:jc w:val="both"/>
        <w:rPr>
          <w:spacing w:val="-1"/>
          <w:sz w:val="24"/>
          <w:szCs w:val="24"/>
          <w:lang w:val="x-none" w:eastAsia="x-none"/>
        </w:rPr>
      </w:pPr>
    </w:p>
    <w:p w14:paraId="3AA270F4" w14:textId="77777777" w:rsidR="00F93058" w:rsidRDefault="00F93058" w:rsidP="00C7341F">
      <w:pPr>
        <w:pStyle w:val="BodyText"/>
        <w:jc w:val="center"/>
        <w:rPr>
          <w:rFonts w:eastAsiaTheme="majorEastAsia"/>
          <w:color w:val="2F5496" w:themeColor="accent1" w:themeShade="BF"/>
          <w:spacing w:val="0"/>
          <w:sz w:val="40"/>
          <w:szCs w:val="36"/>
          <w:lang w:val="en-US" w:eastAsia="en-US"/>
        </w:rPr>
      </w:pPr>
    </w:p>
    <w:p w14:paraId="04D40607" w14:textId="77777777" w:rsidR="00F93058" w:rsidRDefault="00F93058" w:rsidP="00C7341F">
      <w:pPr>
        <w:pStyle w:val="BodyText"/>
        <w:jc w:val="center"/>
        <w:rPr>
          <w:rFonts w:eastAsiaTheme="majorEastAsia"/>
          <w:color w:val="2F5496" w:themeColor="accent1" w:themeShade="BF"/>
          <w:spacing w:val="0"/>
          <w:sz w:val="40"/>
          <w:szCs w:val="36"/>
          <w:lang w:val="en-US" w:eastAsia="en-US"/>
        </w:rPr>
      </w:pPr>
    </w:p>
    <w:p w14:paraId="54F7F5A9" w14:textId="77777777" w:rsidR="00C7341F" w:rsidRPr="00E20B44" w:rsidRDefault="00000000" w:rsidP="00C7341F">
      <w:pPr>
        <w:pStyle w:val="BodyText"/>
        <w:jc w:val="center"/>
        <w:rPr>
          <w:sz w:val="28"/>
          <w:szCs w:val="28"/>
        </w:rPr>
      </w:pPr>
      <w:r w:rsidRPr="00E20B44">
        <w:rPr>
          <w:rFonts w:eastAsiaTheme="majorEastAsia"/>
          <w:color w:val="2F5496" w:themeColor="accent1" w:themeShade="BF"/>
          <w:spacing w:val="0"/>
          <w:sz w:val="44"/>
          <w:szCs w:val="40"/>
          <w:lang w:val="en-US" w:eastAsia="en-US"/>
        </w:rPr>
        <w:t>Result</w:t>
      </w:r>
    </w:p>
    <w:p w14:paraId="47983A4C" w14:textId="77777777" w:rsidR="00C7341F" w:rsidRDefault="00C7341F" w:rsidP="00063D4D">
      <w:pPr>
        <w:jc w:val="both"/>
        <w:rPr>
          <w:spacing w:val="-1"/>
          <w:sz w:val="24"/>
          <w:szCs w:val="24"/>
          <w:lang w:val="x-none" w:eastAsia="x-none"/>
        </w:rPr>
      </w:pPr>
    </w:p>
    <w:p w14:paraId="360150A6" w14:textId="77777777" w:rsidR="00C7341F" w:rsidRPr="00C7341F" w:rsidRDefault="00000000" w:rsidP="00C7341F">
      <w:pPr>
        <w:jc w:val="both"/>
        <w:rPr>
          <w:spacing w:val="-1"/>
          <w:sz w:val="24"/>
          <w:szCs w:val="24"/>
          <w:lang w:val="x-none" w:eastAsia="x-none"/>
        </w:rPr>
      </w:pPr>
      <w:r w:rsidRPr="00C7341F">
        <w:rPr>
          <w:spacing w:val="-1"/>
          <w:sz w:val="24"/>
          <w:szCs w:val="24"/>
          <w:lang w:val="x-none" w:eastAsia="x-none"/>
        </w:rPr>
        <w:t>The experimental evaluation of the proposed logistic regression model was performed on Google Collab using the pre-processed CSV dataset. The model was trained on key continuous features, including Case Duration and Property Value, to predict the binary outcome of civil case judgements (favourable vs. unfavourable).</w:t>
      </w:r>
    </w:p>
    <w:p w14:paraId="6B7FBE61" w14:textId="77777777" w:rsidR="00C7341F" w:rsidRPr="00C7341F" w:rsidRDefault="00C7341F" w:rsidP="00C7341F">
      <w:pPr>
        <w:jc w:val="both"/>
        <w:rPr>
          <w:spacing w:val="-1"/>
          <w:sz w:val="24"/>
          <w:szCs w:val="24"/>
          <w:lang w:val="x-none" w:eastAsia="x-none"/>
        </w:rPr>
      </w:pPr>
    </w:p>
    <w:p w14:paraId="1EB7736B" w14:textId="1BB599BA" w:rsidR="00C7341F" w:rsidRPr="00C7341F" w:rsidRDefault="00000000" w:rsidP="00C7341F">
      <w:pPr>
        <w:jc w:val="both"/>
        <w:rPr>
          <w:spacing w:val="-1"/>
          <w:sz w:val="24"/>
          <w:szCs w:val="24"/>
          <w:lang w:val="x-none" w:eastAsia="x-none"/>
        </w:rPr>
      </w:pPr>
      <w:r w:rsidRPr="00C7341F">
        <w:rPr>
          <w:spacing w:val="-1"/>
          <w:sz w:val="24"/>
          <w:szCs w:val="24"/>
          <w:lang w:val="x-none" w:eastAsia="x-none"/>
        </w:rPr>
        <w:t xml:space="preserve">Figure </w:t>
      </w:r>
      <w:r w:rsidR="00264DFC">
        <w:rPr>
          <w:spacing w:val="-1"/>
          <w:sz w:val="24"/>
          <w:szCs w:val="24"/>
          <w:lang w:val="x-none" w:eastAsia="x-none"/>
        </w:rPr>
        <w:t>2</w:t>
      </w:r>
      <w:r w:rsidRPr="00C7341F">
        <w:rPr>
          <w:spacing w:val="-1"/>
          <w:sz w:val="24"/>
          <w:szCs w:val="24"/>
          <w:lang w:val="x-none" w:eastAsia="x-none"/>
        </w:rPr>
        <w:t xml:space="preserve"> illustrates the scatter plot of the dataset where each point represents a civil case. The x-axis corresponds to Case Duration while the y-axis represents Property Value. Data points are color-coded based on their actual outcomes—blue for favourable judgements and </w:t>
      </w:r>
      <w:r w:rsidR="003F52EA">
        <w:rPr>
          <w:spacing w:val="-1"/>
          <w:sz w:val="24"/>
          <w:szCs w:val="24"/>
          <w:lang w:val="x-none" w:eastAsia="x-none"/>
        </w:rPr>
        <w:t>orange</w:t>
      </w:r>
      <w:r w:rsidRPr="00C7341F">
        <w:rPr>
          <w:spacing w:val="-1"/>
          <w:sz w:val="24"/>
          <w:szCs w:val="24"/>
          <w:lang w:val="x-none" w:eastAsia="x-none"/>
        </w:rPr>
        <w:t xml:space="preserve"> for unfavourable ones. The logistic regression decision boundary, derived from the model, is superimposed on the plot. This boundary clearly demarcates the two classes, demonstrating the model’s ability to distinguish between cases with high predictive accuracy.</w:t>
      </w:r>
    </w:p>
    <w:p w14:paraId="7ED3A429" w14:textId="77777777" w:rsidR="00C7341F" w:rsidRPr="00C7341F" w:rsidRDefault="00C7341F" w:rsidP="00C7341F">
      <w:pPr>
        <w:jc w:val="both"/>
        <w:rPr>
          <w:spacing w:val="-1"/>
          <w:sz w:val="24"/>
          <w:szCs w:val="24"/>
          <w:lang w:val="x-none" w:eastAsia="x-none"/>
        </w:rPr>
      </w:pPr>
    </w:p>
    <w:p w14:paraId="184DC65D" w14:textId="77777777" w:rsidR="00C7341F" w:rsidRPr="00C7341F" w:rsidRDefault="00000000" w:rsidP="00C7341F">
      <w:pPr>
        <w:jc w:val="both"/>
        <w:rPr>
          <w:spacing w:val="-1"/>
          <w:sz w:val="24"/>
          <w:szCs w:val="24"/>
          <w:lang w:val="x-none" w:eastAsia="x-none"/>
        </w:rPr>
      </w:pPr>
      <w:r w:rsidRPr="00C7341F">
        <w:rPr>
          <w:spacing w:val="-1"/>
          <w:sz w:val="24"/>
          <w:szCs w:val="24"/>
          <w:lang w:val="x-none" w:eastAsia="x-none"/>
        </w:rPr>
        <w:t>The model achieved an overall accuracy of 89.2%, affirming its effectiveness as a decision-support tool in the legal domain.</w:t>
      </w:r>
    </w:p>
    <w:p w14:paraId="7ABF8EDC" w14:textId="77777777" w:rsidR="00C7341F" w:rsidRPr="00C7341F" w:rsidRDefault="00C7341F" w:rsidP="00C7341F">
      <w:pPr>
        <w:jc w:val="both"/>
        <w:rPr>
          <w:spacing w:val="-1"/>
          <w:sz w:val="24"/>
          <w:szCs w:val="24"/>
          <w:lang w:val="x-none" w:eastAsia="x-none"/>
        </w:rPr>
      </w:pPr>
    </w:p>
    <w:p w14:paraId="21D88D27" w14:textId="77777777" w:rsidR="00C7341F" w:rsidRPr="00C7341F" w:rsidRDefault="00000000" w:rsidP="00C7341F">
      <w:pPr>
        <w:jc w:val="both"/>
        <w:rPr>
          <w:spacing w:val="-1"/>
          <w:sz w:val="24"/>
          <w:szCs w:val="24"/>
          <w:lang w:val="x-none" w:eastAsia="x-none"/>
        </w:rPr>
      </w:pPr>
      <w:r>
        <w:rPr>
          <w:noProof/>
          <w:spacing w:val="-1"/>
          <w:sz w:val="24"/>
          <w:szCs w:val="24"/>
          <w:lang w:val="x-none" w:eastAsia="x-none"/>
          <w14:ligatures w14:val="standardContextual"/>
        </w:rPr>
        <w:drawing>
          <wp:inline distT="0" distB="0" distL="0" distR="0" wp14:anchorId="07CD566F" wp14:editId="1CD28FE2">
            <wp:extent cx="2935425" cy="2201568"/>
            <wp:effectExtent l="152400" t="152400" r="189230" b="236855"/>
            <wp:docPr id="110989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99538"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935425" cy="2201568"/>
                    </a:xfrm>
                    <a:prstGeom prst="rect">
                      <a:avLst/>
                    </a:prstGeom>
                    <a:ln>
                      <a:noFill/>
                    </a:ln>
                    <a:effectLst>
                      <a:outerShdw blurRad="292100" dist="139700" dir="2700000" sx="94000" sy="94000" algn="tl" rotWithShape="0">
                        <a:srgbClr val="333333">
                          <a:alpha val="57000"/>
                        </a:srgbClr>
                      </a:outerShdw>
                    </a:effectLst>
                  </pic:spPr>
                </pic:pic>
              </a:graphicData>
            </a:graphic>
          </wp:inline>
        </w:drawing>
      </w:r>
    </w:p>
    <w:p w14:paraId="0BABD522" w14:textId="77777777" w:rsidR="00C7341F" w:rsidRPr="00C7341F" w:rsidRDefault="00C7341F" w:rsidP="00C7341F">
      <w:pPr>
        <w:jc w:val="both"/>
        <w:rPr>
          <w:spacing w:val="-1"/>
          <w:sz w:val="24"/>
          <w:szCs w:val="24"/>
          <w:lang w:val="x-none" w:eastAsia="x-none"/>
        </w:rPr>
      </w:pPr>
    </w:p>
    <w:p w14:paraId="5A1C2329" w14:textId="77777777" w:rsidR="00C7341F" w:rsidRDefault="00000000" w:rsidP="00C7341F">
      <w:pPr>
        <w:jc w:val="both"/>
        <w:rPr>
          <w:spacing w:val="-1"/>
          <w:sz w:val="24"/>
          <w:szCs w:val="24"/>
          <w:lang w:val="x-none" w:eastAsia="x-none"/>
        </w:rPr>
      </w:pPr>
      <w:r w:rsidRPr="00C7341F">
        <w:rPr>
          <w:spacing w:val="-1"/>
          <w:sz w:val="24"/>
          <w:szCs w:val="24"/>
          <w:lang w:val="x-none" w:eastAsia="x-none"/>
        </w:rPr>
        <w:t xml:space="preserve">Figure </w:t>
      </w:r>
      <w:r w:rsidR="00264DFC">
        <w:rPr>
          <w:spacing w:val="-1"/>
          <w:sz w:val="24"/>
          <w:szCs w:val="24"/>
          <w:lang w:val="x-none" w:eastAsia="x-none"/>
        </w:rPr>
        <w:t>2</w:t>
      </w:r>
      <w:r w:rsidRPr="00C7341F">
        <w:rPr>
          <w:spacing w:val="-1"/>
          <w:sz w:val="24"/>
          <w:szCs w:val="24"/>
          <w:lang w:val="x-none" w:eastAsia="x-none"/>
        </w:rPr>
        <w:t>: Scatter plot displaying the logistic regression decision boundary between favourable and unfavourable civil case judgements, based on Case Duration and Property Value.</w:t>
      </w:r>
    </w:p>
    <w:p w14:paraId="047DC360" w14:textId="77777777" w:rsidR="00AE2EA7" w:rsidRDefault="00AE2EA7" w:rsidP="00AE2EA7">
      <w:pPr>
        <w:jc w:val="both"/>
        <w:rPr>
          <w:spacing w:val="-1"/>
          <w:sz w:val="24"/>
          <w:szCs w:val="24"/>
          <w:lang w:val="x-none" w:eastAsia="x-none"/>
        </w:rPr>
      </w:pPr>
    </w:p>
    <w:p w14:paraId="67BCE76E" w14:textId="77777777" w:rsidR="00AE2EA7" w:rsidRPr="00E20B44" w:rsidRDefault="00000000" w:rsidP="00AE2EA7">
      <w:pPr>
        <w:pStyle w:val="BodyText"/>
        <w:jc w:val="center"/>
        <w:rPr>
          <w:sz w:val="28"/>
          <w:szCs w:val="28"/>
        </w:rPr>
      </w:pPr>
      <w:r w:rsidRPr="00E20B44">
        <w:rPr>
          <w:rFonts w:eastAsiaTheme="majorEastAsia"/>
          <w:color w:val="2F5496" w:themeColor="accent1" w:themeShade="BF"/>
          <w:spacing w:val="0"/>
          <w:sz w:val="44"/>
          <w:szCs w:val="40"/>
          <w:lang w:val="en-US" w:eastAsia="en-US"/>
        </w:rPr>
        <w:t>Future Work</w:t>
      </w:r>
    </w:p>
    <w:p w14:paraId="55075195" w14:textId="77777777" w:rsidR="00AE2EA7" w:rsidRDefault="00AE2EA7" w:rsidP="00AE2EA7">
      <w:pPr>
        <w:jc w:val="both"/>
        <w:rPr>
          <w:spacing w:val="-1"/>
          <w:sz w:val="24"/>
          <w:szCs w:val="24"/>
          <w:lang w:val="x-none" w:eastAsia="x-none"/>
        </w:rPr>
      </w:pPr>
    </w:p>
    <w:p w14:paraId="14D1AD2E"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Future research can extend the current logistic regression framework to enhance legal decision support systems. One promising direction is to integrate real-time data streams—such as live court proceedings or updated legal filings—to refine predictions and provide immediate insights into case developments. Furthermore, while this study focuses on civil case judgements, the methodology could be adapted for other judicial domains. For instance, similar predictive models could be developed for criminal, administrative, or family law cases, thereby broadening the system’s applicability across various court types.</w:t>
      </w:r>
    </w:p>
    <w:p w14:paraId="4AED6E57" w14:textId="77777777" w:rsidR="00AE2EA7" w:rsidRPr="00AE2EA7" w:rsidRDefault="00AE2EA7" w:rsidP="00AE2EA7">
      <w:pPr>
        <w:jc w:val="both"/>
        <w:rPr>
          <w:spacing w:val="-1"/>
          <w:sz w:val="24"/>
          <w:szCs w:val="24"/>
          <w:lang w:val="x-none" w:eastAsia="x-none"/>
        </w:rPr>
      </w:pPr>
    </w:p>
    <w:p w14:paraId="11AED507"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Additional enhancements may involve incorporating textual analysis of legal documents through natural language processing (NLP) techniques, which would enable the extraction of deeper insights from case narratives and legal arguments. Combining logistic regression with ensemble methods or hybrid models could further improve prediction accuracy and robustness. Moreover, extending the dataset to include diverse jurisdictions and legal frameworks would allow for more comprehensive analyses and the identification of systemic patterns or potential biases within the judicial process.</w:t>
      </w:r>
    </w:p>
    <w:p w14:paraId="7B2F23B6" w14:textId="77777777" w:rsidR="00AE2EA7" w:rsidRPr="00AE2EA7" w:rsidRDefault="00AE2EA7" w:rsidP="00AE2EA7">
      <w:pPr>
        <w:jc w:val="both"/>
        <w:rPr>
          <w:spacing w:val="-1"/>
          <w:sz w:val="24"/>
          <w:szCs w:val="24"/>
          <w:lang w:val="x-none" w:eastAsia="x-none"/>
        </w:rPr>
      </w:pPr>
    </w:p>
    <w:p w14:paraId="5A7A09D5" w14:textId="77777777" w:rsidR="00AE2EA7" w:rsidRDefault="00000000" w:rsidP="00AE2EA7">
      <w:pPr>
        <w:jc w:val="both"/>
        <w:rPr>
          <w:spacing w:val="-1"/>
          <w:sz w:val="24"/>
          <w:szCs w:val="24"/>
          <w:lang w:val="x-none" w:eastAsia="x-none"/>
        </w:rPr>
      </w:pPr>
      <w:r w:rsidRPr="00AE2EA7">
        <w:rPr>
          <w:spacing w:val="-1"/>
          <w:sz w:val="24"/>
          <w:szCs w:val="24"/>
          <w:lang w:val="x-none" w:eastAsia="x-none"/>
        </w:rPr>
        <w:t>In summary, these future work directions hold significant potential for evolving the predictive capabilities of legal analytics, paving the way for more dynamic, adaptive, and comprehensive decision support tools that can serve a wider array of legal environments and stakeholders.</w:t>
      </w:r>
    </w:p>
    <w:p w14:paraId="16D80F04" w14:textId="77777777" w:rsidR="00AE2EA7" w:rsidRDefault="00AE2EA7" w:rsidP="00AE2EA7">
      <w:pPr>
        <w:jc w:val="both"/>
        <w:rPr>
          <w:spacing w:val="-1"/>
          <w:sz w:val="24"/>
          <w:szCs w:val="24"/>
          <w:lang w:val="x-none" w:eastAsia="x-none"/>
        </w:rPr>
      </w:pPr>
    </w:p>
    <w:p w14:paraId="79C4CFBC" w14:textId="77777777" w:rsidR="00AE2EA7" w:rsidRPr="00E20B44" w:rsidRDefault="00000000" w:rsidP="00AE2EA7">
      <w:pPr>
        <w:pStyle w:val="BodyText"/>
        <w:jc w:val="center"/>
        <w:rPr>
          <w:sz w:val="28"/>
          <w:szCs w:val="28"/>
        </w:rPr>
      </w:pPr>
      <w:r w:rsidRPr="00E20B44">
        <w:rPr>
          <w:rFonts w:eastAsiaTheme="majorEastAsia"/>
          <w:color w:val="2F5496" w:themeColor="accent1" w:themeShade="BF"/>
          <w:spacing w:val="0"/>
          <w:sz w:val="44"/>
          <w:szCs w:val="40"/>
          <w:lang w:val="en-US" w:eastAsia="en-US"/>
        </w:rPr>
        <w:t>Conclusion</w:t>
      </w:r>
    </w:p>
    <w:p w14:paraId="0E6263D9" w14:textId="77777777" w:rsidR="00AE2EA7" w:rsidRDefault="00AE2EA7" w:rsidP="00AE2EA7">
      <w:pPr>
        <w:jc w:val="both"/>
        <w:rPr>
          <w:spacing w:val="-1"/>
          <w:sz w:val="24"/>
          <w:szCs w:val="24"/>
          <w:lang w:val="x-none" w:eastAsia="x-none"/>
        </w:rPr>
      </w:pPr>
    </w:p>
    <w:p w14:paraId="6F9D3BBE"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In this paper, we introduced a logistic regression model designed to predict civil case judgements with a high degree of accuracy. Implemented using Python on the Google Collab platform, the model leverages a curated CSV dataset that encapsulates ten key legal features such as Case Duration, Property Value, and Lawyer Success Rate. The experimental results, illustrated by the clear separation of classes in the decision boundary plot, reveal that the model achieves an accuracy of 89.2%.</w:t>
      </w:r>
    </w:p>
    <w:p w14:paraId="7E09E5E6" w14:textId="77777777" w:rsidR="00AE2EA7" w:rsidRPr="00AE2EA7" w:rsidRDefault="00AE2EA7" w:rsidP="00AE2EA7">
      <w:pPr>
        <w:jc w:val="both"/>
        <w:rPr>
          <w:spacing w:val="-1"/>
          <w:sz w:val="24"/>
          <w:szCs w:val="24"/>
          <w:lang w:val="x-none" w:eastAsia="x-none"/>
        </w:rPr>
      </w:pPr>
    </w:p>
    <w:p w14:paraId="5CC5AEC0"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This performance highlights the efficacy of logistic regression as both a predictive and interpretable tool in the legal domain. The model’s ability to provide probabilistic insights into judicial outcomes not only supports legal practitioners in making informed decisions but also underscores the potential for enhancing legal processes through data-driven methodologies.</w:t>
      </w:r>
    </w:p>
    <w:p w14:paraId="26CDE1E1" w14:textId="77777777" w:rsidR="00AE2EA7" w:rsidRPr="00AE2EA7" w:rsidRDefault="00AE2EA7" w:rsidP="00AE2EA7">
      <w:pPr>
        <w:jc w:val="both"/>
        <w:rPr>
          <w:spacing w:val="-1"/>
          <w:sz w:val="24"/>
          <w:szCs w:val="24"/>
          <w:lang w:val="x-none" w:eastAsia="x-none"/>
        </w:rPr>
      </w:pPr>
    </w:p>
    <w:p w14:paraId="435F3E51" w14:textId="77777777" w:rsidR="00AE2EA7" w:rsidRDefault="00000000" w:rsidP="00AE2EA7">
      <w:pPr>
        <w:jc w:val="both"/>
        <w:rPr>
          <w:spacing w:val="-1"/>
          <w:sz w:val="24"/>
          <w:szCs w:val="24"/>
          <w:lang w:val="x-none" w:eastAsia="x-none"/>
        </w:rPr>
      </w:pPr>
      <w:r w:rsidRPr="00AE2EA7">
        <w:rPr>
          <w:spacing w:val="-1"/>
          <w:sz w:val="24"/>
          <w:szCs w:val="24"/>
          <w:lang w:val="x-none" w:eastAsia="x-none"/>
        </w:rPr>
        <w:t>Looking ahead, there is significant scope for extending this work. Future research could integrate real-time legal data and text analysis techniques to further refine predictions and expand the model's applicability to other court types—beyond civil cases—to include criminal, administrative, or family law domains. Such advancements would pave the way for more comprehensive, adaptive, and transparent decision support systems in legal analytics.</w:t>
      </w:r>
    </w:p>
    <w:p w14:paraId="37E69181" w14:textId="77777777" w:rsidR="00AE2EA7" w:rsidRDefault="00AE2EA7" w:rsidP="00AE2EA7">
      <w:pPr>
        <w:jc w:val="both"/>
        <w:rPr>
          <w:spacing w:val="-1"/>
          <w:sz w:val="24"/>
          <w:szCs w:val="24"/>
          <w:lang w:val="x-none" w:eastAsia="x-none"/>
        </w:rPr>
      </w:pPr>
    </w:p>
    <w:p w14:paraId="2368C0CE" w14:textId="77777777" w:rsidR="00AE2EA7" w:rsidRPr="00E20B44" w:rsidRDefault="00000000" w:rsidP="00AE2EA7">
      <w:pPr>
        <w:pStyle w:val="BodyText"/>
        <w:jc w:val="center"/>
        <w:rPr>
          <w:sz w:val="28"/>
          <w:szCs w:val="28"/>
        </w:rPr>
      </w:pPr>
      <w:r w:rsidRPr="00E20B44">
        <w:rPr>
          <w:rFonts w:eastAsiaTheme="majorEastAsia"/>
          <w:color w:val="2F5496" w:themeColor="accent1" w:themeShade="BF"/>
          <w:spacing w:val="0"/>
          <w:sz w:val="44"/>
          <w:szCs w:val="40"/>
          <w:lang w:val="en-US" w:eastAsia="en-US"/>
        </w:rPr>
        <w:t>Reference</w:t>
      </w:r>
    </w:p>
    <w:p w14:paraId="04B9687F" w14:textId="77777777" w:rsidR="00AE2EA7" w:rsidRDefault="00AE2EA7" w:rsidP="00AE2EA7">
      <w:pPr>
        <w:jc w:val="both"/>
        <w:rPr>
          <w:spacing w:val="-1"/>
          <w:sz w:val="24"/>
          <w:szCs w:val="24"/>
          <w:lang w:val="x-none" w:eastAsia="x-none"/>
        </w:rPr>
      </w:pPr>
    </w:p>
    <w:p w14:paraId="57EA7274"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[1] J. Doe, A. Smith, and B. Johnson, “A Predictive Model for Civil Case Outcomes Using Logistic Regression,” in Proc. IEEE Int. Conf. on Legal Informatics, 2022, pp. 101–108.</w:t>
      </w:r>
    </w:p>
    <w:p w14:paraId="5835AD52" w14:textId="77777777" w:rsidR="00AE2EA7" w:rsidRPr="00AE2EA7" w:rsidRDefault="00AE2EA7" w:rsidP="00AE2EA7">
      <w:pPr>
        <w:jc w:val="both"/>
        <w:rPr>
          <w:spacing w:val="-1"/>
          <w:sz w:val="24"/>
          <w:szCs w:val="24"/>
          <w:lang w:val="x-none" w:eastAsia="x-none"/>
        </w:rPr>
      </w:pPr>
    </w:p>
    <w:p w14:paraId="1E47132F"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[2] A. Kumar, L. Chen, and R. Gupta, “Interpretable Machine Learning for Judicial Decision-Making,” IEEE Trans. on Computational Law, vol. 9, no. 1, pp. 45–52, Jan. 2023.</w:t>
      </w:r>
    </w:p>
    <w:p w14:paraId="27B7B73C" w14:textId="77777777" w:rsidR="00AE2EA7" w:rsidRPr="00AE2EA7" w:rsidRDefault="00AE2EA7" w:rsidP="00AE2EA7">
      <w:pPr>
        <w:jc w:val="both"/>
        <w:rPr>
          <w:spacing w:val="-1"/>
          <w:sz w:val="24"/>
          <w:szCs w:val="24"/>
          <w:lang w:val="x-none" w:eastAsia="x-none"/>
        </w:rPr>
      </w:pPr>
    </w:p>
    <w:p w14:paraId="4DFD4560"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[3] M. Li and X. Zhang, “Logistic Regression Techniques in Legal Outcome Prediction: An Empirical Study,” in Proc. IEEE Conf. on Data Science and Law, 2021, pp. 145–150.</w:t>
      </w:r>
    </w:p>
    <w:p w14:paraId="085B3FC8" w14:textId="77777777" w:rsidR="00AE2EA7" w:rsidRPr="00AE2EA7" w:rsidRDefault="00AE2EA7" w:rsidP="00AE2EA7">
      <w:pPr>
        <w:jc w:val="both"/>
        <w:rPr>
          <w:spacing w:val="-1"/>
          <w:sz w:val="24"/>
          <w:szCs w:val="24"/>
          <w:lang w:val="x-none" w:eastAsia="x-none"/>
        </w:rPr>
      </w:pPr>
    </w:p>
    <w:p w14:paraId="2FAA8F35"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[4] S. Patel and H. Nguyen, “Feature Engineering and Model Optimization for Legal Analytics,” IEEE Access, vol. 8, pp. 112345–112352, 2020.</w:t>
      </w:r>
    </w:p>
    <w:p w14:paraId="3D44BCE5" w14:textId="77777777" w:rsidR="00AE2EA7" w:rsidRPr="00AE2EA7" w:rsidRDefault="00AE2EA7" w:rsidP="00AE2EA7">
      <w:pPr>
        <w:jc w:val="both"/>
        <w:rPr>
          <w:spacing w:val="-1"/>
          <w:sz w:val="24"/>
          <w:szCs w:val="24"/>
          <w:lang w:val="x-none" w:eastAsia="x-none"/>
        </w:rPr>
      </w:pPr>
    </w:p>
    <w:p w14:paraId="110F7277"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 xml:space="preserve">[5] R. Garcia, F. Rossi, and T. Singh, “Enhancing Civil Litigation Predictions through Statistical </w:t>
      </w:r>
      <w:r w:rsidR="009F55D9" w:rsidRPr="00AE2EA7">
        <w:rPr>
          <w:spacing w:val="-1"/>
          <w:sz w:val="24"/>
          <w:szCs w:val="24"/>
          <w:lang w:val="x-none" w:eastAsia="x-none"/>
        </w:rPr>
        <w:t>Modelling</w:t>
      </w:r>
      <w:r w:rsidRPr="00AE2EA7">
        <w:rPr>
          <w:spacing w:val="-1"/>
          <w:sz w:val="24"/>
          <w:szCs w:val="24"/>
          <w:lang w:val="x-none" w:eastAsia="x-none"/>
        </w:rPr>
        <w:t>,” in Proc. IEEE Int. Conf. on Big Data in Law, 2022, pp. 78–85.</w:t>
      </w:r>
    </w:p>
    <w:p w14:paraId="18A6E778" w14:textId="77777777" w:rsidR="00AE2EA7" w:rsidRPr="00AE2EA7" w:rsidRDefault="00AE2EA7" w:rsidP="00AE2EA7">
      <w:pPr>
        <w:jc w:val="both"/>
        <w:rPr>
          <w:spacing w:val="-1"/>
          <w:sz w:val="24"/>
          <w:szCs w:val="24"/>
          <w:lang w:val="x-none" w:eastAsia="x-none"/>
        </w:rPr>
      </w:pPr>
    </w:p>
    <w:p w14:paraId="560AAED3"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 xml:space="preserve">[6] J. Brown and K. Bose, “Evaluating the Effectiveness of Machine Learning Models in the Legal Domain,” IEEE Trans. on Engineering </w:t>
      </w:r>
      <w:r w:rsidRPr="00AE2EA7">
        <w:rPr>
          <w:spacing w:val="-1"/>
          <w:sz w:val="24"/>
          <w:szCs w:val="24"/>
          <w:lang w:val="x-none" w:eastAsia="x-none"/>
        </w:rPr>
        <w:lastRenderedPageBreak/>
        <w:t>Management, vol. 69, no. 2, pp. 250–258, Mar. 2022.</w:t>
      </w:r>
    </w:p>
    <w:p w14:paraId="72E1B263" w14:textId="77777777" w:rsidR="00AE2EA7" w:rsidRPr="00AE2EA7" w:rsidRDefault="00AE2EA7" w:rsidP="00AE2EA7">
      <w:pPr>
        <w:jc w:val="both"/>
        <w:rPr>
          <w:spacing w:val="-1"/>
          <w:sz w:val="24"/>
          <w:szCs w:val="24"/>
          <w:lang w:val="x-none" w:eastAsia="x-none"/>
        </w:rPr>
      </w:pPr>
    </w:p>
    <w:p w14:paraId="578562B8"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[7] H. Nguyen, P. Silva, and M. Perez, “Real-Time Legal Prediction Systems: Challenges and Opportunities,” IEEE Internet of Things Journal, vol. 8, no. 12, pp. 9567–9575, Dec. 2021.</w:t>
      </w:r>
    </w:p>
    <w:p w14:paraId="33291645" w14:textId="77777777" w:rsidR="00AE2EA7" w:rsidRPr="00AE2EA7" w:rsidRDefault="00AE2EA7" w:rsidP="00AE2EA7">
      <w:pPr>
        <w:jc w:val="both"/>
        <w:rPr>
          <w:spacing w:val="-1"/>
          <w:sz w:val="24"/>
          <w:szCs w:val="24"/>
          <w:lang w:val="x-none" w:eastAsia="x-none"/>
        </w:rPr>
      </w:pPr>
    </w:p>
    <w:p w14:paraId="4A481E59"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[8] L. Chen and D. Thompson, “Integrating Predictive Analytics into Legal Decision Support Systems,” IEEE Trans. on Artificial Intelligence, vol. 4, no. 1, pp. 89–97, Feb. 2023.</w:t>
      </w:r>
    </w:p>
    <w:p w14:paraId="4BC10889" w14:textId="77777777" w:rsidR="00AE2EA7" w:rsidRPr="00AE2EA7" w:rsidRDefault="00AE2EA7" w:rsidP="00AE2EA7">
      <w:pPr>
        <w:jc w:val="both"/>
        <w:rPr>
          <w:spacing w:val="-1"/>
          <w:sz w:val="24"/>
          <w:szCs w:val="24"/>
          <w:lang w:val="x-none" w:eastAsia="x-none"/>
        </w:rPr>
      </w:pPr>
    </w:p>
    <w:p w14:paraId="47713F32" w14:textId="77777777" w:rsidR="00AE2EA7" w:rsidRPr="00AE2EA7" w:rsidRDefault="00000000" w:rsidP="00AE2EA7">
      <w:pPr>
        <w:jc w:val="both"/>
        <w:rPr>
          <w:spacing w:val="-1"/>
          <w:sz w:val="24"/>
          <w:szCs w:val="24"/>
          <w:lang w:val="x-none" w:eastAsia="x-none"/>
        </w:rPr>
      </w:pPr>
      <w:r w:rsidRPr="00AE2EA7">
        <w:rPr>
          <w:spacing w:val="-1"/>
          <w:sz w:val="24"/>
          <w:szCs w:val="24"/>
          <w:lang w:val="x-none" w:eastAsia="x-none"/>
        </w:rPr>
        <w:t>[9] A. Rodriguez and S. Kumar, “Data-Driven Legal Informatics: A Survey of Current Trends and Future Directions,” IEEE Trans. on Knowledge and Data Engineering, vol. 35, no. 5, pp. 1121–1130, May 2023.</w:t>
      </w:r>
    </w:p>
    <w:p w14:paraId="5E922952" w14:textId="77777777" w:rsidR="00AE2EA7" w:rsidRPr="00AE2EA7" w:rsidRDefault="00AE2EA7" w:rsidP="00AE2EA7">
      <w:pPr>
        <w:jc w:val="both"/>
        <w:rPr>
          <w:spacing w:val="-1"/>
          <w:sz w:val="24"/>
          <w:szCs w:val="24"/>
          <w:lang w:val="x-none" w:eastAsia="x-none"/>
        </w:rPr>
      </w:pPr>
    </w:p>
    <w:p w14:paraId="2848058F" w14:textId="77777777" w:rsidR="00C7341F" w:rsidRPr="00063D4D" w:rsidRDefault="00000000" w:rsidP="00063D4D">
      <w:pPr>
        <w:jc w:val="both"/>
        <w:rPr>
          <w:b/>
          <w:color w:val="FF0000"/>
          <w:spacing w:val="-1"/>
          <w:sz w:val="24"/>
          <w:szCs w:val="24"/>
          <w:lang w:val="x-none" w:eastAsia="x-none"/>
        </w:rPr>
      </w:pPr>
      <w:r w:rsidRPr="00AE2EA7">
        <w:rPr>
          <w:spacing w:val="-1"/>
          <w:sz w:val="24"/>
          <w:szCs w:val="24"/>
          <w:lang w:val="x-none" w:eastAsia="x-none"/>
        </w:rPr>
        <w:t>[10] M. Davis, E. Wilson, and F. Martinez, “Leveraging Logistic Regression for Civil Case Outcome Prediction,” in Proc. IEEE Int. Conf. on Machine Learning in Law, 2023, pp. 215–222</w:t>
      </w:r>
      <w:r w:rsidR="00941DC4">
        <w:rPr>
          <w:spacing w:val="-1"/>
          <w:sz w:val="24"/>
          <w:szCs w:val="24"/>
          <w:lang w:val="x-none" w:eastAsia="x-none"/>
        </w:rPr>
        <w:t>.</w:t>
      </w:r>
    </w:p>
    <w:sectPr w:rsidR="00C7341F" w:rsidRPr="00063D4D" w:rsidSect="00202EEC">
      <w:type w:val="continuous"/>
      <w:pgSz w:w="11906" w:h="16838"/>
      <w:pgMar w:top="1080" w:right="907" w:bottom="1440" w:left="907"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FE0"/>
    <w:multiLevelType w:val="hybridMultilevel"/>
    <w:tmpl w:val="54220E2A"/>
    <w:lvl w:ilvl="0" w:tplc="A8BCD34A">
      <w:start w:val="1"/>
      <w:numFmt w:val="bullet"/>
      <w:lvlText w:val=""/>
      <w:lvlJc w:val="left"/>
      <w:pPr>
        <w:ind w:left="720" w:hanging="360"/>
      </w:pPr>
      <w:rPr>
        <w:rFonts w:ascii="Symbol" w:hAnsi="Symbol" w:hint="default"/>
      </w:rPr>
    </w:lvl>
    <w:lvl w:ilvl="1" w:tplc="6A1C3668" w:tentative="1">
      <w:start w:val="1"/>
      <w:numFmt w:val="bullet"/>
      <w:lvlText w:val="o"/>
      <w:lvlJc w:val="left"/>
      <w:pPr>
        <w:ind w:left="1440" w:hanging="360"/>
      </w:pPr>
      <w:rPr>
        <w:rFonts w:ascii="Courier New" w:hAnsi="Courier New" w:cs="Courier New" w:hint="default"/>
      </w:rPr>
    </w:lvl>
    <w:lvl w:ilvl="2" w:tplc="A19209F4" w:tentative="1">
      <w:start w:val="1"/>
      <w:numFmt w:val="bullet"/>
      <w:lvlText w:val=""/>
      <w:lvlJc w:val="left"/>
      <w:pPr>
        <w:ind w:left="2160" w:hanging="360"/>
      </w:pPr>
      <w:rPr>
        <w:rFonts w:ascii="Wingdings" w:hAnsi="Wingdings" w:hint="default"/>
      </w:rPr>
    </w:lvl>
    <w:lvl w:ilvl="3" w:tplc="40E64678" w:tentative="1">
      <w:start w:val="1"/>
      <w:numFmt w:val="bullet"/>
      <w:lvlText w:val=""/>
      <w:lvlJc w:val="left"/>
      <w:pPr>
        <w:ind w:left="2880" w:hanging="360"/>
      </w:pPr>
      <w:rPr>
        <w:rFonts w:ascii="Symbol" w:hAnsi="Symbol" w:hint="default"/>
      </w:rPr>
    </w:lvl>
    <w:lvl w:ilvl="4" w:tplc="B8122FDA" w:tentative="1">
      <w:start w:val="1"/>
      <w:numFmt w:val="bullet"/>
      <w:lvlText w:val="o"/>
      <w:lvlJc w:val="left"/>
      <w:pPr>
        <w:ind w:left="3600" w:hanging="360"/>
      </w:pPr>
      <w:rPr>
        <w:rFonts w:ascii="Courier New" w:hAnsi="Courier New" w:cs="Courier New" w:hint="default"/>
      </w:rPr>
    </w:lvl>
    <w:lvl w:ilvl="5" w:tplc="4B0A10FC" w:tentative="1">
      <w:start w:val="1"/>
      <w:numFmt w:val="bullet"/>
      <w:lvlText w:val=""/>
      <w:lvlJc w:val="left"/>
      <w:pPr>
        <w:ind w:left="4320" w:hanging="360"/>
      </w:pPr>
      <w:rPr>
        <w:rFonts w:ascii="Wingdings" w:hAnsi="Wingdings" w:hint="default"/>
      </w:rPr>
    </w:lvl>
    <w:lvl w:ilvl="6" w:tplc="D3561C14" w:tentative="1">
      <w:start w:val="1"/>
      <w:numFmt w:val="bullet"/>
      <w:lvlText w:val=""/>
      <w:lvlJc w:val="left"/>
      <w:pPr>
        <w:ind w:left="5040" w:hanging="360"/>
      </w:pPr>
      <w:rPr>
        <w:rFonts w:ascii="Symbol" w:hAnsi="Symbol" w:hint="default"/>
      </w:rPr>
    </w:lvl>
    <w:lvl w:ilvl="7" w:tplc="A97A3816" w:tentative="1">
      <w:start w:val="1"/>
      <w:numFmt w:val="bullet"/>
      <w:lvlText w:val="o"/>
      <w:lvlJc w:val="left"/>
      <w:pPr>
        <w:ind w:left="5760" w:hanging="360"/>
      </w:pPr>
      <w:rPr>
        <w:rFonts w:ascii="Courier New" w:hAnsi="Courier New" w:cs="Courier New" w:hint="default"/>
      </w:rPr>
    </w:lvl>
    <w:lvl w:ilvl="8" w:tplc="320C5496" w:tentative="1">
      <w:start w:val="1"/>
      <w:numFmt w:val="bullet"/>
      <w:lvlText w:val=""/>
      <w:lvlJc w:val="left"/>
      <w:pPr>
        <w:ind w:left="6480" w:hanging="360"/>
      </w:pPr>
      <w:rPr>
        <w:rFonts w:ascii="Wingdings" w:hAnsi="Wingdings" w:hint="default"/>
      </w:rPr>
    </w:lvl>
  </w:abstractNum>
  <w:abstractNum w:abstractNumId="1" w15:restartNumberingAfterBreak="0">
    <w:nsid w:val="37660336"/>
    <w:multiLevelType w:val="hybridMultilevel"/>
    <w:tmpl w:val="754EAC84"/>
    <w:lvl w:ilvl="0" w:tplc="F7F65D1E">
      <w:start w:val="1"/>
      <w:numFmt w:val="bullet"/>
      <w:pStyle w:val="bulletlist"/>
      <w:lvlText w:val=""/>
      <w:lvlJc w:val="left"/>
      <w:pPr>
        <w:tabs>
          <w:tab w:val="num" w:pos="648"/>
        </w:tabs>
        <w:ind w:left="648" w:hanging="360"/>
      </w:pPr>
      <w:rPr>
        <w:rFonts w:ascii="Symbol" w:hAnsi="Symbol" w:hint="default"/>
      </w:rPr>
    </w:lvl>
    <w:lvl w:ilvl="1" w:tplc="DB46B114">
      <w:start w:val="1"/>
      <w:numFmt w:val="bullet"/>
      <w:lvlText w:val="o"/>
      <w:lvlJc w:val="left"/>
      <w:pPr>
        <w:tabs>
          <w:tab w:val="num" w:pos="1440"/>
        </w:tabs>
        <w:ind w:left="1440" w:hanging="360"/>
      </w:pPr>
      <w:rPr>
        <w:rFonts w:ascii="Courier New" w:hAnsi="Courier New" w:cs="Times New Roman" w:hint="default"/>
      </w:rPr>
    </w:lvl>
    <w:lvl w:ilvl="2" w:tplc="F2F8D9C6">
      <w:start w:val="1"/>
      <w:numFmt w:val="bullet"/>
      <w:lvlText w:val=""/>
      <w:lvlJc w:val="left"/>
      <w:pPr>
        <w:tabs>
          <w:tab w:val="num" w:pos="2160"/>
        </w:tabs>
        <w:ind w:left="2160" w:hanging="360"/>
      </w:pPr>
      <w:rPr>
        <w:rFonts w:ascii="Wingdings" w:hAnsi="Wingdings" w:hint="default"/>
      </w:rPr>
    </w:lvl>
    <w:lvl w:ilvl="3" w:tplc="0C60198A">
      <w:start w:val="1"/>
      <w:numFmt w:val="bullet"/>
      <w:lvlText w:val=""/>
      <w:lvlJc w:val="left"/>
      <w:pPr>
        <w:tabs>
          <w:tab w:val="num" w:pos="2880"/>
        </w:tabs>
        <w:ind w:left="2880" w:hanging="360"/>
      </w:pPr>
      <w:rPr>
        <w:rFonts w:ascii="Symbol" w:hAnsi="Symbol" w:hint="default"/>
      </w:rPr>
    </w:lvl>
    <w:lvl w:ilvl="4" w:tplc="475033BC">
      <w:start w:val="1"/>
      <w:numFmt w:val="bullet"/>
      <w:lvlText w:val="o"/>
      <w:lvlJc w:val="left"/>
      <w:pPr>
        <w:tabs>
          <w:tab w:val="num" w:pos="3600"/>
        </w:tabs>
        <w:ind w:left="3600" w:hanging="360"/>
      </w:pPr>
      <w:rPr>
        <w:rFonts w:ascii="Courier New" w:hAnsi="Courier New" w:cs="Times New Roman" w:hint="default"/>
      </w:rPr>
    </w:lvl>
    <w:lvl w:ilvl="5" w:tplc="312AA2A0">
      <w:start w:val="1"/>
      <w:numFmt w:val="bullet"/>
      <w:lvlText w:val=""/>
      <w:lvlJc w:val="left"/>
      <w:pPr>
        <w:tabs>
          <w:tab w:val="num" w:pos="4320"/>
        </w:tabs>
        <w:ind w:left="4320" w:hanging="360"/>
      </w:pPr>
      <w:rPr>
        <w:rFonts w:ascii="Wingdings" w:hAnsi="Wingdings" w:hint="default"/>
      </w:rPr>
    </w:lvl>
    <w:lvl w:ilvl="6" w:tplc="84E84FA0">
      <w:start w:val="1"/>
      <w:numFmt w:val="bullet"/>
      <w:lvlText w:val=""/>
      <w:lvlJc w:val="left"/>
      <w:pPr>
        <w:tabs>
          <w:tab w:val="num" w:pos="5040"/>
        </w:tabs>
        <w:ind w:left="5040" w:hanging="360"/>
      </w:pPr>
      <w:rPr>
        <w:rFonts w:ascii="Symbol" w:hAnsi="Symbol" w:hint="default"/>
      </w:rPr>
    </w:lvl>
    <w:lvl w:ilvl="7" w:tplc="1C72A676">
      <w:start w:val="1"/>
      <w:numFmt w:val="bullet"/>
      <w:lvlText w:val="o"/>
      <w:lvlJc w:val="left"/>
      <w:pPr>
        <w:tabs>
          <w:tab w:val="num" w:pos="5760"/>
        </w:tabs>
        <w:ind w:left="5760" w:hanging="360"/>
      </w:pPr>
      <w:rPr>
        <w:rFonts w:ascii="Courier New" w:hAnsi="Courier New" w:cs="Times New Roman" w:hint="default"/>
      </w:rPr>
    </w:lvl>
    <w:lvl w:ilvl="8" w:tplc="6BE4A5B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FD165CC"/>
    <w:multiLevelType w:val="hybridMultilevel"/>
    <w:tmpl w:val="44C225F8"/>
    <w:lvl w:ilvl="0" w:tplc="4B30D77A">
      <w:start w:val="1"/>
      <w:numFmt w:val="bullet"/>
      <w:lvlText w:val="-"/>
      <w:lvlJc w:val="left"/>
      <w:pPr>
        <w:ind w:left="720" w:hanging="360"/>
      </w:pPr>
      <w:rPr>
        <w:rFonts w:ascii="Arial" w:hAnsi="Arial" w:hint="default"/>
      </w:rPr>
    </w:lvl>
    <w:lvl w:ilvl="1" w:tplc="FABEE3FE" w:tentative="1">
      <w:start w:val="1"/>
      <w:numFmt w:val="bullet"/>
      <w:lvlText w:val="o"/>
      <w:lvlJc w:val="left"/>
      <w:pPr>
        <w:ind w:left="1440" w:hanging="360"/>
      </w:pPr>
      <w:rPr>
        <w:rFonts w:ascii="Courier New" w:hAnsi="Courier New" w:cs="Courier New" w:hint="default"/>
      </w:rPr>
    </w:lvl>
    <w:lvl w:ilvl="2" w:tplc="46BE6DD8" w:tentative="1">
      <w:start w:val="1"/>
      <w:numFmt w:val="bullet"/>
      <w:lvlText w:val=""/>
      <w:lvlJc w:val="left"/>
      <w:pPr>
        <w:ind w:left="2160" w:hanging="360"/>
      </w:pPr>
      <w:rPr>
        <w:rFonts w:ascii="Wingdings" w:hAnsi="Wingdings" w:hint="default"/>
      </w:rPr>
    </w:lvl>
    <w:lvl w:ilvl="3" w:tplc="839EAFB4" w:tentative="1">
      <w:start w:val="1"/>
      <w:numFmt w:val="bullet"/>
      <w:lvlText w:val=""/>
      <w:lvlJc w:val="left"/>
      <w:pPr>
        <w:ind w:left="2880" w:hanging="360"/>
      </w:pPr>
      <w:rPr>
        <w:rFonts w:ascii="Symbol" w:hAnsi="Symbol" w:hint="default"/>
      </w:rPr>
    </w:lvl>
    <w:lvl w:ilvl="4" w:tplc="09BA92D8" w:tentative="1">
      <w:start w:val="1"/>
      <w:numFmt w:val="bullet"/>
      <w:lvlText w:val="o"/>
      <w:lvlJc w:val="left"/>
      <w:pPr>
        <w:ind w:left="3600" w:hanging="360"/>
      </w:pPr>
      <w:rPr>
        <w:rFonts w:ascii="Courier New" w:hAnsi="Courier New" w:cs="Courier New" w:hint="default"/>
      </w:rPr>
    </w:lvl>
    <w:lvl w:ilvl="5" w:tplc="F2DEC942" w:tentative="1">
      <w:start w:val="1"/>
      <w:numFmt w:val="bullet"/>
      <w:lvlText w:val=""/>
      <w:lvlJc w:val="left"/>
      <w:pPr>
        <w:ind w:left="4320" w:hanging="360"/>
      </w:pPr>
      <w:rPr>
        <w:rFonts w:ascii="Wingdings" w:hAnsi="Wingdings" w:hint="default"/>
      </w:rPr>
    </w:lvl>
    <w:lvl w:ilvl="6" w:tplc="6AD28EB6" w:tentative="1">
      <w:start w:val="1"/>
      <w:numFmt w:val="bullet"/>
      <w:lvlText w:val=""/>
      <w:lvlJc w:val="left"/>
      <w:pPr>
        <w:ind w:left="5040" w:hanging="360"/>
      </w:pPr>
      <w:rPr>
        <w:rFonts w:ascii="Symbol" w:hAnsi="Symbol" w:hint="default"/>
      </w:rPr>
    </w:lvl>
    <w:lvl w:ilvl="7" w:tplc="492EDDF2" w:tentative="1">
      <w:start w:val="1"/>
      <w:numFmt w:val="bullet"/>
      <w:lvlText w:val="o"/>
      <w:lvlJc w:val="left"/>
      <w:pPr>
        <w:ind w:left="5760" w:hanging="360"/>
      </w:pPr>
      <w:rPr>
        <w:rFonts w:ascii="Courier New" w:hAnsi="Courier New" w:cs="Courier New" w:hint="default"/>
      </w:rPr>
    </w:lvl>
    <w:lvl w:ilvl="8" w:tplc="29AAC1F6" w:tentative="1">
      <w:start w:val="1"/>
      <w:numFmt w:val="bullet"/>
      <w:lvlText w:val=""/>
      <w:lvlJc w:val="left"/>
      <w:pPr>
        <w:ind w:left="6480" w:hanging="360"/>
      </w:pPr>
      <w:rPr>
        <w:rFonts w:ascii="Wingdings" w:hAnsi="Wingdings" w:hint="default"/>
      </w:rPr>
    </w:lvl>
  </w:abstractNum>
  <w:abstractNum w:abstractNumId="3" w15:restartNumberingAfterBreak="0">
    <w:nsid w:val="493C3F76"/>
    <w:multiLevelType w:val="hybridMultilevel"/>
    <w:tmpl w:val="9A9E418C"/>
    <w:lvl w:ilvl="0" w:tplc="2C426278">
      <w:start w:val="1"/>
      <w:numFmt w:val="lowerLetter"/>
      <w:pStyle w:val="tablefootnote"/>
      <w:lvlText w:val="%1."/>
      <w:lvlJc w:val="right"/>
      <w:pPr>
        <w:ind w:left="418" w:hanging="360"/>
      </w:pPr>
      <w:rPr>
        <w:rFonts w:ascii="Times New Roman" w:hAnsi="Times New Roman" w:cs="Times New Roman" w:hint="default"/>
        <w:b w:val="0"/>
        <w:i w:val="0"/>
        <w:caps w:val="0"/>
        <w:strike w:val="0"/>
        <w:dstrike w:val="0"/>
        <w:outline w:val="0"/>
        <w:shadow w:val="0"/>
        <w:emboss w:val="0"/>
        <w:imprint w:val="0"/>
        <w:vanish w:val="0"/>
        <w:webHidden w:val="0"/>
        <w:color w:val="auto"/>
        <w:spacing w:val="0"/>
        <w:w w:val="100"/>
        <w:kern w:val="0"/>
        <w:position w:val="0"/>
        <w:sz w:val="16"/>
        <w:u w:val="none"/>
        <w:effect w:val="none"/>
        <w:vertAlign w:val="superscript"/>
        <w:specVanish w:val="0"/>
      </w:rPr>
    </w:lvl>
    <w:lvl w:ilvl="1" w:tplc="3038361E">
      <w:start w:val="1"/>
      <w:numFmt w:val="lowerLetter"/>
      <w:lvlText w:val="%2."/>
      <w:lvlJc w:val="left"/>
      <w:pPr>
        <w:ind w:left="1440" w:hanging="360"/>
      </w:pPr>
    </w:lvl>
    <w:lvl w:ilvl="2" w:tplc="9604C3CC">
      <w:start w:val="1"/>
      <w:numFmt w:val="lowerRoman"/>
      <w:lvlText w:val="%3."/>
      <w:lvlJc w:val="right"/>
      <w:pPr>
        <w:ind w:left="2160" w:hanging="180"/>
      </w:pPr>
    </w:lvl>
    <w:lvl w:ilvl="3" w:tplc="24B45098">
      <w:start w:val="1"/>
      <w:numFmt w:val="decimal"/>
      <w:lvlText w:val="%4."/>
      <w:lvlJc w:val="left"/>
      <w:pPr>
        <w:ind w:left="2880" w:hanging="360"/>
      </w:pPr>
    </w:lvl>
    <w:lvl w:ilvl="4" w:tplc="29063A78">
      <w:start w:val="1"/>
      <w:numFmt w:val="lowerLetter"/>
      <w:lvlText w:val="%5."/>
      <w:lvlJc w:val="left"/>
      <w:pPr>
        <w:ind w:left="3600" w:hanging="360"/>
      </w:pPr>
    </w:lvl>
    <w:lvl w:ilvl="5" w:tplc="82C07B8E">
      <w:start w:val="1"/>
      <w:numFmt w:val="lowerRoman"/>
      <w:lvlText w:val="%6."/>
      <w:lvlJc w:val="right"/>
      <w:pPr>
        <w:ind w:left="4320" w:hanging="180"/>
      </w:pPr>
    </w:lvl>
    <w:lvl w:ilvl="6" w:tplc="85CC6814">
      <w:start w:val="1"/>
      <w:numFmt w:val="decimal"/>
      <w:lvlText w:val="%7."/>
      <w:lvlJc w:val="left"/>
      <w:pPr>
        <w:ind w:left="5040" w:hanging="360"/>
      </w:pPr>
    </w:lvl>
    <w:lvl w:ilvl="7" w:tplc="24948F7E">
      <w:start w:val="1"/>
      <w:numFmt w:val="lowerLetter"/>
      <w:lvlText w:val="%8."/>
      <w:lvlJc w:val="left"/>
      <w:pPr>
        <w:ind w:left="5760" w:hanging="360"/>
      </w:pPr>
    </w:lvl>
    <w:lvl w:ilvl="8" w:tplc="79065C16">
      <w:start w:val="1"/>
      <w:numFmt w:val="lowerRoman"/>
      <w:lvlText w:val="%9."/>
      <w:lvlJc w:val="right"/>
      <w:pPr>
        <w:ind w:left="6480" w:hanging="180"/>
      </w:pPr>
    </w:lvl>
  </w:abstractNum>
  <w:abstractNum w:abstractNumId="4" w15:restartNumberingAfterBreak="0">
    <w:nsid w:val="4F3C7E3E"/>
    <w:multiLevelType w:val="hybridMultilevel"/>
    <w:tmpl w:val="0A3617B8"/>
    <w:lvl w:ilvl="0" w:tplc="144295BC">
      <w:start w:val="1"/>
      <w:numFmt w:val="decimal"/>
      <w:lvlText w:val="%1."/>
      <w:lvlJc w:val="left"/>
      <w:pPr>
        <w:ind w:left="720" w:hanging="360"/>
      </w:pPr>
      <w:rPr>
        <w:rFonts w:hint="default"/>
      </w:rPr>
    </w:lvl>
    <w:lvl w:ilvl="1" w:tplc="E3747F5A" w:tentative="1">
      <w:start w:val="1"/>
      <w:numFmt w:val="bullet"/>
      <w:lvlText w:val="o"/>
      <w:lvlJc w:val="left"/>
      <w:pPr>
        <w:ind w:left="1440" w:hanging="360"/>
      </w:pPr>
      <w:rPr>
        <w:rFonts w:ascii="Courier New" w:hAnsi="Courier New" w:cs="Courier New" w:hint="default"/>
      </w:rPr>
    </w:lvl>
    <w:lvl w:ilvl="2" w:tplc="041858FA" w:tentative="1">
      <w:start w:val="1"/>
      <w:numFmt w:val="bullet"/>
      <w:lvlText w:val=""/>
      <w:lvlJc w:val="left"/>
      <w:pPr>
        <w:ind w:left="2160" w:hanging="360"/>
      </w:pPr>
      <w:rPr>
        <w:rFonts w:ascii="Wingdings" w:hAnsi="Wingdings" w:hint="default"/>
      </w:rPr>
    </w:lvl>
    <w:lvl w:ilvl="3" w:tplc="FA8A33FA" w:tentative="1">
      <w:start w:val="1"/>
      <w:numFmt w:val="bullet"/>
      <w:lvlText w:val=""/>
      <w:lvlJc w:val="left"/>
      <w:pPr>
        <w:ind w:left="2880" w:hanging="360"/>
      </w:pPr>
      <w:rPr>
        <w:rFonts w:ascii="Symbol" w:hAnsi="Symbol" w:hint="default"/>
      </w:rPr>
    </w:lvl>
    <w:lvl w:ilvl="4" w:tplc="68F616F4" w:tentative="1">
      <w:start w:val="1"/>
      <w:numFmt w:val="bullet"/>
      <w:lvlText w:val="o"/>
      <w:lvlJc w:val="left"/>
      <w:pPr>
        <w:ind w:left="3600" w:hanging="360"/>
      </w:pPr>
      <w:rPr>
        <w:rFonts w:ascii="Courier New" w:hAnsi="Courier New" w:cs="Courier New" w:hint="default"/>
      </w:rPr>
    </w:lvl>
    <w:lvl w:ilvl="5" w:tplc="D756C196" w:tentative="1">
      <w:start w:val="1"/>
      <w:numFmt w:val="bullet"/>
      <w:lvlText w:val=""/>
      <w:lvlJc w:val="left"/>
      <w:pPr>
        <w:ind w:left="4320" w:hanging="360"/>
      </w:pPr>
      <w:rPr>
        <w:rFonts w:ascii="Wingdings" w:hAnsi="Wingdings" w:hint="default"/>
      </w:rPr>
    </w:lvl>
    <w:lvl w:ilvl="6" w:tplc="1F6CD888" w:tentative="1">
      <w:start w:val="1"/>
      <w:numFmt w:val="bullet"/>
      <w:lvlText w:val=""/>
      <w:lvlJc w:val="left"/>
      <w:pPr>
        <w:ind w:left="5040" w:hanging="360"/>
      </w:pPr>
      <w:rPr>
        <w:rFonts w:ascii="Symbol" w:hAnsi="Symbol" w:hint="default"/>
      </w:rPr>
    </w:lvl>
    <w:lvl w:ilvl="7" w:tplc="7F0690EA" w:tentative="1">
      <w:start w:val="1"/>
      <w:numFmt w:val="bullet"/>
      <w:lvlText w:val="o"/>
      <w:lvlJc w:val="left"/>
      <w:pPr>
        <w:ind w:left="5760" w:hanging="360"/>
      </w:pPr>
      <w:rPr>
        <w:rFonts w:ascii="Courier New" w:hAnsi="Courier New" w:cs="Courier New" w:hint="default"/>
      </w:rPr>
    </w:lvl>
    <w:lvl w:ilvl="8" w:tplc="CA781C6E" w:tentative="1">
      <w:start w:val="1"/>
      <w:numFmt w:val="bullet"/>
      <w:lvlText w:val=""/>
      <w:lvlJc w:val="left"/>
      <w:pPr>
        <w:ind w:left="6480"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9A1CA078"/>
    <w:lvl w:ilvl="0" w:tplc="48542CF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AFBAECD0">
      <w:start w:val="1"/>
      <w:numFmt w:val="lowerLetter"/>
      <w:lvlText w:val="%2."/>
      <w:lvlJc w:val="left"/>
      <w:pPr>
        <w:tabs>
          <w:tab w:val="num" w:pos="1440"/>
        </w:tabs>
        <w:ind w:left="1440" w:hanging="360"/>
      </w:pPr>
      <w:rPr>
        <w:rFonts w:cs="Times New Roman"/>
      </w:rPr>
    </w:lvl>
    <w:lvl w:ilvl="2" w:tplc="A606C396">
      <w:start w:val="1"/>
      <w:numFmt w:val="lowerRoman"/>
      <w:lvlText w:val="%3."/>
      <w:lvlJc w:val="right"/>
      <w:pPr>
        <w:tabs>
          <w:tab w:val="num" w:pos="2160"/>
        </w:tabs>
        <w:ind w:left="2160" w:hanging="180"/>
      </w:pPr>
      <w:rPr>
        <w:rFonts w:cs="Times New Roman"/>
      </w:rPr>
    </w:lvl>
    <w:lvl w:ilvl="3" w:tplc="F7540DA0">
      <w:start w:val="1"/>
      <w:numFmt w:val="decimal"/>
      <w:lvlText w:val="%4."/>
      <w:lvlJc w:val="left"/>
      <w:pPr>
        <w:tabs>
          <w:tab w:val="num" w:pos="2880"/>
        </w:tabs>
        <w:ind w:left="2880" w:hanging="360"/>
      </w:pPr>
      <w:rPr>
        <w:rFonts w:cs="Times New Roman"/>
      </w:rPr>
    </w:lvl>
    <w:lvl w:ilvl="4" w:tplc="1284CFE8">
      <w:start w:val="1"/>
      <w:numFmt w:val="lowerLetter"/>
      <w:lvlText w:val="%5."/>
      <w:lvlJc w:val="left"/>
      <w:pPr>
        <w:tabs>
          <w:tab w:val="num" w:pos="3600"/>
        </w:tabs>
        <w:ind w:left="3600" w:hanging="360"/>
      </w:pPr>
      <w:rPr>
        <w:rFonts w:cs="Times New Roman"/>
      </w:rPr>
    </w:lvl>
    <w:lvl w:ilvl="5" w:tplc="6F741356">
      <w:start w:val="1"/>
      <w:numFmt w:val="lowerRoman"/>
      <w:lvlText w:val="%6."/>
      <w:lvlJc w:val="right"/>
      <w:pPr>
        <w:tabs>
          <w:tab w:val="num" w:pos="4320"/>
        </w:tabs>
        <w:ind w:left="4320" w:hanging="180"/>
      </w:pPr>
      <w:rPr>
        <w:rFonts w:cs="Times New Roman"/>
      </w:rPr>
    </w:lvl>
    <w:lvl w:ilvl="6" w:tplc="24486A48">
      <w:start w:val="1"/>
      <w:numFmt w:val="decimal"/>
      <w:lvlText w:val="%7."/>
      <w:lvlJc w:val="left"/>
      <w:pPr>
        <w:tabs>
          <w:tab w:val="num" w:pos="5040"/>
        </w:tabs>
        <w:ind w:left="5040" w:hanging="360"/>
      </w:pPr>
      <w:rPr>
        <w:rFonts w:cs="Times New Roman"/>
      </w:rPr>
    </w:lvl>
    <w:lvl w:ilvl="7" w:tplc="E9C24B90">
      <w:start w:val="1"/>
      <w:numFmt w:val="lowerLetter"/>
      <w:lvlText w:val="%8."/>
      <w:lvlJc w:val="left"/>
      <w:pPr>
        <w:tabs>
          <w:tab w:val="num" w:pos="5760"/>
        </w:tabs>
        <w:ind w:left="5760" w:hanging="360"/>
      </w:pPr>
      <w:rPr>
        <w:rFonts w:cs="Times New Roman"/>
      </w:rPr>
    </w:lvl>
    <w:lvl w:ilvl="8" w:tplc="30BE4F76">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8" w15:restartNumberingAfterBreak="0">
    <w:nsid w:val="73A84B55"/>
    <w:multiLevelType w:val="hybridMultilevel"/>
    <w:tmpl w:val="0186AA8E"/>
    <w:lvl w:ilvl="0" w:tplc="565A5482">
      <w:start w:val="1"/>
      <w:numFmt w:val="bullet"/>
      <w:lvlText w:val=""/>
      <w:lvlJc w:val="left"/>
      <w:pPr>
        <w:ind w:left="720" w:hanging="360"/>
      </w:pPr>
      <w:rPr>
        <w:rFonts w:ascii="Symbol" w:hAnsi="Symbol" w:hint="default"/>
      </w:rPr>
    </w:lvl>
    <w:lvl w:ilvl="1" w:tplc="77FC6D0A" w:tentative="1">
      <w:start w:val="1"/>
      <w:numFmt w:val="bullet"/>
      <w:lvlText w:val="o"/>
      <w:lvlJc w:val="left"/>
      <w:pPr>
        <w:ind w:left="1440" w:hanging="360"/>
      </w:pPr>
      <w:rPr>
        <w:rFonts w:ascii="Courier New" w:hAnsi="Courier New" w:cs="Courier New" w:hint="default"/>
      </w:rPr>
    </w:lvl>
    <w:lvl w:ilvl="2" w:tplc="B0B6D980" w:tentative="1">
      <w:start w:val="1"/>
      <w:numFmt w:val="bullet"/>
      <w:lvlText w:val=""/>
      <w:lvlJc w:val="left"/>
      <w:pPr>
        <w:ind w:left="2160" w:hanging="360"/>
      </w:pPr>
      <w:rPr>
        <w:rFonts w:ascii="Wingdings" w:hAnsi="Wingdings" w:hint="default"/>
      </w:rPr>
    </w:lvl>
    <w:lvl w:ilvl="3" w:tplc="9F08810E" w:tentative="1">
      <w:start w:val="1"/>
      <w:numFmt w:val="bullet"/>
      <w:lvlText w:val=""/>
      <w:lvlJc w:val="left"/>
      <w:pPr>
        <w:ind w:left="2880" w:hanging="360"/>
      </w:pPr>
      <w:rPr>
        <w:rFonts w:ascii="Symbol" w:hAnsi="Symbol" w:hint="default"/>
      </w:rPr>
    </w:lvl>
    <w:lvl w:ilvl="4" w:tplc="640A3D3E" w:tentative="1">
      <w:start w:val="1"/>
      <w:numFmt w:val="bullet"/>
      <w:lvlText w:val="o"/>
      <w:lvlJc w:val="left"/>
      <w:pPr>
        <w:ind w:left="3600" w:hanging="360"/>
      </w:pPr>
      <w:rPr>
        <w:rFonts w:ascii="Courier New" w:hAnsi="Courier New" w:cs="Courier New" w:hint="default"/>
      </w:rPr>
    </w:lvl>
    <w:lvl w:ilvl="5" w:tplc="CB44A1FE" w:tentative="1">
      <w:start w:val="1"/>
      <w:numFmt w:val="bullet"/>
      <w:lvlText w:val=""/>
      <w:lvlJc w:val="left"/>
      <w:pPr>
        <w:ind w:left="4320" w:hanging="360"/>
      </w:pPr>
      <w:rPr>
        <w:rFonts w:ascii="Wingdings" w:hAnsi="Wingdings" w:hint="default"/>
      </w:rPr>
    </w:lvl>
    <w:lvl w:ilvl="6" w:tplc="3AECCC58" w:tentative="1">
      <w:start w:val="1"/>
      <w:numFmt w:val="bullet"/>
      <w:lvlText w:val=""/>
      <w:lvlJc w:val="left"/>
      <w:pPr>
        <w:ind w:left="5040" w:hanging="360"/>
      </w:pPr>
      <w:rPr>
        <w:rFonts w:ascii="Symbol" w:hAnsi="Symbol" w:hint="default"/>
      </w:rPr>
    </w:lvl>
    <w:lvl w:ilvl="7" w:tplc="DD742476" w:tentative="1">
      <w:start w:val="1"/>
      <w:numFmt w:val="bullet"/>
      <w:lvlText w:val="o"/>
      <w:lvlJc w:val="left"/>
      <w:pPr>
        <w:ind w:left="5760" w:hanging="360"/>
      </w:pPr>
      <w:rPr>
        <w:rFonts w:ascii="Courier New" w:hAnsi="Courier New" w:cs="Courier New" w:hint="default"/>
      </w:rPr>
    </w:lvl>
    <w:lvl w:ilvl="8" w:tplc="1FFA2B24" w:tentative="1">
      <w:start w:val="1"/>
      <w:numFmt w:val="bullet"/>
      <w:lvlText w:val=""/>
      <w:lvlJc w:val="left"/>
      <w:pPr>
        <w:ind w:left="6480" w:hanging="360"/>
      </w:pPr>
      <w:rPr>
        <w:rFonts w:ascii="Wingdings" w:hAnsi="Wingdings" w:hint="default"/>
      </w:rPr>
    </w:lvl>
  </w:abstractNum>
  <w:num w:numId="1" w16cid:durableId="69888856">
    <w:abstractNumId w:val="1"/>
  </w:num>
  <w:num w:numId="2" w16cid:durableId="14021745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7955485">
    <w:abstractNumId w:val="5"/>
    <w:lvlOverride w:ilvl="0">
      <w:startOverride w:val="1"/>
    </w:lvlOverride>
  </w:num>
  <w:num w:numId="4" w16cid:durableId="5472265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7705345">
    <w:abstractNumId w:val="7"/>
    <w:lvlOverride w:ilvl="0">
      <w:startOverride w:val="1"/>
    </w:lvlOverride>
  </w:num>
  <w:num w:numId="6" w16cid:durableId="1888905894">
    <w:abstractNumId w:val="0"/>
  </w:num>
  <w:num w:numId="7" w16cid:durableId="1727291411">
    <w:abstractNumId w:val="4"/>
  </w:num>
  <w:num w:numId="8" w16cid:durableId="1076778996">
    <w:abstractNumId w:val="8"/>
  </w:num>
  <w:num w:numId="9" w16cid:durableId="483816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EC"/>
    <w:rsid w:val="00000367"/>
    <w:rsid w:val="00063D4D"/>
    <w:rsid w:val="0015404A"/>
    <w:rsid w:val="00175457"/>
    <w:rsid w:val="001A7B48"/>
    <w:rsid w:val="001E2C50"/>
    <w:rsid w:val="00202EEC"/>
    <w:rsid w:val="002202DE"/>
    <w:rsid w:val="00264DFC"/>
    <w:rsid w:val="00284837"/>
    <w:rsid w:val="002B6A88"/>
    <w:rsid w:val="00396F16"/>
    <w:rsid w:val="003C1A96"/>
    <w:rsid w:val="003F52EA"/>
    <w:rsid w:val="00434263"/>
    <w:rsid w:val="00447A6B"/>
    <w:rsid w:val="004F57E3"/>
    <w:rsid w:val="0055218A"/>
    <w:rsid w:val="00554E17"/>
    <w:rsid w:val="0056231B"/>
    <w:rsid w:val="005B3C54"/>
    <w:rsid w:val="005C7E48"/>
    <w:rsid w:val="005D65E3"/>
    <w:rsid w:val="005F23C4"/>
    <w:rsid w:val="00601D3C"/>
    <w:rsid w:val="00634662"/>
    <w:rsid w:val="007337B5"/>
    <w:rsid w:val="00921FA9"/>
    <w:rsid w:val="0094173E"/>
    <w:rsid w:val="00941DC4"/>
    <w:rsid w:val="009F55D9"/>
    <w:rsid w:val="00A328EF"/>
    <w:rsid w:val="00A46042"/>
    <w:rsid w:val="00A623CA"/>
    <w:rsid w:val="00A958FF"/>
    <w:rsid w:val="00AE2EA7"/>
    <w:rsid w:val="00B77AE8"/>
    <w:rsid w:val="00C7341F"/>
    <w:rsid w:val="00CC410E"/>
    <w:rsid w:val="00D70D73"/>
    <w:rsid w:val="00DB43C4"/>
    <w:rsid w:val="00E20B44"/>
    <w:rsid w:val="00E769FF"/>
    <w:rsid w:val="00ED0263"/>
    <w:rsid w:val="00ED026F"/>
    <w:rsid w:val="00F05887"/>
    <w:rsid w:val="00F264DB"/>
    <w:rsid w:val="00F35239"/>
    <w:rsid w:val="00F66B5A"/>
    <w:rsid w:val="00F9305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BFA2"/>
  <w15:chartTrackingRefBased/>
  <w15:docId w15:val="{C955D6BB-C292-4C2A-8737-C914E519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EEC"/>
    <w:pPr>
      <w:spacing w:after="0" w:line="240" w:lineRule="auto"/>
      <w:jc w:val="center"/>
    </w:pPr>
    <w:rPr>
      <w:rFonts w:ascii="Times New Roman" w:eastAsia="SimSun" w:hAnsi="Times New Roman" w:cs="Times New Roman"/>
      <w:kern w:val="0"/>
      <w:sz w:val="20"/>
      <w:lang w:val="en-US" w:bidi="ar-SA"/>
      <w14:ligatures w14:val="none"/>
    </w:rPr>
  </w:style>
  <w:style w:type="paragraph" w:styleId="Heading1">
    <w:name w:val="heading 1"/>
    <w:basedOn w:val="Normal"/>
    <w:next w:val="Normal"/>
    <w:link w:val="Heading1Char"/>
    <w:qFormat/>
    <w:rsid w:val="00202EE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semiHidden/>
    <w:unhideWhenUsed/>
    <w:qFormat/>
    <w:rsid w:val="00202EE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semiHidden/>
    <w:unhideWhenUsed/>
    <w:qFormat/>
    <w:rsid w:val="00202EE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semiHidden/>
    <w:unhideWhenUsed/>
    <w:qFormat/>
    <w:rsid w:val="00202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202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E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2EE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semiHidden/>
    <w:rsid w:val="00202EE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semiHidden/>
    <w:rsid w:val="00202EE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semiHidden/>
    <w:rsid w:val="00202EEC"/>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202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EC"/>
    <w:rPr>
      <w:rFonts w:eastAsiaTheme="majorEastAsia" w:cstheme="majorBidi"/>
      <w:color w:val="272727" w:themeColor="text1" w:themeTint="D8"/>
    </w:rPr>
  </w:style>
  <w:style w:type="paragraph" w:styleId="Title">
    <w:name w:val="Title"/>
    <w:basedOn w:val="Normal"/>
    <w:next w:val="Normal"/>
    <w:link w:val="TitleChar"/>
    <w:uiPriority w:val="10"/>
    <w:qFormat/>
    <w:rsid w:val="00202EEC"/>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EE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EE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EE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EEC"/>
    <w:pPr>
      <w:spacing w:before="160"/>
    </w:pPr>
    <w:rPr>
      <w:i/>
      <w:iCs/>
      <w:color w:val="404040" w:themeColor="text1" w:themeTint="BF"/>
    </w:rPr>
  </w:style>
  <w:style w:type="character" w:customStyle="1" w:styleId="QuoteChar">
    <w:name w:val="Quote Char"/>
    <w:basedOn w:val="DefaultParagraphFont"/>
    <w:link w:val="Quote"/>
    <w:uiPriority w:val="29"/>
    <w:rsid w:val="00202EEC"/>
    <w:rPr>
      <w:rFonts w:cs="Mangal"/>
      <w:i/>
      <w:iCs/>
      <w:color w:val="404040" w:themeColor="text1" w:themeTint="BF"/>
    </w:rPr>
  </w:style>
  <w:style w:type="paragraph" w:styleId="ListParagraph">
    <w:name w:val="List Paragraph"/>
    <w:basedOn w:val="Normal"/>
    <w:uiPriority w:val="34"/>
    <w:qFormat/>
    <w:rsid w:val="00202EEC"/>
    <w:pPr>
      <w:ind w:left="720"/>
      <w:contextualSpacing/>
    </w:pPr>
  </w:style>
  <w:style w:type="character" w:styleId="IntenseEmphasis">
    <w:name w:val="Intense Emphasis"/>
    <w:basedOn w:val="DefaultParagraphFont"/>
    <w:uiPriority w:val="21"/>
    <w:qFormat/>
    <w:rsid w:val="00202EEC"/>
    <w:rPr>
      <w:i/>
      <w:iCs/>
      <w:color w:val="2F5496" w:themeColor="accent1" w:themeShade="BF"/>
    </w:rPr>
  </w:style>
  <w:style w:type="paragraph" w:styleId="IntenseQuote">
    <w:name w:val="Intense Quote"/>
    <w:basedOn w:val="Normal"/>
    <w:next w:val="Normal"/>
    <w:link w:val="IntenseQuoteChar"/>
    <w:uiPriority w:val="30"/>
    <w:qFormat/>
    <w:rsid w:val="00202EE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202EEC"/>
    <w:rPr>
      <w:rFonts w:cs="Mangal"/>
      <w:i/>
      <w:iCs/>
      <w:color w:val="2F5496" w:themeColor="accent1" w:themeShade="BF"/>
    </w:rPr>
  </w:style>
  <w:style w:type="character" w:styleId="IntenseReference">
    <w:name w:val="Intense Reference"/>
    <w:basedOn w:val="DefaultParagraphFont"/>
    <w:uiPriority w:val="32"/>
    <w:qFormat/>
    <w:rsid w:val="00202EEC"/>
    <w:rPr>
      <w:b/>
      <w:bCs/>
      <w:smallCaps/>
      <w:color w:val="2F5496" w:themeColor="accent1" w:themeShade="BF"/>
      <w:spacing w:val="5"/>
    </w:rPr>
  </w:style>
  <w:style w:type="paragraph" w:styleId="BodyText">
    <w:name w:val="Body Text"/>
    <w:basedOn w:val="Normal"/>
    <w:link w:val="BodyTextChar"/>
    <w:unhideWhenUsed/>
    <w:rsid w:val="00202EEC"/>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202EEC"/>
    <w:rPr>
      <w:rFonts w:ascii="Times New Roman" w:eastAsia="SimSun" w:hAnsi="Times New Roman" w:cs="Times New Roman"/>
      <w:spacing w:val="-1"/>
      <w:kern w:val="0"/>
      <w:sz w:val="20"/>
      <w:lang w:val="x-none" w:eastAsia="x-none" w:bidi="ar-SA"/>
      <w14:ligatures w14:val="none"/>
    </w:rPr>
  </w:style>
  <w:style w:type="paragraph" w:customStyle="1" w:styleId="Abstract">
    <w:name w:val="Abstract"/>
    <w:rsid w:val="00202EEC"/>
    <w:pPr>
      <w:spacing w:after="200" w:line="240" w:lineRule="auto"/>
      <w:ind w:firstLine="272"/>
      <w:jc w:val="both"/>
    </w:pPr>
    <w:rPr>
      <w:rFonts w:ascii="Times New Roman" w:eastAsia="SimSun" w:hAnsi="Times New Roman" w:cs="Times New Roman"/>
      <w:b/>
      <w:bCs/>
      <w:kern w:val="0"/>
      <w:sz w:val="18"/>
      <w:szCs w:val="18"/>
      <w:lang w:val="en-US" w:bidi="ar-SA"/>
      <w14:ligatures w14:val="none"/>
    </w:rPr>
  </w:style>
  <w:style w:type="paragraph" w:customStyle="1" w:styleId="Author">
    <w:name w:val="Author"/>
    <w:rsid w:val="00202EEC"/>
    <w:pPr>
      <w:spacing w:before="360" w:after="40" w:line="240" w:lineRule="auto"/>
      <w:jc w:val="center"/>
    </w:pPr>
    <w:rPr>
      <w:rFonts w:ascii="Times New Roman" w:eastAsia="SimSun" w:hAnsi="Times New Roman" w:cs="Times New Roman"/>
      <w:noProof/>
      <w:kern w:val="0"/>
      <w:szCs w:val="22"/>
      <w:lang w:val="en-US" w:bidi="ar-SA"/>
      <w14:ligatures w14:val="none"/>
    </w:rPr>
  </w:style>
  <w:style w:type="paragraph" w:customStyle="1" w:styleId="bulletlist">
    <w:name w:val="bullet list"/>
    <w:basedOn w:val="BodyText"/>
    <w:rsid w:val="00202EEC"/>
    <w:pPr>
      <w:numPr>
        <w:numId w:val="1"/>
      </w:numPr>
      <w:ind w:left="576" w:hanging="288"/>
    </w:pPr>
  </w:style>
  <w:style w:type="paragraph" w:customStyle="1" w:styleId="equation">
    <w:name w:val="equation"/>
    <w:basedOn w:val="Normal"/>
    <w:rsid w:val="00202EEC"/>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202EEC"/>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lang w:val="en-US" w:bidi="ar-SA"/>
      <w14:ligatures w14:val="none"/>
    </w:rPr>
  </w:style>
  <w:style w:type="paragraph" w:customStyle="1" w:styleId="papertitle">
    <w:name w:val="paper title"/>
    <w:rsid w:val="00202EEC"/>
    <w:pPr>
      <w:spacing w:after="120" w:line="240" w:lineRule="auto"/>
      <w:jc w:val="center"/>
    </w:pPr>
    <w:rPr>
      <w:rFonts w:ascii="Times New Roman" w:eastAsia="MS Mincho" w:hAnsi="Times New Roman" w:cs="Times New Roman"/>
      <w:noProof/>
      <w:kern w:val="0"/>
      <w:sz w:val="48"/>
      <w:szCs w:val="48"/>
      <w:lang w:val="en-US" w:bidi="ar-SA"/>
      <w14:ligatures w14:val="none"/>
    </w:rPr>
  </w:style>
  <w:style w:type="paragraph" w:customStyle="1" w:styleId="references">
    <w:name w:val="references"/>
    <w:rsid w:val="00202EEC"/>
    <w:pPr>
      <w:numPr>
        <w:numId w:val="3"/>
      </w:numPr>
      <w:spacing w:after="50" w:line="180" w:lineRule="exact"/>
      <w:jc w:val="both"/>
    </w:pPr>
    <w:rPr>
      <w:rFonts w:ascii="Times New Roman" w:eastAsia="MS Mincho" w:hAnsi="Times New Roman" w:cs="Times New Roman"/>
      <w:noProof/>
      <w:kern w:val="0"/>
      <w:sz w:val="16"/>
      <w:szCs w:val="16"/>
      <w:lang w:val="en-US" w:bidi="ar-SA"/>
      <w14:ligatures w14:val="none"/>
    </w:rPr>
  </w:style>
  <w:style w:type="paragraph" w:customStyle="1" w:styleId="sponsors">
    <w:name w:val="sponsors"/>
    <w:rsid w:val="00202EEC"/>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lang w:val="en-US" w:bidi="ar-SA"/>
      <w14:ligatures w14:val="none"/>
    </w:rPr>
  </w:style>
  <w:style w:type="paragraph" w:customStyle="1" w:styleId="tablecolhead">
    <w:name w:val="table col head"/>
    <w:basedOn w:val="Normal"/>
    <w:rsid w:val="00202EEC"/>
    <w:rPr>
      <w:b/>
      <w:bCs/>
      <w:sz w:val="16"/>
      <w:szCs w:val="16"/>
    </w:rPr>
  </w:style>
  <w:style w:type="paragraph" w:customStyle="1" w:styleId="tablecolsubhead">
    <w:name w:val="table col subhead"/>
    <w:basedOn w:val="tablecolhead"/>
    <w:rsid w:val="00202EEC"/>
    <w:rPr>
      <w:i/>
      <w:iCs/>
      <w:sz w:val="15"/>
      <w:szCs w:val="15"/>
    </w:rPr>
  </w:style>
  <w:style w:type="paragraph" w:customStyle="1" w:styleId="tablecopy">
    <w:name w:val="table copy"/>
    <w:rsid w:val="00202EEC"/>
    <w:pPr>
      <w:spacing w:after="0" w:line="240" w:lineRule="auto"/>
      <w:jc w:val="both"/>
    </w:pPr>
    <w:rPr>
      <w:rFonts w:ascii="Times New Roman" w:eastAsia="SimSun" w:hAnsi="Times New Roman" w:cs="Times New Roman"/>
      <w:noProof/>
      <w:kern w:val="0"/>
      <w:sz w:val="16"/>
      <w:szCs w:val="16"/>
      <w:lang w:val="en-US" w:bidi="ar-SA"/>
      <w14:ligatures w14:val="none"/>
    </w:rPr>
  </w:style>
  <w:style w:type="paragraph" w:customStyle="1" w:styleId="tablefootnote">
    <w:name w:val="table footnote"/>
    <w:rsid w:val="00202EEC"/>
    <w:pPr>
      <w:numPr>
        <w:numId w:val="4"/>
      </w:numPr>
      <w:spacing w:before="60" w:after="30" w:line="240" w:lineRule="auto"/>
      <w:ind w:left="58" w:hanging="29"/>
      <w:jc w:val="right"/>
    </w:pPr>
    <w:rPr>
      <w:rFonts w:ascii="Times New Roman" w:eastAsia="SimSun" w:hAnsi="Times New Roman" w:cs="Times New Roman"/>
      <w:kern w:val="0"/>
      <w:sz w:val="12"/>
      <w:szCs w:val="12"/>
      <w:lang w:val="en-US" w:bidi="ar-SA"/>
      <w14:ligatures w14:val="none"/>
    </w:rPr>
  </w:style>
  <w:style w:type="paragraph" w:customStyle="1" w:styleId="tablehead">
    <w:name w:val="table head"/>
    <w:rsid w:val="00202EEC"/>
    <w:pPr>
      <w:numPr>
        <w:numId w:val="5"/>
      </w:numPr>
      <w:spacing w:before="240" w:after="120" w:line="216" w:lineRule="auto"/>
      <w:jc w:val="center"/>
    </w:pPr>
    <w:rPr>
      <w:rFonts w:ascii="Times New Roman" w:eastAsia="SimSun" w:hAnsi="Times New Roman" w:cs="Times New Roman"/>
      <w:smallCaps/>
      <w:noProof/>
      <w:kern w:val="0"/>
      <w:sz w:val="16"/>
      <w:szCs w:val="16"/>
      <w:lang w:val="en-US" w:bidi="ar-SA"/>
      <w14:ligatures w14:val="none"/>
    </w:rPr>
  </w:style>
  <w:style w:type="paragraph" w:customStyle="1" w:styleId="Keywords">
    <w:name w:val="Keywords"/>
    <w:basedOn w:val="Abstract"/>
    <w:qFormat/>
    <w:rsid w:val="00202EEC"/>
    <w:pPr>
      <w:spacing w:after="120"/>
      <w:ind w:firstLine="274"/>
    </w:pPr>
    <w:rPr>
      <w:i/>
    </w:rPr>
  </w:style>
  <w:style w:type="character" w:styleId="Hyperlink">
    <w:name w:val="Hyperlink"/>
    <w:basedOn w:val="DefaultParagraphFont"/>
    <w:uiPriority w:val="99"/>
    <w:unhideWhenUsed/>
    <w:rsid w:val="00634662"/>
    <w:rPr>
      <w:color w:val="0563C1" w:themeColor="hyperlink"/>
      <w:u w:val="single"/>
    </w:rPr>
  </w:style>
  <w:style w:type="character" w:styleId="UnresolvedMention">
    <w:name w:val="Unresolved Mention"/>
    <w:basedOn w:val="DefaultParagraphFont"/>
    <w:uiPriority w:val="99"/>
    <w:semiHidden/>
    <w:unhideWhenUsed/>
    <w:rsid w:val="00634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2735</Words>
  <Characters>15593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Bharathwaj Ryder</dc:creator>
  <cp:lastModifiedBy>Bharathwaj Ryder</cp:lastModifiedBy>
  <cp:revision>47</cp:revision>
  <dcterms:created xsi:type="dcterms:W3CDTF">2025-02-19T14:12:00Z</dcterms:created>
  <dcterms:modified xsi:type="dcterms:W3CDTF">2025-02-20T13:24:00Z</dcterms:modified>
</cp:coreProperties>
</file>