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46D5F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1</w:t>
      </w:r>
      <w:r/>
    </w:p>
    <w:p w14:paraId="0555D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OpenAI model named AI1.</w:t>
      </w:r>
      <w:r/>
    </w:p>
    <w:p w14:paraId="0927A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web app named App1 by using the Azure OpenAI SDK.</w:t>
      </w:r>
      <w:r/>
    </w:p>
    <w:p w14:paraId="521E04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App1 to connect to AI1.</w:t>
      </w:r>
      <w:r/>
    </w:p>
    <w:p w14:paraId="60E3DF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information must you provide?</w:t>
      </w:r>
      <w:r/>
    </w:p>
    <w:p w14:paraId="2C5EF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deployment name, key, and model name</w:t>
      </w:r>
      <w:r/>
    </w:p>
    <w:p w14:paraId="1D87BF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deployment name, endpoint, and key</w:t>
      </w:r>
      <w:r/>
    </w:p>
    <w:p w14:paraId="6CD8F8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the endpoint, key, and model type</w:t>
      </w:r>
      <w:r/>
    </w:p>
    <w:p w14:paraId="0A8EDA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endpoint, key, and model name</w:t>
      </w:r>
      <w:r/>
    </w:p>
    <w:p w14:paraId="348890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2</w:t>
      </w:r>
      <w:r/>
    </w:p>
    <w:p w14:paraId="51E9B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prompt agent used by a customer support web app.</w:t>
      </w:r>
      <w:r/>
    </w:p>
    <w:p w14:paraId="3410BE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is invoked from a Python service that does NOT run in the Foundry portal.</w:t>
      </w:r>
      <w:r/>
    </w:p>
    <w:p w14:paraId="2656CD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end-to-end tracing to capture latency breakdowns and exceptions across agent runs.</w:t>
      </w:r>
      <w:r/>
    </w:p>
    <w:p w14:paraId="04FDFD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components can you use?</w:t>
      </w:r>
      <w:r/>
    </w:p>
    <w:p w14:paraId="5F0D1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4C7ADA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Application Insights</w:t>
      </w:r>
      <w:r/>
    </w:p>
    <w:p w14:paraId="16BF2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Microsoft Sentinel</w:t>
      </w:r>
      <w:r/>
    </w:p>
    <w:p w14:paraId="57121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Log Analytics workspace</w:t>
      </w:r>
      <w:r/>
    </w:p>
    <w:p w14:paraId="74944F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Azure Monitor Agent</w:t>
      </w:r>
      <w:r/>
    </w:p>
    <w:p w14:paraId="1D273E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OpenTelemetry</w:t>
      </w:r>
      <w:r/>
    </w:p>
    <w:p w14:paraId="6038F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3</w:t>
      </w:r>
      <w:r/>
    </w:p>
    <w:p w14:paraId="30ACD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high-traffic agent.</w:t>
      </w:r>
      <w:r/>
    </w:p>
    <w:p w14:paraId="49B4BC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a recent update, operational costs increase significantly.</w:t>
      </w:r>
      <w:r/>
    </w:p>
    <w:p w14:paraId="06C399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Monitoring confirms that the volume of user traffic to the agent remains unchanged.</w:t>
      </w:r>
      <w:r/>
    </w:p>
    <w:p w14:paraId="19EE11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suspect that changes to the request or response characteristics are causing the increase.</w:t>
      </w:r>
      <w:r/>
    </w:p>
    <w:p w14:paraId="3E5820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identify whether the additional costs are driven by the model input size, the model output size, or expanded tool usage.</w:t>
      </w:r>
      <w:r/>
    </w:p>
    <w:p w14:paraId="78EBD4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observability capability should you use?</w:t>
      </w:r>
      <w:r/>
    </w:p>
    <w:p w14:paraId="26201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latency</w:t>
      </w:r>
      <w:r/>
    </w:p>
    <w:p w14:paraId="7C8714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run success rate</w:t>
      </w:r>
      <w:r/>
    </w:p>
    <w:p w14:paraId="4DCC0B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token usage</w:t>
      </w:r>
      <w:r/>
    </w:p>
    <w:p w14:paraId="3243E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evaluation metrics</w:t>
      </w:r>
      <w:r/>
    </w:p>
    <w:p w14:paraId="2379D7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4</w:t>
      </w:r>
      <w:r/>
    </w:p>
    <w:p w14:paraId="68006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named Project1 that contains the following:</w:t>
      </w:r>
      <w:r/>
    </w:p>
    <w:p w14:paraId="3D2270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An OpenAPI tool that calls an external API</w:t>
      </w:r>
      <w:r/>
    </w:p>
    <w:p w14:paraId="6553AA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 project connection named Connection1 that stores the API key of the external API</w:t>
      </w:r>
      <w:r/>
    </w:p>
    <w:p w14:paraId="6330D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an agent calls the OpenAPI tool, the API returns a 401 unauthorized error, and traces show that the API key header is NOT being sent.</w:t>
      </w:r>
      <w:r/>
    </w:p>
    <w:p w14:paraId="458F1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OpenAPI tool automatically includes the API key from Connection1 on all requests.</w:t>
      </w:r>
      <w:r/>
    </w:p>
    <w:p w14:paraId="7A80D2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41990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Configure the tool to use the default connection of Project1.</w:t>
      </w:r>
      <w:r/>
    </w:p>
    <w:p w14:paraId="68E746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Add the API key header manually to the OpenAPI specification.</w:t>
      </w:r>
      <w:r/>
    </w:p>
    <w:p w14:paraId="56B61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Enable identity passthrough so that the tool uses the Microsoft Entra token of the caller.</w:t>
      </w:r>
      <w:r/>
    </w:p>
    <w:p w14:paraId="7043D0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Connect the tool to Connection 1.</w:t>
      </w:r>
      <w:r/>
    </w:p>
    <w:p w14:paraId="7C617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6</w:t>
      </w:r>
      <w:r/>
    </w:p>
    <w:p w14:paraId="3CD4F3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deployed chat model.</w:t>
      </w:r>
      <w:r/>
    </w:p>
    <w:p w14:paraId="7D0EE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Python service that sends API requests to the model. The service is integrated with an automated validation system that compares generated outputs against approved response patterns.</w:t>
      </w:r>
      <w:r/>
    </w:p>
    <w:p w14:paraId="504D4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Stakeholders report that small wording differences are causing validation mismatches.</w:t>
      </w:r>
      <w:r/>
    </w:p>
    <w:p w14:paraId="57ED10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update the request parameters to improve output stability. The solution must maximize reasoning quality.</w:t>
      </w:r>
      <w:r/>
    </w:p>
    <w:p w14:paraId="183A6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Python code? To answer, select the appropriate options in the answer area.</w:t>
      </w:r>
      <w:r/>
    </w:p>
    <w:p w14:paraId="184A4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0E45AF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message = client.messages.create(</w:t>
      </w:r>
      <w:r/>
    </w:p>
    <w:p w14:paraId="531AE9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model="deployment-name",</w:t>
      </w:r>
      <w:r/>
    </w:p>
    <w:p w14:paraId="26BEFF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messages=[</w:t>
      </w:r>
      <w:r/>
    </w:p>
    <w:p w14:paraId="701F05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{"role": "user", "content": "Summarize the release notes in 3 bullet points."}</w:t>
      </w:r>
      <w:r/>
    </w:p>
    <w:p w14:paraId="7A8E2B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8EF7C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max_tokens=800,</w:t>
      </w:r>
      <w:r/>
    </w:p>
    <w:p w14:paraId="112EBD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temperature=__________,</w:t>
      </w:r>
      <w:r/>
    </w:p>
    <w:p w14:paraId="4EB417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thinking={"type": "enabled"},</w:t>
      </w:r>
      <w:r/>
    </w:p>
    <w:p w14:paraId="0D0AA3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output_config={"effort": __________}</w:t>
      </w:r>
      <w:r/>
    </w:p>
    <w:p w14:paraId="33A340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DA868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Options for the dropdowns were displayed in the answer area.</w:t>
      </w:r>
      <w:r/>
    </w:p>
    <w:p w14:paraId="424F5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7</w:t>
      </w:r>
      <w:r/>
    </w:p>
    <w:p w14:paraId="4C665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web app named App1 that processes user prompts by integrating with a Microsoft Foundry project named Project1.</w:t>
      </w:r>
      <w:r/>
    </w:p>
    <w:p w14:paraId="512C13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App1 performs the following actions:</w:t>
      </w:r>
      <w:r/>
    </w:p>
    <w:p w14:paraId="24EF5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Sends prompts directly to a model by using the Azure OpenAI Responses API</w:t>
      </w:r>
      <w:r/>
    </w:p>
    <w:p w14:paraId="2E60B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Invokes the Azure AI Content Safety tool by using a Foundry connection within the same request</w:t>
      </w:r>
      <w:r/>
    </w:p>
    <w:p w14:paraId="44E77C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end-to-end visibility into each step of the request workflow.</w:t>
      </w:r>
      <w:r/>
    </w:p>
    <w:p w14:paraId="3D7858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658CF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application tracing in Project1.</w:t>
      </w:r>
      <w:r/>
    </w:p>
    <w:p w14:paraId="6C856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Enable logging by using the client SDK for Content Safety.</w:t>
      </w:r>
      <w:r/>
    </w:p>
    <w:p w14:paraId="0CE902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Route requests through the Azure OpenAI endpoint.</w:t>
      </w:r>
      <w:r/>
    </w:p>
    <w:p w14:paraId="05A356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Enable logging by using Foundry Local.</w:t>
      </w:r>
      <w:r/>
    </w:p>
    <w:p w14:paraId="7CB6B4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8</w:t>
      </w:r>
      <w:r/>
    </w:p>
    <w:p w14:paraId="50F88E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web app named App1 that generates responses by using a model deployed to a Microsoft Foundry project named Project1.</w:t>
      </w:r>
      <w:r/>
    </w:p>
    <w:p w14:paraId="5D4B2B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App1 is one of several client applications that will use the same Azure AI Search data source configuration before sending prompts to the model.</w:t>
      </w:r>
      <w:r/>
    </w:p>
    <w:p w14:paraId="31FE8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integrate Project1 and App1. The solution must meet the following requirements:</w:t>
      </w:r>
      <w:r/>
    </w:p>
    <w:p w14:paraId="5E895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All client applications must use the same search configuration.</w:t>
      </w:r>
      <w:r/>
    </w:p>
    <w:p w14:paraId="54A9C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The solution must use keyless authentication.</w:t>
      </w:r>
      <w:r/>
    </w:p>
    <w:p w14:paraId="653540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Administrative effort must be minimized.</w:t>
      </w:r>
      <w:r/>
    </w:p>
    <w:p w14:paraId="52B45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4F00E5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a managed identity for each application and call Azure AI Search directly.</w:t>
      </w:r>
      <w:r/>
    </w:p>
    <w:p w14:paraId="325B75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Configure an Azure AI Search connection in Project1 and reference the connection in each application.</w:t>
      </w:r>
      <w:r/>
    </w:p>
    <w:p w14:paraId="06EB23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Create a custom HTTP connection in Foundry and manually configure Azure AI Search endpoints per application.</w:t>
      </w:r>
      <w:r/>
    </w:p>
    <w:p w14:paraId="6BE7DC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Call Azure AI Search directly from each application by using Microsoft Entra authentication.</w:t>
      </w:r>
      <w:r/>
    </w:p>
    <w:p w14:paraId="3D93D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9</w:t>
      </w:r>
      <w:r/>
    </w:p>
    <w:p w14:paraId="288A9F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named PaymentAgent.</w:t>
      </w:r>
      <w:r/>
    </w:p>
    <w:p w14:paraId="0A8F0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PaymentAgent includes a function tool that issues customer refunds by using an external API.</w:t>
      </w:r>
      <w:r/>
    </w:p>
    <w:p w14:paraId="2B1CA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creating a workflow in YAML.</w:t>
      </w:r>
      <w:r/>
    </w:p>
    <w:p w14:paraId="2D757D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workflow pauses for human approval and continues with the refund step only after approval is granted.</w:t>
      </w:r>
      <w:r/>
    </w:p>
    <w:p w14:paraId="43E414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workflow definition? To answer, select the appropriate options in the answer area.</w:t>
      </w:r>
      <w:r/>
    </w:p>
    <w:p w14:paraId="372262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419A20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steps:</w:t>
      </w:r>
      <w:r/>
    </w:p>
    <w:p w14:paraId="2CB940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5332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id: propose_refund</w:t>
      </w:r>
      <w:r/>
    </w:p>
    <w:p w14:paraId="08FCFD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agent</w:t>
      </w:r>
      <w:r/>
    </w:p>
    <w:p w14:paraId="29B8B8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agent: PaymentAgent</w:t>
      </w:r>
      <w:r/>
    </w:p>
    <w:p w14:paraId="1AC800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40E5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id: approval</w:t>
      </w:r>
      <w:r/>
    </w:p>
    <w:p w14:paraId="3A999A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__________</w:t>
      </w:r>
      <w:r/>
    </w:p>
    <w:p w14:paraId="060FDE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C533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id: execute_refund</w:t>
      </w:r>
      <w:r/>
    </w:p>
    <w:p w14:paraId="1D4FA7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agent</w:t>
      </w:r>
      <w:r/>
    </w:p>
    <w:p w14:paraId="04A205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agent: PaymentAgent</w:t>
      </w:r>
      <w:r/>
    </w:p>
    <w:p w14:paraId="135204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condition: __________</w:t>
      </w:r>
      <w:r/>
    </w:p>
    <w:p w14:paraId="6CA04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Options:</w:t>
      </w:r>
      <w:r/>
    </w:p>
    <w:p w14:paraId="1D7553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ask_question</w:t>
      </w:r>
      <w:r/>
    </w:p>
    <w:p w14:paraId="3FA49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basic_chat</w:t>
      </w:r>
      <w:r/>
    </w:p>
    <w:p w14:paraId="6EA814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data_transformation</w:t>
      </w:r>
      <w:r/>
    </w:p>
    <w:p w14:paraId="1BFC39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10</w:t>
      </w:r>
      <w:r/>
    </w:p>
    <w:p w14:paraId="453DA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three agents as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40"/>
        <w:gridCol w:w="5305"/>
      </w:tblGrid>
      <w:tr>
        <w:trPr/>
        <w:tc>
          <w:tcPr>
            <w:tcBorders/>
            <w:tcMar>
              <w:left w:w="15" w:type="dxa"/>
              <w:top w:w="15" w:type="dxa"/>
              <w:right w:w="15" w:type="dxa"/>
              <w:bottom w:w="15" w:type="dxa"/>
            </w:tcMar>
            <w:tcW w:w="1240" w:type="dxa"/>
            <w:vAlign w:val="center"/>
          </w:tcPr>
          <w:p w14:paraId="68BBCACA">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5305" w:type="dxa"/>
            <w:vAlign w:val="center"/>
          </w:tcPr>
          <w:p w14:paraId="30BD9470">
            <w:pPr>
              <w:pBdr/>
              <w:spacing w:after="0" w:before="0" w:line="240"/>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1240" w:type="dxa"/>
            <w:vAlign w:val="center"/>
          </w:tcPr>
          <w:p w14:paraId="5A98400C">
            <w:pPr>
              <w:pBdr/>
              <w:spacing w:after="0" w:before="0" w:line="240"/>
              <w:ind/>
              <w:rPr/>
            </w:pPr>
            <w:r>
              <w:rPr>
                <w:rFonts w:ascii="Times New Roman" w:hAnsi="Times New Roman" w:eastAsia="Times New Roman" w:cs="Times New Roman"/>
                <w:color w:val="000000"/>
                <w:sz w:val="24"/>
              </w:rPr>
              <w:t xml:space="preserve">TriageAgent</w:t>
            </w:r>
            <w:r/>
          </w:p>
        </w:tc>
        <w:tc>
          <w:tcPr>
            <w:tcBorders/>
            <w:tcMar>
              <w:left w:w="15" w:type="dxa"/>
              <w:top w:w="15" w:type="dxa"/>
              <w:right w:w="15" w:type="dxa"/>
              <w:bottom w:w="15" w:type="dxa"/>
            </w:tcMar>
            <w:tcW w:w="5305" w:type="dxa"/>
            <w:vAlign w:val="center"/>
          </w:tcPr>
          <w:p w14:paraId="5F0CB379">
            <w:pPr>
              <w:pBdr/>
              <w:spacing w:after="0" w:before="0" w:line="240"/>
              <w:ind/>
              <w:rPr/>
            </w:pPr>
            <w:r>
              <w:rPr>
                <w:rFonts w:ascii="Times New Roman" w:hAnsi="Times New Roman" w:eastAsia="Times New Roman" w:cs="Times New Roman"/>
                <w:color w:val="000000"/>
                <w:sz w:val="24"/>
              </w:rPr>
              <w:t xml:space="preserve">Classifies incoming customer requests</w:t>
            </w:r>
            <w:r/>
          </w:p>
        </w:tc>
      </w:tr>
      <w:tr>
        <w:trPr/>
        <w:tc>
          <w:tcPr>
            <w:tcBorders/>
            <w:tcMar>
              <w:left w:w="15" w:type="dxa"/>
              <w:top w:w="15" w:type="dxa"/>
              <w:right w:w="15" w:type="dxa"/>
              <w:bottom w:w="15" w:type="dxa"/>
            </w:tcMar>
            <w:tcW w:w="1240" w:type="dxa"/>
            <w:vAlign w:val="center"/>
          </w:tcPr>
          <w:p w14:paraId="35C58288">
            <w:pPr>
              <w:pBdr/>
              <w:spacing w:after="0" w:before="0" w:line="240"/>
              <w:ind/>
              <w:rPr/>
            </w:pPr>
            <w:r>
              <w:rPr>
                <w:rFonts w:ascii="Times New Roman" w:hAnsi="Times New Roman" w:eastAsia="Times New Roman" w:cs="Times New Roman"/>
                <w:color w:val="000000"/>
                <w:sz w:val="24"/>
              </w:rPr>
              <w:t xml:space="preserve">PolicyAgent</w:t>
            </w:r>
            <w:r/>
          </w:p>
        </w:tc>
        <w:tc>
          <w:tcPr>
            <w:tcBorders/>
            <w:tcMar>
              <w:left w:w="15" w:type="dxa"/>
              <w:top w:w="15" w:type="dxa"/>
              <w:right w:w="15" w:type="dxa"/>
              <w:bottom w:w="15" w:type="dxa"/>
            </w:tcMar>
            <w:tcW w:w="5305" w:type="dxa"/>
            <w:vAlign w:val="center"/>
          </w:tcPr>
          <w:p w14:paraId="50D7BFDE">
            <w:pPr>
              <w:pBdr/>
              <w:spacing w:after="0" w:before="0" w:line="240"/>
              <w:ind/>
              <w:rPr/>
            </w:pPr>
            <w:r>
              <w:rPr>
                <w:rFonts w:ascii="Times New Roman" w:hAnsi="Times New Roman" w:eastAsia="Times New Roman" w:cs="Times New Roman"/>
                <w:color w:val="000000"/>
                <w:sz w:val="24"/>
              </w:rPr>
              <w:t xml:space="preserve">Answers policy questions by searching internal content</w:t>
            </w:r>
            <w:r/>
          </w:p>
        </w:tc>
      </w:tr>
      <w:tr>
        <w:trPr/>
        <w:tc>
          <w:tcPr>
            <w:tcBorders/>
            <w:tcMar>
              <w:left w:w="15" w:type="dxa"/>
              <w:top w:w="15" w:type="dxa"/>
              <w:right w:w="15" w:type="dxa"/>
              <w:bottom w:w="15" w:type="dxa"/>
            </w:tcMar>
            <w:tcW w:w="1240" w:type="dxa"/>
            <w:vAlign w:val="center"/>
          </w:tcPr>
          <w:p w14:paraId="32856E08">
            <w:pPr>
              <w:pBdr/>
              <w:spacing w:after="0" w:before="0" w:line="240"/>
              <w:ind/>
              <w:rPr/>
            </w:pPr>
            <w:r>
              <w:rPr>
                <w:rFonts w:ascii="Times New Roman" w:hAnsi="Times New Roman" w:eastAsia="Times New Roman" w:cs="Times New Roman"/>
                <w:color w:val="000000"/>
                <w:sz w:val="24"/>
              </w:rPr>
              <w:t xml:space="preserve">ActionAgent</w:t>
            </w:r>
            <w:r/>
          </w:p>
        </w:tc>
        <w:tc>
          <w:tcPr>
            <w:tcBorders/>
            <w:tcMar>
              <w:left w:w="15" w:type="dxa"/>
              <w:top w:w="15" w:type="dxa"/>
              <w:right w:w="15" w:type="dxa"/>
              <w:bottom w:w="15" w:type="dxa"/>
            </w:tcMar>
            <w:tcW w:w="5305" w:type="dxa"/>
            <w:vAlign w:val="center"/>
          </w:tcPr>
          <w:p w14:paraId="72616FF2">
            <w:pPr>
              <w:pBdr/>
              <w:spacing w:after="0" w:before="0" w:line="240"/>
              <w:ind/>
              <w:rPr/>
            </w:pPr>
            <w:r>
              <w:rPr>
                <w:rFonts w:ascii="Times New Roman" w:hAnsi="Times New Roman" w:eastAsia="Times New Roman" w:cs="Times New Roman"/>
                <w:color w:val="000000"/>
                <w:sz w:val="24"/>
              </w:rPr>
              <w:t xml:space="preserve">Creates or updates tickets by calling an HTTP API</w:t>
            </w:r>
            <w:r/>
          </w:p>
        </w:tc>
      </w:tr>
    </w:tbl>
    <w:p w14:paraId="10E38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orchestrate the agents to ensure that the customer requests meet the following requirements:</w:t>
      </w:r>
      <w:r/>
    </w:p>
    <w:p w14:paraId="55ACE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Support a deterministic, step-based process that uses conditional branching and shared state across the agents.</w:t>
      </w:r>
      <w:r/>
    </w:p>
    <w:p w14:paraId="2ED5A0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Optionally trigger a ticket action based on the triage result.</w:t>
      </w:r>
      <w:r/>
    </w:p>
    <w:p w14:paraId="2601D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The solution must minimize development effort.</w:t>
      </w:r>
      <w:r/>
    </w:p>
    <w:p w14:paraId="106350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include in the solution?</w:t>
      </w:r>
      <w:r/>
    </w:p>
    <w:p w14:paraId="45ECB4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threads and runs without a workflow</w:t>
      </w:r>
      <w:r/>
    </w:p>
    <w:p w14:paraId="22AD46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multi-agent group chat session</w:t>
      </w:r>
      <w:r/>
    </w:p>
    <w:p w14:paraId="229EE9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separate agent runs coordinated in the application code</w:t>
      </w:r>
      <w:r/>
    </w:p>
    <w:p w14:paraId="562F87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workflow</w:t>
      </w:r>
      <w:r/>
    </w:p>
    <w:p w14:paraId="02C43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 11</w:t>
      </w:r>
      <w:r/>
    </w:p>
    <w:p w14:paraId="3EDF13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code is provided:</w:t>
      </w:r>
      <w:r/>
    </w:p>
    <w:p w14:paraId="6E6DF5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openai.api_key = key</w:t>
      </w:r>
      <w:r/>
    </w:p>
    <w:p w14:paraId="731CFA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82BD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openai.api_base = endpoint</w:t>
      </w:r>
      <w:r/>
    </w:p>
    <w:p w14:paraId="046E24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2A39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response = openai.ChatCompletion.create(</w:t>
      </w:r>
      <w:r/>
    </w:p>
    <w:p w14:paraId="6BBCBF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engine = deployment_name</w:t>
      </w:r>
      <w:r/>
    </w:p>
    <w:p w14:paraId="277F4F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messages = [</w:t>
      </w:r>
      <w:r/>
    </w:p>
    <w:p w14:paraId="425860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{"role": "system", "content": "You are a helpful assistant."},</w:t>
      </w:r>
      <w:r/>
    </w:p>
    <w:p w14:paraId="5B0BDA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("role": "user", "content": "What is an LLM?"}</w:t>
      </w:r>
      <w:r/>
    </w:p>
    <w:p w14:paraId="5E12C3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3EC2B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5A81C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9E7B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print(response['choices'][0]['message']['content'])</w:t>
      </w:r>
      <w:r/>
    </w:p>
    <w:p w14:paraId="1E00FE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011"/>
        <w:gridCol w:w="186"/>
        <w:gridCol w:w="158"/>
      </w:tblGrid>
      <w:tr>
        <w:trPr/>
        <w:tc>
          <w:tcPr>
            <w:tcBorders/>
            <w:tcMar>
              <w:left w:w="15" w:type="dxa"/>
              <w:top w:w="15" w:type="dxa"/>
              <w:right w:w="15" w:type="dxa"/>
              <w:bottom w:w="15" w:type="dxa"/>
            </w:tcMar>
            <w:tcW w:w="9011" w:type="dxa"/>
            <w:vAlign w:val="center"/>
          </w:tcPr>
          <w:p w14:paraId="28CE7681">
            <w:pPr>
              <w:pBdr/>
              <w:spacing w:after="0" w:before="0" w:line="240"/>
              <w:ind/>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186" w:type="dxa"/>
            <w:vAlign w:val="center"/>
          </w:tcPr>
          <w:p w14:paraId="7F55F39B">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158" w:type="dxa"/>
            <w:vAlign w:val="center"/>
          </w:tcPr>
          <w:p w14:paraId="51EE8CE1">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9011" w:type="dxa"/>
            <w:vAlign w:val="center"/>
          </w:tcPr>
          <w:p w14:paraId="555D2909">
            <w:pPr>
              <w:pBdr/>
              <w:spacing w:after="0" w:before="0" w:line="240"/>
              <w:ind/>
              <w:rPr/>
            </w:pPr>
            <w:r>
              <w:rPr>
                <w:rFonts w:ascii="Times New Roman" w:hAnsi="Times New Roman" w:eastAsia="Times New Roman" w:cs="Times New Roman"/>
                <w:color w:val="000000"/>
                <w:sz w:val="24"/>
              </w:rPr>
              <w:t xml:space="preserve">The response will contain an explanation of large language models (LLMs) that has a high degree of certainty.</w:t>
            </w:r>
            <w:r/>
          </w:p>
        </w:tc>
        <w:tc>
          <w:tcPr>
            <w:tcBorders/>
            <w:tcMar>
              <w:left w:w="15" w:type="dxa"/>
              <w:top w:w="15" w:type="dxa"/>
              <w:right w:w="15" w:type="dxa"/>
              <w:bottom w:w="15" w:type="dxa"/>
            </w:tcMar>
            <w:tcW w:w="186" w:type="dxa"/>
            <w:vAlign w:val="center"/>
          </w:tcPr>
          <w:p w14:paraId="6F96DDAF">
            <w:pPr>
              <w:pBdr/>
              <w:spacing w:after="0" w:before="0" w:line="240"/>
              <w:ind/>
              <w:rPr/>
            </w:pPr>
            <w:r/>
          </w:p>
        </w:tc>
        <w:tc>
          <w:tcPr>
            <w:tcBorders/>
            <w:tcMar>
              <w:left w:w="15" w:type="dxa"/>
              <w:top w:w="15" w:type="dxa"/>
              <w:right w:w="15" w:type="dxa"/>
              <w:bottom w:w="15" w:type="dxa"/>
            </w:tcMar>
            <w:tcW w:w="158" w:type="dxa"/>
            <w:vAlign w:val="center"/>
          </w:tcPr>
          <w:p w14:paraId="1DC4D5D6">
            <w:pPr>
              <w:pBdr/>
              <w:spacing w:after="0" w:before="0" w:line="240"/>
              <w:ind/>
              <w:rPr/>
            </w:pPr>
            <w:r/>
          </w:p>
        </w:tc>
      </w:tr>
      <w:tr>
        <w:trPr/>
        <w:tc>
          <w:tcPr>
            <w:tcBorders/>
            <w:tcMar>
              <w:left w:w="15" w:type="dxa"/>
              <w:top w:w="15" w:type="dxa"/>
              <w:right w:w="15" w:type="dxa"/>
              <w:bottom w:w="15" w:type="dxa"/>
            </w:tcMar>
            <w:tcW w:w="9011" w:type="dxa"/>
            <w:vAlign w:val="center"/>
          </w:tcPr>
          <w:p w14:paraId="38BA317C">
            <w:pPr>
              <w:pBdr/>
              <w:spacing w:after="0" w:before="0" w:line="240"/>
              <w:ind/>
              <w:rPr/>
            </w:pPr>
            <w:r>
              <w:rPr>
                <w:rFonts w:ascii="Times New Roman" w:hAnsi="Times New Roman" w:eastAsia="Times New Roman" w:cs="Times New Roman"/>
                <w:color w:val="000000"/>
                <w:sz w:val="24"/>
              </w:rPr>
              <w:t xml:space="preserve">Changing "What is an LLM?" to "What is an LLM in the context of AI models?" will produce the intended response.</w:t>
            </w:r>
            <w:r/>
          </w:p>
        </w:tc>
        <w:tc>
          <w:tcPr>
            <w:tcBorders/>
            <w:tcMar>
              <w:left w:w="15" w:type="dxa"/>
              <w:top w:w="15" w:type="dxa"/>
              <w:right w:w="15" w:type="dxa"/>
              <w:bottom w:w="15" w:type="dxa"/>
            </w:tcMar>
            <w:tcW w:w="186" w:type="dxa"/>
            <w:vAlign w:val="center"/>
          </w:tcPr>
          <w:p w14:paraId="0D92A547">
            <w:pPr>
              <w:pBdr/>
              <w:spacing w:after="0" w:before="0" w:line="240"/>
              <w:ind/>
              <w:rPr/>
            </w:pPr>
            <w:r/>
          </w:p>
        </w:tc>
        <w:tc>
          <w:tcPr>
            <w:tcBorders/>
            <w:tcMar>
              <w:left w:w="15" w:type="dxa"/>
              <w:top w:w="15" w:type="dxa"/>
              <w:right w:w="15" w:type="dxa"/>
              <w:bottom w:w="15" w:type="dxa"/>
            </w:tcMar>
            <w:tcW w:w="158" w:type="dxa"/>
            <w:vAlign w:val="center"/>
          </w:tcPr>
          <w:p w14:paraId="10EA3D59">
            <w:pPr>
              <w:pBdr/>
              <w:spacing w:after="0" w:before="0" w:line="240"/>
              <w:ind/>
              <w:rPr/>
            </w:pPr>
            <w:r/>
          </w:p>
        </w:tc>
      </w:tr>
      <w:tr>
        <w:trPr/>
        <w:tc>
          <w:tcPr>
            <w:tcBorders/>
            <w:tcMar>
              <w:left w:w="15" w:type="dxa"/>
              <w:top w:w="15" w:type="dxa"/>
              <w:right w:w="15" w:type="dxa"/>
              <w:bottom w:w="15" w:type="dxa"/>
            </w:tcMar>
            <w:tcW w:w="9011" w:type="dxa"/>
            <w:vAlign w:val="center"/>
          </w:tcPr>
          <w:p w14:paraId="32024315">
            <w:pPr>
              <w:pBdr/>
              <w:spacing w:after="0" w:before="0" w:line="240"/>
              <w:ind/>
              <w:rPr/>
            </w:pPr>
            <w:r>
              <w:rPr>
                <w:rFonts w:ascii="Times New Roman" w:hAnsi="Times New Roman" w:eastAsia="Times New Roman" w:cs="Times New Roman"/>
                <w:color w:val="000000"/>
                <w:sz w:val="24"/>
              </w:rPr>
              <w:t xml:space="preserve">Changing "You are a helpful assistant." to "You must answer only within the context of AI language models." will give a higher likelihood of producing the intended response.</w:t>
            </w:r>
            <w:r/>
          </w:p>
        </w:tc>
        <w:tc>
          <w:tcPr>
            <w:tcBorders/>
            <w:tcMar>
              <w:left w:w="15" w:type="dxa"/>
              <w:top w:w="15" w:type="dxa"/>
              <w:right w:w="15" w:type="dxa"/>
              <w:bottom w:w="15" w:type="dxa"/>
            </w:tcMar>
            <w:tcW w:w="186" w:type="dxa"/>
            <w:vAlign w:val="center"/>
          </w:tcPr>
          <w:p w14:paraId="575C0FD6">
            <w:pPr>
              <w:pBdr/>
              <w:spacing w:after="0" w:before="0" w:line="240"/>
              <w:ind/>
              <w:rPr/>
            </w:pPr>
            <w:r/>
          </w:p>
        </w:tc>
        <w:tc>
          <w:tcPr>
            <w:tcBorders/>
            <w:tcMar>
              <w:left w:w="15" w:type="dxa"/>
              <w:top w:w="15" w:type="dxa"/>
              <w:right w:w="15" w:type="dxa"/>
              <w:bottom w:w="15" w:type="dxa"/>
            </w:tcMar>
            <w:tcW w:w="158" w:type="dxa"/>
            <w:vAlign w:val="center"/>
          </w:tcPr>
          <w:p w14:paraId="7523A784">
            <w:pPr>
              <w:pBdr/>
              <w:spacing w:after="0" w:before="0" w:line="240"/>
              <w:ind/>
              <w:rPr/>
            </w:pPr>
            <w:r/>
          </w:p>
        </w:tc>
      </w:tr>
    </w:tbl>
    <w:p w14:paraId="2A26C07E">
      <w:pPr>
        <w:pBdr/>
        <w:spacing/>
        <w:ind/>
        <w:rPr/>
      </w:pPr>
      <w:r/>
      <w:r/>
      <w:r/>
    </w:p>
    <w:p w14:paraId="77E392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12</w:t>
      </w:r>
      <w:r/>
    </w:p>
    <w:p w14:paraId="17579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Retrieval Augmented Generation (RAG) solution.</w:t>
      </w:r>
      <w:r/>
    </w:p>
    <w:p w14:paraId="371A11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run a pre-production evaluation by using a labeled CSV dataset that contains the query, context, response, and ground truth. The evaluation must measure the following:</w:t>
      </w:r>
      <w:r/>
    </w:p>
    <w:p w14:paraId="34A1D52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responses address the user query</w:t>
      </w:r>
      <w:r/>
    </w:p>
    <w:p w14:paraId="330FB14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responses are supported by the provided context</w:t>
      </w:r>
      <w:r/>
    </w:p>
    <w:p w14:paraId="28B077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responses contain sensitive or proprietary information</w:t>
      </w:r>
      <w:r/>
    </w:p>
    <w:p w14:paraId="746B17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AI quality evaluation metrics should you use? To answer, select the appropriate options in the answer area.</w:t>
      </w:r>
      <w:r/>
    </w:p>
    <w:p w14:paraId="3771CC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5AE677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41"/>
        <w:gridCol w:w="814"/>
      </w:tblGrid>
      <w:tr>
        <w:trPr/>
        <w:tc>
          <w:tcPr>
            <w:tcBorders/>
            <w:tcMar>
              <w:left w:w="15" w:type="dxa"/>
              <w:top w:w="15" w:type="dxa"/>
              <w:right w:w="15" w:type="dxa"/>
              <w:bottom w:w="15" w:type="dxa"/>
            </w:tcMar>
            <w:tcW w:w="8541" w:type="dxa"/>
            <w:vAlign w:val="center"/>
          </w:tcPr>
          <w:p w14:paraId="7F08FBA4">
            <w:pPr>
              <w:pBdr/>
              <w:spacing w:after="0" w:before="0" w:line="240"/>
              <w:ind/>
              <w:jc w:val="center"/>
              <w:rPr/>
            </w:pPr>
            <w:r>
              <w:rPr>
                <w:rFonts w:ascii="Times New Roman" w:hAnsi="Times New Roman" w:eastAsia="Times New Roman" w:cs="Times New Roman"/>
                <w:b/>
                <w:color w:val="000000"/>
                <w:sz w:val="24"/>
              </w:rPr>
              <w:t xml:space="preserve">Requirement</w:t>
            </w:r>
            <w:r/>
          </w:p>
        </w:tc>
        <w:tc>
          <w:tcPr>
            <w:tcBorders/>
            <w:tcMar>
              <w:left w:w="15" w:type="dxa"/>
              <w:top w:w="15" w:type="dxa"/>
              <w:right w:w="15" w:type="dxa"/>
              <w:bottom w:w="15" w:type="dxa"/>
            </w:tcMar>
            <w:tcW w:w="814" w:type="dxa"/>
            <w:vAlign w:val="center"/>
          </w:tcPr>
          <w:p w14:paraId="60A404DA">
            <w:pPr>
              <w:pBdr/>
              <w:spacing w:after="0" w:before="0" w:line="240"/>
              <w:ind/>
              <w:jc w:val="center"/>
              <w:rPr/>
            </w:pPr>
            <w:r>
              <w:rPr>
                <w:rFonts w:ascii="Times New Roman" w:hAnsi="Times New Roman" w:eastAsia="Times New Roman" w:cs="Times New Roman"/>
                <w:b/>
                <w:color w:val="000000"/>
                <w:sz w:val="24"/>
              </w:rPr>
              <w:t xml:space="preserve">Selection</w:t>
            </w:r>
            <w:r/>
          </w:p>
        </w:tc>
      </w:tr>
      <w:tr>
        <w:trPr/>
        <w:tc>
          <w:tcPr>
            <w:tcBorders/>
            <w:tcMar>
              <w:left w:w="15" w:type="dxa"/>
              <w:top w:w="15" w:type="dxa"/>
              <w:right w:w="15" w:type="dxa"/>
              <w:bottom w:w="15" w:type="dxa"/>
            </w:tcMar>
            <w:tcW w:w="8541" w:type="dxa"/>
            <w:vAlign w:val="center"/>
          </w:tcPr>
          <w:p w14:paraId="47EF1F18">
            <w:pPr>
              <w:pBdr/>
              <w:spacing w:after="0" w:before="0" w:line="240"/>
              <w:ind/>
              <w:rPr/>
            </w:pPr>
            <w:r>
              <w:rPr>
                <w:rFonts w:ascii="Times New Roman" w:hAnsi="Times New Roman" w:eastAsia="Times New Roman" w:cs="Times New Roman"/>
                <w:color w:val="000000"/>
                <w:sz w:val="24"/>
              </w:rPr>
              <w:t xml:space="preserve">To measure whether the responses are supported by the provided context and address the user query:</w:t>
            </w:r>
            <w:r/>
          </w:p>
        </w:tc>
        <w:tc>
          <w:tcPr>
            <w:tcBorders/>
            <w:tcMar>
              <w:left w:w="15" w:type="dxa"/>
              <w:top w:w="15" w:type="dxa"/>
              <w:right w:w="15" w:type="dxa"/>
              <w:bottom w:w="15" w:type="dxa"/>
            </w:tcMar>
            <w:tcW w:w="814" w:type="dxa"/>
            <w:vAlign w:val="center"/>
          </w:tcPr>
          <w:p w14:paraId="57C6F3E0">
            <w:pPr>
              <w:pBdr/>
              <w:spacing w:after="0" w:before="0" w:line="240"/>
              <w:ind/>
              <w:rPr/>
            </w:pPr>
            <w:r/>
          </w:p>
        </w:tc>
      </w:tr>
      <w:tr>
        <w:trPr/>
        <w:tc>
          <w:tcPr>
            <w:tcBorders/>
            <w:tcMar>
              <w:left w:w="15" w:type="dxa"/>
              <w:top w:w="15" w:type="dxa"/>
              <w:right w:w="15" w:type="dxa"/>
              <w:bottom w:w="15" w:type="dxa"/>
            </w:tcMar>
            <w:tcW w:w="8541" w:type="dxa"/>
            <w:vAlign w:val="center"/>
          </w:tcPr>
          <w:p w14:paraId="07511C77">
            <w:pPr>
              <w:pBdr/>
              <w:spacing w:after="0" w:before="0" w:line="240"/>
              <w:ind/>
              <w:rPr/>
            </w:pPr>
            <w:r>
              <w:rPr>
                <w:rFonts w:ascii="Times New Roman" w:hAnsi="Times New Roman" w:eastAsia="Times New Roman" w:cs="Times New Roman"/>
                <w:color w:val="000000"/>
                <w:sz w:val="24"/>
              </w:rPr>
              <w:t xml:space="preserve">To measure whether responses contain sensitive or proprietary information:</w:t>
            </w:r>
            <w:r/>
          </w:p>
        </w:tc>
        <w:tc>
          <w:tcPr>
            <w:tcBorders/>
            <w:tcMar>
              <w:left w:w="15" w:type="dxa"/>
              <w:top w:w="15" w:type="dxa"/>
              <w:right w:w="15" w:type="dxa"/>
              <w:bottom w:w="15" w:type="dxa"/>
            </w:tcMar>
            <w:tcW w:w="814" w:type="dxa"/>
            <w:vAlign w:val="center"/>
          </w:tcPr>
          <w:p w14:paraId="21F32B36">
            <w:pPr>
              <w:pBdr/>
              <w:spacing w:after="0" w:before="0" w:line="240"/>
              <w:ind/>
              <w:rPr/>
            </w:pPr>
            <w:r/>
          </w:p>
        </w:tc>
      </w:tr>
    </w:tbl>
    <w:p w14:paraId="21DCDE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13</w:t>
      </w:r>
      <w:r/>
    </w:p>
    <w:p w14:paraId="3104AB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configure an evaluation in Microsoft Foundry for a Retrieval Augmented Generation (RAG) chat app.</w:t>
      </w:r>
      <w:r/>
    </w:p>
    <w:p w14:paraId="572FF7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provide scores for groundedness, relevance, and harmful content categories.</w:t>
      </w:r>
      <w:r/>
    </w:p>
    <w:p w14:paraId="27F93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evaluation categories can you use? Each correct answer presents a complete solution.</w:t>
      </w:r>
      <w:r/>
    </w:p>
    <w:p w14:paraId="3E0B1E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5B9C03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fluency evaluator</w:t>
      </w:r>
      <w:r/>
    </w:p>
    <w:p w14:paraId="62AF96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similarity evaluators</w:t>
      </w:r>
      <w:r/>
    </w:p>
    <w:p w14:paraId="7374E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risk and safety metrics</w:t>
      </w:r>
      <w:r/>
    </w:p>
    <w:p w14:paraId="148DA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AI quality (AI assisted) metrics</w:t>
      </w:r>
      <w:r/>
    </w:p>
    <w:p w14:paraId="58F5EF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AI quality (NLP) metrics</w:t>
      </w:r>
      <w:r/>
    </w:p>
    <w:p w14:paraId="6BA548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14</w:t>
      </w:r>
      <w:r/>
    </w:p>
    <w:p w14:paraId="14CD0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named Project1 that contains an agent. The agent uses an OpenAPI 3.0 specification to call an external weather service.</w:t>
      </w:r>
      <w:r/>
    </w:p>
    <w:p w14:paraId="383F2C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weather service requires a key to be passed in an HTTP header. The key value is stored as a connection in Project1.</w:t>
      </w:r>
      <w:r/>
    </w:p>
    <w:p w14:paraId="12F6D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key value from the connection is included automatically whenever the OpenAPI tool is invoked.</w:t>
      </w:r>
      <w:r/>
    </w:p>
    <w:p w14:paraId="634B6E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 in the OpenAPI specification?</w:t>
      </w:r>
      <w:r/>
    </w:p>
    <w:p w14:paraId="4E2343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an Azure Key Vault connection</w:t>
      </w:r>
      <w:r/>
    </w:p>
    <w:p w14:paraId="71168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an API key security scheme</w:t>
      </w:r>
      <w:r/>
    </w:p>
    <w:p w14:paraId="4FFA68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Bearer token security scheme</w:t>
      </w:r>
      <w:r/>
    </w:p>
    <w:p w14:paraId="1B85B1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header parameter defined for each operation</w:t>
      </w:r>
      <w:r/>
    </w:p>
    <w:p w14:paraId="38329B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15</w:t>
      </w:r>
      <w:r/>
    </w:p>
    <w:p w14:paraId="48861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The agent generates summaries from retrieved policy documents.</w:t>
      </w:r>
      <w:r/>
    </w:p>
    <w:p w14:paraId="27ECE2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improve response completeness. The solution must be implemented in the logic of the application code before responses are returned.</w:t>
      </w:r>
      <w:r/>
    </w:p>
    <w:p w14:paraId="16D656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76551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response streaming.</w:t>
      </w:r>
      <w:r/>
    </w:p>
    <w:p w14:paraId="371A76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Add a retry evaluation before the responses are returned.</w:t>
      </w:r>
      <w:r/>
    </w:p>
    <w:p w14:paraId="790B9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Increase the value of the presence_penalty parameter.</w:t>
      </w:r>
      <w:r/>
    </w:p>
    <w:p w14:paraId="14CD9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Decrease the value of the max_tokens parameter.</w:t>
      </w:r>
      <w:r/>
    </w:p>
    <w:p w14:paraId="373E0D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16</w:t>
      </w:r>
      <w:r/>
    </w:p>
    <w:p w14:paraId="6BFFD4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multi-agent solution. The agents use tool calling to query internal systems.</w:t>
      </w:r>
      <w:r/>
    </w:p>
    <w:p w14:paraId="3EFFBA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responsible AI auditing to meet the following requirements:</w:t>
      </w:r>
      <w:r/>
    </w:p>
    <w:p w14:paraId="107A968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all the nested operations across the entire agent run.</w:t>
      </w:r>
      <w:r/>
    </w:p>
    <w:p w14:paraId="2230FC1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Record tool invocation arguments and returned results as metadata.</w:t>
      </w:r>
      <w:r/>
    </w:p>
    <w:p w14:paraId="49849E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 for each requirement? To answer, drag the appropriate options to the correct targets. Each option may be used once, more than once, or not at all. You may need to drag the split bar between panes or scroll to view content.</w:t>
      </w:r>
      <w:r/>
    </w:p>
    <w:p w14:paraId="687427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3670F4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Options</w:t>
      </w:r>
      <w:r/>
    </w:p>
    <w:p w14:paraId="6D3F466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Hierarchical spans</w:t>
      </w:r>
      <w:r/>
    </w:p>
    <w:p w14:paraId="470F2D3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KQL query filter</w:t>
      </w:r>
      <w:r/>
    </w:p>
    <w:p w14:paraId="6140CE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Sampling</w:t>
      </w:r>
      <w:r/>
    </w:p>
    <w:p w14:paraId="3886873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 call attributes</w:t>
      </w:r>
      <w:r/>
    </w:p>
    <w:p w14:paraId="63E46B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Trace sampling policy</w:t>
      </w:r>
      <w:r/>
    </w:p>
    <w:p w14:paraId="4ADF0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793B2E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Capture all the nested operations across the entire agent run:</w:t>
      </w:r>
      <w:r/>
    </w:p>
    <w:p w14:paraId="52791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 ______________________________</w:t>
      </w:r>
      <w:r/>
    </w:p>
    <w:p w14:paraId="34C2C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Record tool invocation arguments and results:</w:t>
      </w:r>
      <w:r/>
    </w:p>
    <w:p w14:paraId="2A5B1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 ______________________________</w:t>
      </w:r>
      <w:r/>
    </w:p>
    <w:p w14:paraId="5E5C5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17</w:t>
      </w:r>
      <w:r/>
    </w:p>
    <w:p w14:paraId="3C860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contains a Microsoft Foundry Service resource named CSAccount1 and a virtual network named VNet1. CSAaccount1 is connected to VNet1.</w:t>
      </w:r>
      <w:r/>
    </w:p>
    <w:p w14:paraId="1B364D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only specific resources can access CSAccount1. The solution must meet the following requirements:</w:t>
      </w:r>
      <w:r/>
    </w:p>
    <w:p w14:paraId="3BECAC3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external access to CSAccount1.</w:t>
      </w:r>
      <w:r/>
    </w:p>
    <w:p w14:paraId="2D9A961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Minimize administrative effort.</w:t>
      </w:r>
      <w:r/>
    </w:p>
    <w:p w14:paraId="2D6EBD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actions should you perform? Each correct answer presents part of the solution.</w:t>
      </w:r>
      <w:r/>
    </w:p>
    <w:p w14:paraId="1D9E5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answer is worth one point.</w:t>
      </w:r>
      <w:r/>
    </w:p>
    <w:p w14:paraId="70834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In VNet1, create a virtual subnet.</w:t>
      </w:r>
      <w:r/>
    </w:p>
    <w:p w14:paraId="6B924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In CSAccount1, configure the Access control (IAM) settings.</w:t>
      </w:r>
      <w:r/>
    </w:p>
    <w:p w14:paraId="0C4AD4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In CSAccount1, modify the virtual network settings.</w:t>
      </w:r>
      <w:r/>
    </w:p>
    <w:p w14:paraId="543B3B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In VNet1, modify the virtual network settings.</w:t>
      </w:r>
      <w:r/>
    </w:p>
    <w:p w14:paraId="16AF35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In VNet1, enable a service endpoint for CSAccount1.</w:t>
      </w:r>
      <w:r/>
    </w:p>
    <w:p w14:paraId="44620C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18</w:t>
      </w:r>
      <w:r/>
    </w:p>
    <w:p w14:paraId="3D4E75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solution in Azure that will use Azure Language in Foundry Tools service to process sensitive customer data.</w:t>
      </w:r>
      <w:r/>
    </w:p>
    <w:p w14:paraId="78D9FE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only specific Azure processes can access the Language service. The solution must minimize administrative effort.</w:t>
      </w:r>
      <w:r/>
    </w:p>
    <w:p w14:paraId="4E3D57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include in the solution?</w:t>
      </w:r>
      <w:r/>
    </w:p>
    <w:p w14:paraId="27ADE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virtual network gateway</w:t>
      </w:r>
      <w:r/>
    </w:p>
    <w:p w14:paraId="292C7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IPsec rules</w:t>
      </w:r>
      <w:r/>
    </w:p>
    <w:p w14:paraId="4EA240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Azure Application Gateway</w:t>
      </w:r>
      <w:r/>
    </w:p>
    <w:p w14:paraId="452851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virtual network rules</w:t>
      </w:r>
      <w:r/>
    </w:p>
    <w:p w14:paraId="52E01D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19</w:t>
      </w:r>
      <w:r/>
    </w:p>
    <w:p w14:paraId="26A295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collection of press releases stored as PDF files.</w:t>
      </w:r>
      <w:r/>
    </w:p>
    <w:p w14:paraId="333C8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extract text from the files and perform sentiment analysis.</w:t>
      </w:r>
      <w:r/>
    </w:p>
    <w:p w14:paraId="3E94AD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service should you use for each task? To answer, select the appropriate options in the answer area.</w:t>
      </w:r>
      <w:r/>
    </w:p>
    <w:p w14:paraId="257AFB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6FE710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80"/>
        <w:gridCol w:w="746"/>
      </w:tblGrid>
      <w:tr>
        <w:trPr/>
        <w:tc>
          <w:tcPr>
            <w:tcBorders/>
            <w:tcMar>
              <w:left w:w="15" w:type="dxa"/>
              <w:top w:w="15" w:type="dxa"/>
              <w:right w:w="15" w:type="dxa"/>
              <w:bottom w:w="15" w:type="dxa"/>
            </w:tcMar>
            <w:tcW w:w="2680" w:type="dxa"/>
            <w:vAlign w:val="center"/>
          </w:tcPr>
          <w:p w14:paraId="339A56BD">
            <w:pPr>
              <w:pBdr/>
              <w:spacing w:after="0" w:before="0" w:line="240"/>
              <w:ind/>
              <w:jc w:val="center"/>
              <w:rPr/>
            </w:pPr>
            <w:r>
              <w:rPr>
                <w:rFonts w:ascii="Times New Roman" w:hAnsi="Times New Roman" w:eastAsia="Times New Roman" w:cs="Times New Roman"/>
                <w:b/>
                <w:color w:val="000000"/>
                <w:sz w:val="24"/>
              </w:rPr>
              <w:t xml:space="preserve">Task</w:t>
            </w:r>
            <w:r/>
          </w:p>
        </w:tc>
        <w:tc>
          <w:tcPr>
            <w:tcBorders/>
            <w:tcMar>
              <w:left w:w="15" w:type="dxa"/>
              <w:top w:w="15" w:type="dxa"/>
              <w:right w:w="15" w:type="dxa"/>
              <w:bottom w:w="15" w:type="dxa"/>
            </w:tcMar>
            <w:tcW w:w="746" w:type="dxa"/>
            <w:vAlign w:val="center"/>
          </w:tcPr>
          <w:p w14:paraId="5157171E">
            <w:pPr>
              <w:pBdr/>
              <w:spacing w:after="0" w:before="0" w:line="240"/>
              <w:ind/>
              <w:jc w:val="center"/>
              <w:rPr/>
            </w:pPr>
            <w:r>
              <w:rPr>
                <w:rFonts w:ascii="Times New Roman" w:hAnsi="Times New Roman" w:eastAsia="Times New Roman" w:cs="Times New Roman"/>
                <w:b/>
                <w:color w:val="000000"/>
                <w:sz w:val="24"/>
              </w:rPr>
              <w:t xml:space="preserve">Service</w:t>
            </w:r>
            <w:r/>
          </w:p>
        </w:tc>
      </w:tr>
      <w:tr>
        <w:trPr/>
        <w:tc>
          <w:tcPr>
            <w:tcBorders/>
            <w:tcMar>
              <w:left w:w="15" w:type="dxa"/>
              <w:top w:w="15" w:type="dxa"/>
              <w:right w:w="15" w:type="dxa"/>
              <w:bottom w:w="15" w:type="dxa"/>
            </w:tcMar>
            <w:tcW w:w="2680" w:type="dxa"/>
            <w:vAlign w:val="center"/>
          </w:tcPr>
          <w:p w14:paraId="6B27EF0B">
            <w:pPr>
              <w:pBdr/>
              <w:spacing w:after="0" w:before="0" w:line="240"/>
              <w:ind/>
              <w:rPr/>
            </w:pPr>
            <w:r>
              <w:rPr>
                <w:rFonts w:ascii="Times New Roman" w:hAnsi="Times New Roman" w:eastAsia="Times New Roman" w:cs="Times New Roman"/>
                <w:color w:val="000000"/>
                <w:sz w:val="24"/>
              </w:rPr>
              <w:t xml:space="preserve">Extract text:</w:t>
            </w:r>
            <w:r/>
          </w:p>
        </w:tc>
        <w:tc>
          <w:tcPr>
            <w:tcBorders/>
            <w:tcMar>
              <w:left w:w="15" w:type="dxa"/>
              <w:top w:w="15" w:type="dxa"/>
              <w:right w:w="15" w:type="dxa"/>
              <w:bottom w:w="15" w:type="dxa"/>
            </w:tcMar>
            <w:tcW w:w="746" w:type="dxa"/>
            <w:vAlign w:val="center"/>
          </w:tcPr>
          <w:p w14:paraId="56807ED2">
            <w:pPr>
              <w:pBdr/>
              <w:spacing w:after="0" w:before="0" w:line="240"/>
              <w:ind/>
              <w:rPr/>
            </w:pPr>
            <w:r/>
          </w:p>
        </w:tc>
      </w:tr>
      <w:tr>
        <w:trPr/>
        <w:tc>
          <w:tcPr>
            <w:tcBorders/>
            <w:tcMar>
              <w:left w:w="15" w:type="dxa"/>
              <w:top w:w="15" w:type="dxa"/>
              <w:right w:w="15" w:type="dxa"/>
              <w:bottom w:w="15" w:type="dxa"/>
            </w:tcMar>
            <w:tcW w:w="2680" w:type="dxa"/>
            <w:vAlign w:val="center"/>
          </w:tcPr>
          <w:p w14:paraId="43AB3D34">
            <w:pPr>
              <w:pBdr/>
              <w:spacing w:after="0" w:before="0" w:line="240"/>
              <w:ind/>
              <w:rPr/>
            </w:pPr>
            <w:r>
              <w:rPr>
                <w:rFonts w:ascii="Times New Roman" w:hAnsi="Times New Roman" w:eastAsia="Times New Roman" w:cs="Times New Roman"/>
                <w:color w:val="000000"/>
                <w:sz w:val="24"/>
              </w:rPr>
              <w:t xml:space="preserve">Perform sentiment analysis:</w:t>
            </w:r>
            <w:r/>
          </w:p>
        </w:tc>
        <w:tc>
          <w:tcPr>
            <w:tcBorders/>
            <w:tcMar>
              <w:left w:w="15" w:type="dxa"/>
              <w:top w:w="15" w:type="dxa"/>
              <w:right w:w="15" w:type="dxa"/>
              <w:bottom w:w="15" w:type="dxa"/>
            </w:tcMar>
            <w:tcW w:w="746" w:type="dxa"/>
            <w:vAlign w:val="center"/>
          </w:tcPr>
          <w:p w14:paraId="2448DC0B">
            <w:pPr>
              <w:pBdr/>
              <w:spacing w:after="0" w:before="0" w:line="240"/>
              <w:ind/>
              <w:rPr/>
            </w:pPr>
            <w:r/>
          </w:p>
        </w:tc>
      </w:tr>
    </w:tbl>
    <w:p w14:paraId="3D9E3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20</w:t>
      </w:r>
      <w:r/>
    </w:p>
    <w:p w14:paraId="40009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25A546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uses tools to retrieve internal content and call external APIs. The agent is configured to let the model decide when to call the tools.</w:t>
      </w:r>
      <w:r/>
    </w:p>
    <w:p w14:paraId="2EA21D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publish the agent for a compliance workflow. The solution must meet the following requirements:</w:t>
      </w:r>
      <w:r/>
    </w:p>
    <w:p w14:paraId="6C3A5A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workflow run must include a retrieval step before generating a response.</w:t>
      </w:r>
      <w:r/>
    </w:p>
    <w:p w14:paraId="13E1DCA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 calls must authenticate by using the published agent's own identity.</w:t>
      </w:r>
      <w:r/>
    </w:p>
    <w:p w14:paraId="244615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 access must use an identity isolated from other project resources.</w:t>
      </w:r>
      <w:r/>
    </w:p>
    <w:p w14:paraId="32C13D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 access must use support audit tracing.</w:t>
      </w:r>
      <w:r/>
    </w:p>
    <w:p w14:paraId="0E11F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 To answer, select the appropriate options in the answer area.</w:t>
      </w:r>
      <w:r/>
    </w:p>
    <w:p w14:paraId="3540C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92"/>
        <w:gridCol w:w="920"/>
      </w:tblGrid>
      <w:tr>
        <w:trPr/>
        <w:tc>
          <w:tcPr>
            <w:tcBorders/>
            <w:tcMar>
              <w:left w:w="15" w:type="dxa"/>
              <w:top w:w="15" w:type="dxa"/>
              <w:right w:w="15" w:type="dxa"/>
              <w:bottom w:w="15" w:type="dxa"/>
            </w:tcMar>
            <w:tcW w:w="3592" w:type="dxa"/>
            <w:vAlign w:val="center"/>
          </w:tcPr>
          <w:p w14:paraId="425677EE">
            <w:pPr>
              <w:pBdr/>
              <w:spacing w:after="0" w:before="0" w:line="240"/>
              <w:ind/>
              <w:jc w:val="center"/>
              <w:rPr/>
            </w:pPr>
            <w:r>
              <w:rPr>
                <w:rFonts w:ascii="Times New Roman" w:hAnsi="Times New Roman" w:eastAsia="Times New Roman" w:cs="Times New Roman"/>
                <w:b/>
                <w:color w:val="000000"/>
                <w:sz w:val="24"/>
              </w:rPr>
              <w:t xml:space="preserve">Requirement</w:t>
            </w:r>
            <w:r/>
          </w:p>
        </w:tc>
        <w:tc>
          <w:tcPr>
            <w:tcBorders/>
            <w:tcMar>
              <w:left w:w="15" w:type="dxa"/>
              <w:top w:w="15" w:type="dxa"/>
              <w:right w:w="15" w:type="dxa"/>
              <w:bottom w:w="15" w:type="dxa"/>
            </w:tcMar>
            <w:tcW w:w="920" w:type="dxa"/>
            <w:vAlign w:val="center"/>
          </w:tcPr>
          <w:p w14:paraId="325B662F">
            <w:pPr>
              <w:pBdr/>
              <w:spacing w:after="0" w:before="0" w:line="240"/>
              <w:ind/>
              <w:jc w:val="center"/>
              <w:rPr/>
            </w:pPr>
            <w:r>
              <w:rPr>
                <w:rFonts w:ascii="Times New Roman" w:hAnsi="Times New Roman" w:eastAsia="Times New Roman" w:cs="Times New Roman"/>
                <w:b/>
                <w:color w:val="000000"/>
                <w:sz w:val="24"/>
              </w:rPr>
              <w:t xml:space="preserve">Selection</w:t>
            </w:r>
            <w:r/>
          </w:p>
        </w:tc>
      </w:tr>
      <w:tr>
        <w:trPr/>
        <w:tc>
          <w:tcPr>
            <w:tcBorders/>
            <w:tcMar>
              <w:left w:w="15" w:type="dxa"/>
              <w:top w:w="15" w:type="dxa"/>
              <w:right w:w="15" w:type="dxa"/>
              <w:bottom w:w="15" w:type="dxa"/>
            </w:tcMar>
            <w:tcW w:w="3592" w:type="dxa"/>
            <w:vAlign w:val="center"/>
          </w:tcPr>
          <w:p w14:paraId="0B37E704">
            <w:pPr>
              <w:pBdr/>
              <w:spacing w:after="0" w:before="0" w:line="240"/>
              <w:ind/>
              <w:rPr/>
            </w:pPr>
            <w:r>
              <w:rPr>
                <w:rFonts w:ascii="Times New Roman" w:hAnsi="Times New Roman" w:eastAsia="Times New Roman" w:cs="Times New Roman"/>
                <w:color w:val="000000"/>
                <w:sz w:val="24"/>
              </w:rPr>
              <w:t xml:space="preserve">Set tool choice to:</w:t>
            </w:r>
            <w:r/>
          </w:p>
        </w:tc>
        <w:tc>
          <w:tcPr>
            <w:tcBorders/>
            <w:tcMar>
              <w:left w:w="15" w:type="dxa"/>
              <w:top w:w="15" w:type="dxa"/>
              <w:right w:w="15" w:type="dxa"/>
              <w:bottom w:w="15" w:type="dxa"/>
            </w:tcMar>
            <w:tcW w:w="920" w:type="dxa"/>
            <w:vAlign w:val="center"/>
          </w:tcPr>
          <w:p w14:paraId="29FAC0E3">
            <w:pPr>
              <w:pBdr/>
              <w:spacing w:after="0" w:before="0" w:line="240"/>
              <w:ind/>
              <w:rPr/>
            </w:pPr>
            <w:r/>
          </w:p>
        </w:tc>
      </w:tr>
      <w:tr>
        <w:trPr/>
        <w:tc>
          <w:tcPr>
            <w:tcBorders/>
            <w:tcMar>
              <w:left w:w="15" w:type="dxa"/>
              <w:top w:w="15" w:type="dxa"/>
              <w:right w:w="15" w:type="dxa"/>
              <w:bottom w:w="15" w:type="dxa"/>
            </w:tcMar>
            <w:tcW w:w="3592" w:type="dxa"/>
            <w:vAlign w:val="center"/>
          </w:tcPr>
          <w:p w14:paraId="27854DF5">
            <w:pPr>
              <w:pBdr/>
              <w:spacing w:after="0" w:before="0" w:line="240"/>
              <w:ind/>
              <w:rPr/>
            </w:pPr>
            <w:r>
              <w:rPr>
                <w:rFonts w:ascii="Times New Roman" w:hAnsi="Times New Roman" w:eastAsia="Times New Roman" w:cs="Times New Roman"/>
                <w:color w:val="000000"/>
                <w:sz w:val="24"/>
              </w:rPr>
              <w:t xml:space="preserve">Configure the tool to authenticate by:</w:t>
            </w:r>
            <w:r/>
          </w:p>
        </w:tc>
        <w:tc>
          <w:tcPr>
            <w:tcBorders/>
            <w:tcMar>
              <w:left w:w="15" w:type="dxa"/>
              <w:top w:w="15" w:type="dxa"/>
              <w:right w:w="15" w:type="dxa"/>
              <w:bottom w:w="15" w:type="dxa"/>
            </w:tcMar>
            <w:tcW w:w="920" w:type="dxa"/>
            <w:vAlign w:val="center"/>
          </w:tcPr>
          <w:p w14:paraId="090EDD7E">
            <w:pPr>
              <w:pBdr/>
              <w:spacing w:after="0" w:before="0" w:line="240"/>
              <w:ind/>
              <w:rPr/>
            </w:pPr>
            <w:r/>
          </w:p>
        </w:tc>
      </w:tr>
    </w:tbl>
    <w:p w14:paraId="1F327B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Options</w:t>
      </w:r>
      <w:r/>
    </w:p>
    <w:p w14:paraId="40ADD9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Storing API keys in prompts</w:t>
      </w:r>
      <w:r/>
    </w:p>
    <w:p w14:paraId="634EDA7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Using the shared project agent identity</w:t>
      </w:r>
      <w:r/>
    </w:p>
    <w:p w14:paraId="41406DC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Using a distinct agent identity bound to the client application</w:t>
      </w:r>
      <w:r/>
    </w:p>
    <w:p w14:paraId="6424F7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21</w:t>
      </w:r>
      <w:r/>
    </w:p>
    <w:p w14:paraId="105E0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run the following command.</w:t>
      </w:r>
      <w:r/>
    </w:p>
    <w:p w14:paraId="04CE5C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docker run -rm-it-p 5000:5000 -memory 10g-cpus 2 mcr.microsoft.com/azure-cognitive-services/textanalytics/sentiment \</w:t>
      </w:r>
      <w:r/>
    </w:p>
    <w:p w14:paraId="25D73B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62AD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Eula-accept\</w:t>
      </w:r>
      <w:r/>
    </w:p>
    <w:p w14:paraId="300356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2FDC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Billing (ENDPOINT_URI} \</w:t>
      </w:r>
      <w:r/>
    </w:p>
    <w:p w14:paraId="397832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7AB6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ApiKey=(API_KEY]</w:t>
      </w:r>
      <w:r/>
    </w:p>
    <w:p w14:paraId="5F7E99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5C14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p w14:paraId="001F8E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27BA9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905"/>
        <w:gridCol w:w="243"/>
        <w:gridCol w:w="206"/>
      </w:tblGrid>
      <w:tr>
        <w:trPr/>
        <w:tc>
          <w:tcPr>
            <w:tcBorders/>
            <w:tcMar>
              <w:left w:w="15" w:type="dxa"/>
              <w:top w:w="15" w:type="dxa"/>
              <w:right w:w="15" w:type="dxa"/>
              <w:bottom w:w="15" w:type="dxa"/>
            </w:tcMar>
            <w:tcW w:w="8905" w:type="dxa"/>
            <w:vAlign w:val="center"/>
          </w:tcPr>
          <w:p w14:paraId="069854E5">
            <w:pPr>
              <w:pBdr/>
              <w:spacing w:after="0" w:before="0" w:line="240"/>
              <w:ind/>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243" w:type="dxa"/>
            <w:vAlign w:val="center"/>
          </w:tcPr>
          <w:p w14:paraId="081127F1">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06" w:type="dxa"/>
            <w:vAlign w:val="center"/>
          </w:tcPr>
          <w:p w14:paraId="564FD314">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8905" w:type="dxa"/>
            <w:vAlign w:val="center"/>
          </w:tcPr>
          <w:p w14:paraId="100F9E3C">
            <w:pPr>
              <w:pBdr/>
              <w:spacing w:after="0" w:before="0" w:line="240"/>
              <w:ind/>
              <w:rPr/>
            </w:pPr>
            <w:r>
              <w:rPr>
                <w:rFonts w:ascii="Times New Roman" w:hAnsi="Times New Roman" w:eastAsia="Times New Roman" w:cs="Times New Roman"/>
                <w:color w:val="000000"/>
                <w:sz w:val="24"/>
              </w:rPr>
              <w:t xml:space="preserve">Going to </w:t>
            </w:r>
            <w:hyperlink r:id="rId9" w:tooltip="http://localhost:5000/status" w:history="1">
              <w:r>
                <w:rPr>
                  <w:rStyle w:val="187"/>
                  <w:rFonts w:ascii="Times New Roman" w:hAnsi="Times New Roman" w:eastAsia="Times New Roman" w:cs="Times New Roman"/>
                  <w:color w:val="0000ee"/>
                  <w:sz w:val="24"/>
                  <w:u w:val="single"/>
                </w:rPr>
                <w:t xml:space="preserve">http://localhost:5000/status</w:t>
              </w:r>
            </w:hyperlink>
            <w:r>
              <w:rPr>
                <w:rFonts w:ascii="Times New Roman" w:hAnsi="Times New Roman" w:eastAsia="Times New Roman" w:cs="Times New Roman"/>
                <w:color w:val="000000"/>
                <w:sz w:val="24"/>
              </w:rPr>
              <w:t xml:space="preserve"> will query the Azure endpoint to verify whether the API key used to start the container is valid.</w:t>
            </w:r>
            <w:r/>
          </w:p>
        </w:tc>
        <w:tc>
          <w:tcPr>
            <w:tcBorders/>
            <w:tcMar>
              <w:left w:w="15" w:type="dxa"/>
              <w:top w:w="15" w:type="dxa"/>
              <w:right w:w="15" w:type="dxa"/>
              <w:bottom w:w="15" w:type="dxa"/>
            </w:tcMar>
            <w:tcW w:w="243" w:type="dxa"/>
            <w:vAlign w:val="center"/>
          </w:tcPr>
          <w:p w14:paraId="26165004">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06" w:type="dxa"/>
            <w:vAlign w:val="center"/>
          </w:tcPr>
          <w:p w14:paraId="2496B41B">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905" w:type="dxa"/>
            <w:vAlign w:val="center"/>
          </w:tcPr>
          <w:p w14:paraId="2453DC5B">
            <w:pPr>
              <w:pBdr/>
              <w:spacing w:after="0" w:before="0" w:line="240"/>
              <w:ind/>
              <w:rPr/>
            </w:pPr>
            <w:r>
              <w:rPr>
                <w:rFonts w:ascii="Times New Roman" w:hAnsi="Times New Roman" w:eastAsia="Times New Roman" w:cs="Times New Roman"/>
                <w:color w:val="000000"/>
                <w:sz w:val="24"/>
              </w:rPr>
              <w:t xml:space="preserve">The container logging provider will write log data.</w:t>
            </w:r>
            <w:r/>
          </w:p>
        </w:tc>
        <w:tc>
          <w:tcPr>
            <w:tcBorders/>
            <w:tcMar>
              <w:left w:w="15" w:type="dxa"/>
              <w:top w:w="15" w:type="dxa"/>
              <w:right w:w="15" w:type="dxa"/>
              <w:bottom w:w="15" w:type="dxa"/>
            </w:tcMar>
            <w:tcW w:w="243" w:type="dxa"/>
            <w:vAlign w:val="center"/>
          </w:tcPr>
          <w:p w14:paraId="2CCAD7C9">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06" w:type="dxa"/>
            <w:vAlign w:val="center"/>
          </w:tcPr>
          <w:p w14:paraId="57549D19">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905" w:type="dxa"/>
            <w:vAlign w:val="center"/>
          </w:tcPr>
          <w:p w14:paraId="5D2287F5">
            <w:pPr>
              <w:pBdr/>
              <w:spacing w:after="0" w:before="0" w:line="240"/>
              <w:ind/>
              <w:rPr/>
            </w:pPr>
            <w:r>
              <w:rPr>
                <w:rFonts w:ascii="Times New Roman" w:hAnsi="Times New Roman" w:eastAsia="Times New Roman" w:cs="Times New Roman"/>
                <w:color w:val="000000"/>
                <w:sz w:val="24"/>
              </w:rPr>
              <w:t xml:space="preserve">Going to </w:t>
            </w:r>
            <w:hyperlink r:id="rId10" w:tooltip="http://localhost:5000/swagger" w:history="1">
              <w:r>
                <w:rPr>
                  <w:rStyle w:val="187"/>
                  <w:rFonts w:ascii="Times New Roman" w:hAnsi="Times New Roman" w:eastAsia="Times New Roman" w:cs="Times New Roman"/>
                  <w:color w:val="0000ee"/>
                  <w:sz w:val="24"/>
                  <w:u w:val="single"/>
                </w:rPr>
                <w:t xml:space="preserve">http://localhost:5000/swagger</w:t>
              </w:r>
            </w:hyperlink>
            <w:r>
              <w:rPr>
                <w:rFonts w:ascii="Times New Roman" w:hAnsi="Times New Roman" w:eastAsia="Times New Roman" w:cs="Times New Roman"/>
                <w:color w:val="000000"/>
                <w:sz w:val="24"/>
              </w:rPr>
              <w:t xml:space="preserve"> will provide the details to access the documentation for the available endpoints.</w:t>
            </w:r>
            <w:r/>
          </w:p>
        </w:tc>
        <w:tc>
          <w:tcPr>
            <w:tcBorders/>
            <w:tcMar>
              <w:left w:w="15" w:type="dxa"/>
              <w:top w:w="15" w:type="dxa"/>
              <w:right w:w="15" w:type="dxa"/>
              <w:bottom w:w="15" w:type="dxa"/>
            </w:tcMar>
            <w:tcW w:w="243" w:type="dxa"/>
            <w:vAlign w:val="center"/>
          </w:tcPr>
          <w:p w14:paraId="7F3251A9">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06" w:type="dxa"/>
            <w:vAlign w:val="center"/>
          </w:tcPr>
          <w:p w14:paraId="33797118">
            <w:pPr>
              <w:pBdr/>
              <w:spacing w:after="0" w:before="0" w:line="240"/>
              <w:ind/>
              <w:rPr/>
            </w:pPr>
            <w:r>
              <w:rPr>
                <w:rFonts w:ascii="Times New Roman" w:hAnsi="Times New Roman" w:eastAsia="Times New Roman" w:cs="Times New Roman"/>
                <w:color w:val="000000"/>
                <w:sz w:val="24"/>
              </w:rPr>
              <w:t xml:space="preserve">☐</w:t>
            </w:r>
            <w:r/>
          </w:p>
        </w:tc>
      </w:tr>
    </w:tbl>
    <w:p w14:paraId="6BFDF7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22</w:t>
      </w:r>
      <w:r/>
    </w:p>
    <w:p w14:paraId="754D48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designing an Azure AI solution to identify defective products on a production line.</w:t>
      </w:r>
      <w:r/>
    </w:p>
    <w:p w14:paraId="6EC49F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real-time video feed and an image library of sample products that are approved or rejected manually.</w:t>
      </w:r>
      <w:r/>
    </w:p>
    <w:p w14:paraId="35E0D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a service that meets the following requirements:</w:t>
      </w:r>
      <w:r/>
    </w:p>
    <w:p w14:paraId="1EC315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Monitors the video feed and identifies the defective products.</w:t>
      </w:r>
      <w:r/>
    </w:p>
    <w:p w14:paraId="23CA9A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 train a new model by using the image library.</w:t>
      </w:r>
      <w:r/>
    </w:p>
    <w:p w14:paraId="2FD8BA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Minimizes development effort.</w:t>
      </w:r>
      <w:r/>
    </w:p>
    <w:p w14:paraId="56351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recommend?</w:t>
      </w:r>
      <w:r/>
    </w:p>
    <w:p w14:paraId="469B74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Azure AI Custom Vision</w:t>
      </w:r>
      <w:r/>
    </w:p>
    <w:p w14:paraId="50F17D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Azure Vision in Foundry Tools</w:t>
      </w:r>
      <w:r/>
    </w:p>
    <w:p w14:paraId="587B61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Azure Machine Learning</w:t>
      </w:r>
      <w:r/>
    </w:p>
    <w:p w14:paraId="74BC9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Azure AI Video Indexer</w:t>
      </w:r>
      <w:r/>
    </w:p>
    <w:p w14:paraId="46E0D9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23</w:t>
      </w:r>
      <w:r/>
    </w:p>
    <w:p w14:paraId="78F67C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7633FA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uses a stored access key to retrieve secrets from an Azure key vault, which violates a keyless-credentials requirement.</w:t>
      </w:r>
      <w:r/>
    </w:p>
    <w:p w14:paraId="75C0C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agent can retrieve the secrets. The solution must follow the principle of least privilege.</w:t>
      </w:r>
      <w:r/>
    </w:p>
    <w:p w14:paraId="3C5F02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 To answer, select the appropriate options in the answer area.</w:t>
      </w:r>
      <w:r/>
    </w:p>
    <w:p w14:paraId="44B52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4FE74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640863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Managed identity scope:</w:t>
      </w:r>
      <w:r/>
    </w:p>
    <w:p w14:paraId="50AFB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a system-assigned managed identity at the Foundry level.</w:t>
      </w:r>
      <w:r/>
    </w:p>
    <w:p w14:paraId="2F28E1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Enable a system-assigned managed identity at the project level.</w:t>
      </w:r>
      <w:r/>
    </w:p>
    <w:p w14:paraId="3C709B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Key Vault authorization method:</w:t>
      </w:r>
      <w:r/>
    </w:p>
    <w:p w14:paraId="2338F1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Create a service principal and store the principal's client secret.</w:t>
      </w:r>
      <w:r/>
    </w:p>
    <w:p w14:paraId="386DD7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Add an API key to application settings.</w:t>
      </w:r>
      <w:r/>
    </w:p>
    <w:p w14:paraId="416DCB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Add a Key Vault access policy for the secrets.</w:t>
      </w:r>
      <w:r/>
    </w:p>
    <w:p w14:paraId="34B799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 Assign the Key Vault Secrets User role to the managed identity.</w:t>
      </w:r>
      <w:r/>
    </w:p>
    <w:p w14:paraId="1CBEB9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24</w:t>
      </w:r>
      <w:r/>
    </w:p>
    <w:p w14:paraId="342D5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developing an app that will use the Speech and Language APIs.</w:t>
      </w:r>
      <w:r/>
    </w:p>
    <w:p w14:paraId="05688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provision resources for the app. The solution must ensure that each service is accessed by using a single endpoint and credential.</w:t>
      </w:r>
      <w:r/>
    </w:p>
    <w:p w14:paraId="171A38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type of resource should you create?</w:t>
      </w:r>
      <w:r/>
    </w:p>
    <w:p w14:paraId="412C70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Microsoft Foundry service</w:t>
      </w:r>
      <w:r/>
    </w:p>
    <w:p w14:paraId="0708E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Azure Language in Foundry Tools</w:t>
      </w:r>
      <w:r/>
    </w:p>
    <w:p w14:paraId="0F3FE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Content Safety in Foundry Control Plane</w:t>
      </w:r>
      <w:r/>
    </w:p>
    <w:p w14:paraId="72A8A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Azure Speech in Foundry Tools</w:t>
      </w:r>
      <w:r/>
    </w:p>
    <w:p w14:paraId="65917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25</w:t>
      </w:r>
      <w:r/>
    </w:p>
    <w:p w14:paraId="0DD78C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from azure.core.credentials import AzureKeyCredential</w:t>
      </w:r>
      <w:r/>
    </w:p>
    <w:p w14:paraId="7F68A0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from azure.ai.textanalytics import TextAnalyticsClient</w:t>
      </w:r>
      <w:r/>
    </w:p>
    <w:p w14:paraId="1CC226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1EFE9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endpoint os.environ ["AZURE_TEXT_ANALYTICS_ENDPOINT"]</w:t>
      </w:r>
      <w:r/>
    </w:p>
    <w:p w14:paraId="03D092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key os.environ ["AZURE_TEXT_ANALYTICS_KEY"]</w:t>
      </w:r>
      <w:r/>
    </w:p>
    <w:p w14:paraId="636E98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709B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text_analytics_client = TextAnalyticsClient(endpoint endpoint, credential AzureKeyCredential (key))</w:t>
      </w:r>
      <w:r/>
    </w:p>
    <w:p w14:paraId="22696C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FDA5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documents [</w:t>
      </w:r>
      <w:r/>
    </w:p>
    <w:p w14:paraId="7F1776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Our tour guide took us up the Space Needle during our trip to Seattle last week.</w:t>
      </w:r>
      <w:r/>
    </w:p>
    <w:p w14:paraId="09F14A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4E42F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E940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result text analytics_client.recognize_linked_entities(documents)</w:t>
      </w:r>
      <w:r/>
    </w:p>
    <w:p w14:paraId="743A7E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09D98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p w14:paraId="5E27BD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74"/>
        <w:gridCol w:w="260"/>
        <w:gridCol w:w="220"/>
      </w:tblGrid>
      <w:tr>
        <w:trPr/>
        <w:tc>
          <w:tcPr>
            <w:tcBorders/>
            <w:tcMar>
              <w:left w:w="15" w:type="dxa"/>
              <w:top w:w="15" w:type="dxa"/>
              <w:right w:w="15" w:type="dxa"/>
              <w:bottom w:w="15" w:type="dxa"/>
            </w:tcMar>
            <w:tcW w:w="8874" w:type="dxa"/>
            <w:vAlign w:val="center"/>
          </w:tcPr>
          <w:p w14:paraId="70AE823B">
            <w:pPr>
              <w:pBdr/>
              <w:spacing w:after="0" w:before="0" w:line="240"/>
              <w:ind/>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260" w:type="dxa"/>
            <w:vAlign w:val="center"/>
          </w:tcPr>
          <w:p w14:paraId="02ADA661">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20" w:type="dxa"/>
            <w:vAlign w:val="center"/>
          </w:tcPr>
          <w:p w14:paraId="126AAB12">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8874" w:type="dxa"/>
            <w:vAlign w:val="center"/>
          </w:tcPr>
          <w:p w14:paraId="787A7469">
            <w:pPr>
              <w:pBdr/>
              <w:spacing w:after="0" w:before="0" w:line="240"/>
              <w:ind/>
              <w:rPr/>
            </w:pPr>
            <w:r>
              <w:rPr>
                <w:rFonts w:ascii="Times New Roman" w:hAnsi="Times New Roman" w:eastAsia="Times New Roman" w:cs="Times New Roman"/>
                <w:color w:val="000000"/>
                <w:sz w:val="24"/>
              </w:rPr>
              <w:t xml:space="preserve">The code will detect the language of documents.</w:t>
            </w:r>
            <w:r/>
          </w:p>
        </w:tc>
        <w:tc>
          <w:tcPr>
            <w:tcBorders/>
            <w:tcMar>
              <w:left w:w="15" w:type="dxa"/>
              <w:top w:w="15" w:type="dxa"/>
              <w:right w:w="15" w:type="dxa"/>
              <w:bottom w:w="15" w:type="dxa"/>
            </w:tcMar>
            <w:tcW w:w="260" w:type="dxa"/>
            <w:vAlign w:val="center"/>
          </w:tcPr>
          <w:p w14:paraId="6F8E895D">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20" w:type="dxa"/>
            <w:vAlign w:val="center"/>
          </w:tcPr>
          <w:p w14:paraId="316E0397">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874" w:type="dxa"/>
            <w:vAlign w:val="center"/>
          </w:tcPr>
          <w:p w14:paraId="05A6CF6E">
            <w:pPr>
              <w:pBdr/>
              <w:spacing w:after="0" w:before="0" w:line="240"/>
              <w:ind/>
              <w:rPr/>
            </w:pPr>
            <w:r>
              <w:rPr>
                <w:rFonts w:ascii="Times New Roman" w:hAnsi="Times New Roman" w:eastAsia="Times New Roman" w:cs="Times New Roman"/>
                <w:color w:val="000000"/>
                <w:sz w:val="24"/>
              </w:rPr>
              <w:t xml:space="preserve">The url attribute returned for each linked entity will be a Bing search link.</w:t>
            </w:r>
            <w:r/>
          </w:p>
        </w:tc>
        <w:tc>
          <w:tcPr>
            <w:tcBorders/>
            <w:tcMar>
              <w:left w:w="15" w:type="dxa"/>
              <w:top w:w="15" w:type="dxa"/>
              <w:right w:w="15" w:type="dxa"/>
              <w:bottom w:w="15" w:type="dxa"/>
            </w:tcMar>
            <w:tcW w:w="260" w:type="dxa"/>
            <w:vAlign w:val="center"/>
          </w:tcPr>
          <w:p w14:paraId="05637A13">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20" w:type="dxa"/>
            <w:vAlign w:val="center"/>
          </w:tcPr>
          <w:p w14:paraId="3A17876A">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874" w:type="dxa"/>
            <w:vAlign w:val="center"/>
          </w:tcPr>
          <w:p w14:paraId="533E2627">
            <w:pPr>
              <w:pBdr/>
              <w:spacing w:after="0" w:before="0" w:line="240"/>
              <w:ind/>
              <w:rPr/>
            </w:pPr>
            <w:r>
              <w:rPr>
                <w:rFonts w:ascii="Times New Roman" w:hAnsi="Times New Roman" w:eastAsia="Times New Roman" w:cs="Times New Roman"/>
                <w:color w:val="000000"/>
                <w:sz w:val="24"/>
              </w:rPr>
              <w:t xml:space="preserve">The matches attribute returned for each linked entity will provide the location in a document where the entity is referenced.</w:t>
            </w:r>
            <w:r/>
          </w:p>
        </w:tc>
        <w:tc>
          <w:tcPr>
            <w:tcBorders/>
            <w:tcMar>
              <w:left w:w="15" w:type="dxa"/>
              <w:top w:w="15" w:type="dxa"/>
              <w:right w:w="15" w:type="dxa"/>
              <w:bottom w:w="15" w:type="dxa"/>
            </w:tcMar>
            <w:tcW w:w="260" w:type="dxa"/>
            <w:vAlign w:val="center"/>
          </w:tcPr>
          <w:p w14:paraId="2F52D801">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20" w:type="dxa"/>
            <w:vAlign w:val="center"/>
          </w:tcPr>
          <w:p w14:paraId="1828BE11">
            <w:pPr>
              <w:pBdr/>
              <w:spacing w:after="0" w:before="0" w:line="240"/>
              <w:ind/>
              <w:rPr/>
            </w:pPr>
            <w:r>
              <w:rPr>
                <w:rFonts w:ascii="Times New Roman" w:hAnsi="Times New Roman" w:eastAsia="Times New Roman" w:cs="Times New Roman"/>
                <w:color w:val="000000"/>
                <w:sz w:val="24"/>
              </w:rPr>
              <w:t xml:space="preserve">☐</w:t>
            </w:r>
            <w:r/>
          </w:p>
        </w:tc>
      </w:tr>
    </w:tbl>
    <w:p w14:paraId="1A757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w:t>
      </w:r>
      <w:r/>
    </w:p>
    <w:p w14:paraId="21764A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application named App1 that uses Azure Speech in Foundry Tools to transcribe live calls.</w:t>
      </w:r>
      <w:r/>
    </w:p>
    <w:p w14:paraId="730A6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Transcript segments often contain both English and Spanish. App1 sends each segment to Azure Translator in Foundry Tools to translate to another language.</w:t>
      </w:r>
      <w:r/>
    </w:p>
    <w:p w14:paraId="45817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mixed-language segments result in incomplete or incorrect translations.</w:t>
      </w:r>
      <w:r/>
    </w:p>
    <w:p w14:paraId="5BA4E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reduce translation errors. The solution must ensure that the entire transcript is translated successfully and minimize development effort.</w:t>
      </w:r>
      <w:r/>
    </w:p>
    <w:p w14:paraId="4A48E7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 before sending the segments to Translator?</w:t>
      </w:r>
      <w:r/>
    </w:p>
    <w:p w14:paraId="4606A4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automatic language detection for the translation request.</w:t>
      </w:r>
      <w:r/>
    </w:p>
    <w:p w14:paraId="5BB9C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Split the mixed-language segments into single-language segments and translate each segment separately.</w:t>
      </w:r>
      <w:r/>
    </w:p>
    <w:p w14:paraId="6CFB0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Specify English as the source language in the translation request for all the segments.</w:t>
      </w:r>
      <w:r/>
    </w:p>
    <w:p w14:paraId="7ED9A6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Use document translation to translate the entire transcript as a single document.</w:t>
      </w:r>
      <w:r/>
    </w:p>
    <w:p w14:paraId="0834DB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w:t>
      </w:r>
      <w:r/>
    </w:p>
    <w:p w14:paraId="5956E6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customer support web app named App1 in Microsoft Foundry that uses a GPT realtime model.</w:t>
      </w:r>
      <w:r/>
    </w:p>
    <w:p w14:paraId="31D3EE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App1 must support:</w:t>
      </w:r>
      <w:r/>
    </w:p>
    <w:p w14:paraId="37EAAE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Live, low-latency voice conversations that use Azure OpenAI</w:t>
      </w:r>
      <w:r/>
    </w:p>
    <w:p w14:paraId="33EFE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Streaming audio input from users and playback audio responses</w:t>
      </w:r>
      <w:r/>
    </w:p>
    <w:p w14:paraId="7FA13E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a connection method that supports real-time audio streaming in client application and targets approximately 100 ms latency.</w:t>
      </w:r>
      <w:r/>
    </w:p>
    <w:p w14:paraId="6F73A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connection method should you use?</w:t>
      </w:r>
      <w:r/>
    </w:p>
    <w:p w14:paraId="465A79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SIP</w:t>
      </w:r>
      <w:r/>
    </w:p>
    <w:p w14:paraId="15606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WebSocket</w:t>
      </w:r>
      <w:r/>
    </w:p>
    <w:p w14:paraId="721B6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WebRTC</w:t>
      </w:r>
      <w:r/>
    </w:p>
    <w:p w14:paraId="1B21CF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RTMP</w:t>
      </w:r>
      <w:r/>
    </w:p>
    <w:p w14:paraId="0AE04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28</w:t>
      </w:r>
      <w:r/>
    </w:p>
    <w:p w14:paraId="3A8F1E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The agent uses Azure Speech in Foundry Tools.</w:t>
      </w:r>
      <w:r/>
    </w:p>
    <w:p w14:paraId="36A2CB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fine-tune a baseline speech to text model for the en-US locale and publish the model.</w:t>
      </w:r>
      <w:r/>
    </w:p>
    <w:p w14:paraId="170A4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calls the Speech to text REST API and returns an error message indicating that the project ID is invalid.</w:t>
      </w:r>
      <w:r/>
    </w:p>
    <w:p w14:paraId="11A57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set the project property to the correct ID.</w:t>
      </w:r>
      <w:r/>
    </w:p>
    <w:p w14:paraId="0CFD2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what should you set the project property?</w:t>
      </w:r>
      <w:r/>
    </w:p>
    <w:p w14:paraId="69FF7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custom speech project ID</w:t>
      </w:r>
      <w:r/>
    </w:p>
    <w:p w14:paraId="531934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Microsoft Foundry project ID</w:t>
      </w:r>
      <w:r/>
    </w:p>
    <w:p w14:paraId="137F0A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The Microsoft Foundry project URL</w:t>
      </w:r>
      <w:r/>
    </w:p>
    <w:p w14:paraId="6E736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custom speech endpoint URL</w:t>
      </w:r>
      <w:r/>
    </w:p>
    <w:p w14:paraId="2FA87A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29</w:t>
      </w:r>
      <w:r/>
    </w:p>
    <w:p w14:paraId="7B69A5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for a support ticket triage app that reads ticket text from a database.</w:t>
      </w:r>
      <w:r/>
    </w:p>
    <w:p w14:paraId="52FD5B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app meets the following requirements:</w:t>
      </w:r>
      <w:r/>
    </w:p>
    <w:p w14:paraId="44769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Compares candidate models by quality, cost, and throughput</w:t>
      </w:r>
      <w:r/>
    </w:p>
    <w:p w14:paraId="3DCD26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Prevents hosting model weights in the Azure subscription</w:t>
      </w:r>
      <w:r/>
    </w:p>
    <w:p w14:paraId="1848E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 To answer, select the appropriate options in the answer area.</w:t>
      </w:r>
      <w:r/>
    </w:p>
    <w:p w14:paraId="33DB18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07BFEF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1A53075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Model evaluation</w:t>
      </w:r>
      <w:r/>
    </w:p>
    <w:p w14:paraId="2CC558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Configure private endpoint access.</w:t>
      </w:r>
      <w:r/>
    </w:p>
    <w:p w14:paraId="0884A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Use deployment lists and license tabs.</w:t>
      </w:r>
      <w:r/>
    </w:p>
    <w:p w14:paraId="27946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tool catalog connections and run traces.</w:t>
      </w:r>
      <w:r/>
    </w:p>
    <w:p w14:paraId="2A8C8F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Use model catalog leaderboards and model cards.</w:t>
      </w:r>
      <w:r/>
    </w:p>
    <w:p w14:paraId="0529CB1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Deployment options</w:t>
      </w:r>
      <w:r/>
    </w:p>
    <w:p w14:paraId="4C4EA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Bring your own model.</w:t>
      </w:r>
      <w:r/>
    </w:p>
    <w:p w14:paraId="34EA9D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Build a vector index.</w:t>
      </w:r>
      <w:r/>
    </w:p>
    <w:p w14:paraId="397C6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a serverless deployment.</w:t>
      </w:r>
      <w:r/>
    </w:p>
    <w:p w14:paraId="1CA122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Use a managed compute deployment.</w:t>
      </w:r>
      <w:r/>
    </w:p>
    <w:p w14:paraId="1327D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30</w:t>
      </w:r>
      <w:r/>
    </w:p>
    <w:p w14:paraId="558B7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creating an agent workflow in a Microsoft Foundry project to support natural voice interactions.</w:t>
      </w:r>
      <w:r/>
    </w:p>
    <w:p w14:paraId="117686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must receive continuous audio input, convert the input into text for reasoning, and then return spoken responses to a user. The workflow must meet the following requirements:</w:t>
      </w:r>
      <w:r/>
    </w:p>
    <w:p w14:paraId="396F11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 turn-taking dynamics, where the agent begins to generate the speech output before the user finishes speaking.</w:t>
      </w:r>
      <w:r/>
    </w:p>
    <w:p w14:paraId="1A73F1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Operate with low latency to maintain a conversational experience.</w:t>
      </w:r>
      <w:r/>
    </w:p>
    <w:p w14:paraId="180B30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enable both speech to text and text to speech for on-going interactions between the user and the agent.</w:t>
      </w:r>
      <w:r/>
    </w:p>
    <w:p w14:paraId="2F83DF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625BE9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 Use speech translation to convert the audio into another language and return the translated text.</w:t>
      </w:r>
      <w:r>
        <w:rPr>
          <w:rFonts w:ascii="Times New Roman" w:hAnsi="Times New Roman" w:eastAsia="Times New Roman" w:cs="Times New Roman"/>
          <w:sz w:val="24"/>
        </w:rPr>
      </w:r>
    </w:p>
    <w:p w14:paraId="088263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of 16</w:t>
      </w:r>
      <w:r/>
    </w:p>
    <w:p w14:paraId="2332A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2EACD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uses Azure AI Search for Retrieval Augmented Generation (RAG).</w:t>
      </w:r>
      <w:r/>
    </w:p>
    <w:p w14:paraId="481C8D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ingest and index PDF product manuals.</w:t>
      </w:r>
      <w:r/>
    </w:p>
    <w:p w14:paraId="5B4531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build a solution that supports semantic similarity matching. The solution must ensure that the agent retrieves relevant data when user questions use different wording than the product manuals.</w:t>
      </w:r>
      <w:r/>
    </w:p>
    <w:p w14:paraId="1594A9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indexing approach should you use?</w:t>
      </w:r>
      <w:r/>
    </w:p>
    <w:p w14:paraId="4167EE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analyzers</w:t>
      </w:r>
      <w:r/>
    </w:p>
    <w:p w14:paraId="4E4E83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semantic ranking</w:t>
      </w:r>
      <w:r/>
    </w:p>
    <w:p w14:paraId="79B56E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vector search</w:t>
      </w:r>
      <w:r/>
    </w:p>
    <w:p w14:paraId="39457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suggesters</w:t>
      </w:r>
      <w:r/>
    </w:p>
    <w:p w14:paraId="14F3BA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of 16</w:t>
      </w:r>
      <w:r/>
    </w:p>
    <w:p w14:paraId="4CF30C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74E45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knowledge source for the agent is a set of scanned PDF troubleshooting guides stored in Azure Blob Storage. The guide pages contain two-column layouts and tables.</w:t>
      </w:r>
      <w:r/>
    </w:p>
    <w:p w14:paraId="6F99C3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use Azure Content Understanding in Foundry Tools to process the PDFs.</w:t>
      </w:r>
      <w:r/>
    </w:p>
    <w:p w14:paraId="104887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ingest the processed content into an index for Retrieval Augmented Generation (RAG) and store extracted fields for downstream automation.</w:t>
      </w:r>
      <w:r/>
    </w:p>
    <w:p w14:paraId="3A6324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Stakeholders must be able to verify where each extracted field value came from in the original PDF and route low-reliability extractions for manual review.</w:t>
      </w:r>
      <w:r/>
    </w:p>
    <w:p w14:paraId="7DD078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Content Understanding document analyzer output includes a per-field confidence score and source grounding to locations within the source document.</w:t>
      </w:r>
      <w:r/>
    </w:p>
    <w:p w14:paraId="0CF8D1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43360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Configure the analyzer to use generative extraction for all fields.</w:t>
      </w:r>
      <w:r/>
    </w:p>
    <w:p w14:paraId="337EC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Enable estimateFieldSourceAndConfidence.</w:t>
      </w:r>
      <w:r/>
    </w:p>
    <w:p w14:paraId="01CEE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Set enableSegment to true.</w:t>
      </w:r>
      <w:r/>
    </w:p>
    <w:p w14:paraId="2C1CD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Provide labeled samples.</w:t>
      </w:r>
      <w:r/>
    </w:p>
    <w:p w14:paraId="0C580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of 16</w:t>
      </w:r>
      <w:r/>
    </w:p>
    <w:p w14:paraId="68299B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application that processes scanned PDF invoices. The invoices have varied layouts and include multipage tables.</w:t>
      </w:r>
      <w:r/>
    </w:p>
    <w:p w14:paraId="4FA2D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pipeline that uses optical character recognition (OCR) and extracts totals and invoice numbers. The results are often incorrect because the document structure is ignored.</w:t>
      </w:r>
      <w:r/>
    </w:p>
    <w:p w14:paraId="3959EF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a solution that provides OCR, layout analysis, and template-generalizing field extraction. The solution must NOT require training a custom model. The solution must minimize administrative effort.</w:t>
      </w:r>
      <w:r/>
    </w:p>
    <w:p w14:paraId="62B031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include in the solution?</w:t>
      </w:r>
      <w:r/>
    </w:p>
    <w:p w14:paraId="03F34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Azure Language in Foundry Tools</w:t>
      </w:r>
      <w:r/>
    </w:p>
    <w:p w14:paraId="75CEA8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an Azure Machine Learning model</w:t>
      </w:r>
      <w:r/>
    </w:p>
    <w:p w14:paraId="4327B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Azure Content Understanding in Foundry Tools</w:t>
      </w:r>
      <w:r/>
    </w:p>
    <w:p w14:paraId="1B04FE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of 16</w:t>
      </w:r>
      <w:r/>
    </w:p>
    <w:p w14:paraId="3B1F6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creating an enrichment pipeline that will use Azure AI Search. The knowledge store contains unstructured JSON data and the text from scanned PDF documents.</w:t>
      </w:r>
      <w:r/>
    </w:p>
    <w:p w14:paraId="7DFD3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projection type should you use for each data type? To answer, select the appropriate options in the answer area.</w:t>
      </w:r>
      <w:r/>
    </w:p>
    <w:p w14:paraId="782427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4102F5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99"/>
        <w:gridCol w:w="5011"/>
      </w:tblGrid>
      <w:tr>
        <w:trPr/>
        <w:tc>
          <w:tcPr>
            <w:tcBorders/>
            <w:tcMar>
              <w:left w:w="15" w:type="dxa"/>
              <w:top w:w="15" w:type="dxa"/>
              <w:right w:w="15" w:type="dxa"/>
              <w:bottom w:w="15" w:type="dxa"/>
            </w:tcMar>
            <w:tcW w:w="1799" w:type="dxa"/>
            <w:vAlign w:val="center"/>
          </w:tcPr>
          <w:p w14:paraId="21B24B49">
            <w:pPr>
              <w:pBdr/>
              <w:spacing w:after="0" w:before="0" w:line="240"/>
              <w:ind/>
              <w:jc w:val="center"/>
              <w:rPr/>
            </w:pPr>
            <w:r>
              <w:rPr>
                <w:rFonts w:ascii="Times New Roman" w:hAnsi="Times New Roman" w:eastAsia="Times New Roman" w:cs="Times New Roman"/>
                <w:b/>
                <w:color w:val="000000"/>
                <w:sz w:val="24"/>
              </w:rPr>
              <w:t xml:space="preserve">Data type</w:t>
            </w:r>
            <w:r/>
          </w:p>
        </w:tc>
        <w:tc>
          <w:tcPr>
            <w:tcBorders/>
            <w:tcMar>
              <w:left w:w="15" w:type="dxa"/>
              <w:top w:w="15" w:type="dxa"/>
              <w:right w:w="15" w:type="dxa"/>
              <w:bottom w:w="15" w:type="dxa"/>
            </w:tcMar>
            <w:tcW w:w="5011" w:type="dxa"/>
            <w:vAlign w:val="center"/>
          </w:tcPr>
          <w:p w14:paraId="7B5D9683">
            <w:pPr>
              <w:pBdr/>
              <w:spacing w:after="0" w:before="0" w:line="240"/>
              <w:ind/>
              <w:jc w:val="center"/>
              <w:rPr/>
            </w:pPr>
            <w:r>
              <w:rPr>
                <w:rFonts w:ascii="Times New Roman" w:hAnsi="Times New Roman" w:eastAsia="Times New Roman" w:cs="Times New Roman"/>
                <w:b/>
                <w:color w:val="000000"/>
                <w:sz w:val="24"/>
              </w:rPr>
              <w:t xml:space="preserve">Projection</w:t>
            </w:r>
            <w:r/>
          </w:p>
        </w:tc>
      </w:tr>
      <w:tr>
        <w:trPr/>
        <w:tc>
          <w:tcPr>
            <w:tcBorders/>
            <w:tcMar>
              <w:left w:w="15" w:type="dxa"/>
              <w:top w:w="15" w:type="dxa"/>
              <w:right w:w="15" w:type="dxa"/>
              <w:bottom w:w="15" w:type="dxa"/>
            </w:tcMar>
            <w:tcW w:w="1799" w:type="dxa"/>
            <w:vAlign w:val="center"/>
          </w:tcPr>
          <w:p w14:paraId="6FEBA01B">
            <w:pPr>
              <w:pBdr/>
              <w:spacing w:after="0" w:before="0" w:line="240"/>
              <w:ind/>
              <w:rPr/>
            </w:pPr>
            <w:r>
              <w:rPr>
                <w:rFonts w:ascii="Times New Roman" w:hAnsi="Times New Roman" w:eastAsia="Times New Roman" w:cs="Times New Roman"/>
                <w:color w:val="000000"/>
                <w:sz w:val="24"/>
              </w:rPr>
              <w:t xml:space="preserve">JSON data</w:t>
            </w:r>
            <w:r/>
          </w:p>
        </w:tc>
        <w:tc>
          <w:tcPr>
            <w:tcBorders/>
            <w:tcMar>
              <w:left w:w="15" w:type="dxa"/>
              <w:top w:w="15" w:type="dxa"/>
              <w:right w:w="15" w:type="dxa"/>
              <w:bottom w:w="15" w:type="dxa"/>
            </w:tcMar>
            <w:tcW w:w="5011" w:type="dxa"/>
            <w:vAlign w:val="center"/>
          </w:tcPr>
          <w:p w14:paraId="79B131BF">
            <w:pPr>
              <w:pBdr/>
              <w:spacing w:after="0" w:before="0" w:line="240"/>
              <w:ind/>
              <w:rPr/>
            </w:pPr>
            <w:r>
              <w:rPr>
                <w:rFonts w:ascii="Times New Roman" w:hAnsi="Times New Roman" w:eastAsia="Times New Roman" w:cs="Times New Roman"/>
                <w:color w:val="000000"/>
                <w:sz w:val="24"/>
              </w:rPr>
              <w:t xml:space="preserve">File projection / Object projection / Table projection</w:t>
            </w:r>
            <w:r/>
          </w:p>
        </w:tc>
      </w:tr>
      <w:tr>
        <w:trPr/>
        <w:tc>
          <w:tcPr>
            <w:tcBorders/>
            <w:tcMar>
              <w:left w:w="15" w:type="dxa"/>
              <w:top w:w="15" w:type="dxa"/>
              <w:right w:w="15" w:type="dxa"/>
              <w:bottom w:w="15" w:type="dxa"/>
            </w:tcMar>
            <w:tcW w:w="1799" w:type="dxa"/>
            <w:vAlign w:val="center"/>
          </w:tcPr>
          <w:p w14:paraId="12E2BF40">
            <w:pPr>
              <w:pBdr/>
              <w:spacing w:after="0" w:before="0" w:line="240"/>
              <w:ind/>
              <w:rPr/>
            </w:pPr>
            <w:r>
              <w:rPr>
                <w:rFonts w:ascii="Times New Roman" w:hAnsi="Times New Roman" w:eastAsia="Times New Roman" w:cs="Times New Roman"/>
                <w:color w:val="000000"/>
                <w:sz w:val="24"/>
              </w:rPr>
              <w:t xml:space="preserve">Extracted text data</w:t>
            </w:r>
            <w:r/>
          </w:p>
        </w:tc>
        <w:tc>
          <w:tcPr>
            <w:tcBorders/>
            <w:tcMar>
              <w:left w:w="15" w:type="dxa"/>
              <w:top w:w="15" w:type="dxa"/>
              <w:right w:w="15" w:type="dxa"/>
              <w:bottom w:w="15" w:type="dxa"/>
            </w:tcMar>
            <w:tcW w:w="5011" w:type="dxa"/>
            <w:vAlign w:val="center"/>
          </w:tcPr>
          <w:p w14:paraId="22169513">
            <w:pPr>
              <w:pBdr/>
              <w:spacing w:after="0" w:before="0" w:line="240"/>
              <w:ind/>
              <w:rPr/>
            </w:pPr>
            <w:r>
              <w:rPr>
                <w:rFonts w:ascii="Times New Roman" w:hAnsi="Times New Roman" w:eastAsia="Times New Roman" w:cs="Times New Roman"/>
                <w:color w:val="000000"/>
                <w:sz w:val="24"/>
              </w:rPr>
              <w:t xml:space="preserve">File projection / Object projection / Table projection</w:t>
            </w:r>
            <w:r/>
          </w:p>
        </w:tc>
      </w:tr>
    </w:tbl>
    <w:p w14:paraId="4F53B8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of 16</w:t>
      </w:r>
      <w:r/>
    </w:p>
    <w:p w14:paraId="6BD0F9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7FC7DF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accepts user-uploaded screenshots and uses a multimodal chat model.</w:t>
      </w:r>
      <w:r/>
    </w:p>
    <w:p w14:paraId="77CF5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screenshots contain potentially malicious embedded text.</w:t>
      </w:r>
      <w:r/>
    </w:p>
    <w:p w14:paraId="11AB0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prevent a prompt injection attack and ensure that third-party content is treated as lower trust.</w:t>
      </w:r>
      <w:r/>
    </w:p>
    <w:p w14:paraId="6CC34F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prompt shields for document attacks? To answer, select the appropriate options in the answer area.</w:t>
      </w:r>
      <w:r/>
    </w:p>
    <w:p w14:paraId="3A2216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1DB808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346826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Prompt shields action</w:t>
      </w:r>
      <w:r/>
    </w:p>
    <w:p w14:paraId="2CDF7A0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w:t>
      </w:r>
      <w:r/>
    </w:p>
    <w:p w14:paraId="374512C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Annotate</w:t>
      </w:r>
      <w:r/>
    </w:p>
    <w:p w14:paraId="5146D83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action</w:t>
      </w:r>
      <w:r/>
    </w:p>
    <w:p w14:paraId="36D23E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Spotlighting</w:t>
      </w:r>
      <w:r/>
    </w:p>
    <w:p w14:paraId="06F8EDC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Enabled</w:t>
      </w:r>
      <w:r/>
    </w:p>
    <w:p w14:paraId="5BF534D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Disabled</w:t>
      </w:r>
      <w:r/>
    </w:p>
    <w:p w14:paraId="615A77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of 16</w:t>
      </w:r>
      <w:r/>
    </w:p>
    <w:p w14:paraId="1A89DF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an app that will use Azure AI to monitor workspaces for safety regulation compliance.</w:t>
      </w:r>
      <w:r/>
    </w:p>
    <w:p w14:paraId="2FE4DA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a service that meets the following requirements:</w:t>
      </w:r>
      <w:r/>
    </w:p>
    <w:p w14:paraId="7453578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Generates alerts when employees enters high-risk areas</w:t>
      </w:r>
      <w:r/>
    </w:p>
    <w:p w14:paraId="0F5876A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Monitors video feeds in real time</w:t>
      </w:r>
      <w:r/>
    </w:p>
    <w:p w14:paraId="3507AF9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Minimizes development effort</w:t>
      </w:r>
      <w:r/>
    </w:p>
    <w:p w14:paraId="0AEC5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recommend?</w:t>
      </w:r>
      <w:r/>
    </w:p>
    <w:p w14:paraId="59ACCF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Azure Vision in Foundry Tools Image Analysis</w:t>
      </w:r>
      <w:r/>
    </w:p>
    <w:p w14:paraId="15131B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Azure AI Video Indexer</w:t>
      </w:r>
      <w:r/>
    </w:p>
    <w:p w14:paraId="175495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Azure Vision in Foundry Tools Spatial Analysis</w:t>
      </w:r>
      <w:r/>
    </w:p>
    <w:p w14:paraId="76F291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Object detection in Azure Custom Vision</w:t>
      </w:r>
      <w:r/>
    </w:p>
    <w:p w14:paraId="0CC9F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of 16</w:t>
      </w:r>
      <w:r/>
    </w:p>
    <w:p w14:paraId="5B4E3A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and an image generation model deployment.</w:t>
      </w:r>
      <w:r/>
    </w:p>
    <w:p w14:paraId="0A0385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generates original images from user-supplied product photos. Currently, when you ask the agent to place a picture of a product in different environments, the agent returns images where the product itself is altered and violates your company usage</w:t>
      </w:r>
      <w:r>
        <w:rPr>
          <w:rFonts w:ascii="Times New Roman" w:hAnsi="Times New Roman" w:eastAsia="Times New Roman" w:cs="Times New Roman"/>
          <w:color w:val="000000"/>
          <w:sz w:val="24"/>
        </w:rPr>
        <w:t xml:space="preserve"> guidelines.</w:t>
      </w:r>
      <w:r/>
    </w:p>
    <w:p w14:paraId="0F79BF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minimize the likelihood of changes to the product identity and visual characteristics in the generated image.</w:t>
      </w:r>
      <w:r/>
    </w:p>
    <w:p w14:paraId="41A4A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088F8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Decrease the value of the top_p parameter.</w:t>
      </w:r>
      <w:r/>
    </w:p>
    <w:p w14:paraId="555975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Apply a groundedness detection filter.</w:t>
      </w:r>
      <w:r/>
    </w:p>
    <w:p w14:paraId="4624E1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Include a prompt and input image in the request.</w:t>
      </w:r>
      <w:r/>
    </w:p>
    <w:p w14:paraId="232E6E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Set the input_fidelity parameter to high.</w:t>
      </w:r>
      <w:r/>
    </w:p>
    <w:p w14:paraId="6A0800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8 of 16</w:t>
      </w:r>
      <w:r/>
    </w:p>
    <w:p w14:paraId="51E1F9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web app named App1 that sends requests to a multimodal chat model deployment in a Microsoft Foundry project.</w:t>
      </w:r>
      <w:r/>
    </w:p>
    <w:p w14:paraId="3A4F2E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 messages can contain both text and images.</w:t>
      </w:r>
      <w:r/>
    </w:p>
    <w:p w14:paraId="1F620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Currently, App1 includes image URLs as plain text inside the message content, so the model cannot recognize them as images.</w:t>
      </w:r>
      <w:r/>
    </w:p>
    <w:p w14:paraId="478A0B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Traces show that the requests contain a single text message instead of a multimodal content array.</w:t>
      </w:r>
      <w:r/>
    </w:p>
    <w:p w14:paraId="2A0CAD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send the message as a structured array that includes both the text portion and the image reference to ensure that the model can process the image correctly.</w:t>
      </w:r>
      <w:r/>
    </w:p>
    <w:p w14:paraId="73F34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1CF778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Encode the image to base64 and include the encoded data inside the content string of the user message.</w:t>
      </w:r>
      <w:r/>
    </w:p>
    <w:p w14:paraId="30238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Set the user message content array to include items that have type: text and type: image_url.</w:t>
      </w:r>
      <w:r/>
    </w:p>
    <w:p w14:paraId="34343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Add the image URL to the request metadata section, so the model can resolve the processing issue automatically.</w:t>
      </w:r>
      <w:r/>
    </w:p>
    <w:p w14:paraId="5BFE4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Place the image URL inside the System Message and set type to image_url, so the model loads the image at initialization.</w:t>
      </w:r>
      <w:r/>
    </w:p>
    <w:p w14:paraId="6DDA3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9 of 16</w:t>
      </w:r>
      <w:r/>
    </w:p>
    <w:p w14:paraId="1A2408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app named App1 that uses a Microsoft Foundry multimodal model deployment.</w:t>
      </w:r>
      <w:r/>
    </w:p>
    <w:p w14:paraId="5C183A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App1 runs optical character recognition (OCR) on uploaded images and appends the OCR output to the prompt as additional context.</w:t>
      </w:r>
      <w:r/>
    </w:p>
    <w:p w14:paraId="301C86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uploaded images contain embedded text.</w:t>
      </w:r>
      <w:r/>
    </w:p>
    <w:p w14:paraId="69A211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prevent potentially malicious instructions from being processed by the model.</w:t>
      </w:r>
      <w:r/>
    </w:p>
    <w:p w14:paraId="2127BD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777A8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image moderation</w:t>
      </w:r>
      <w:r/>
    </w:p>
    <w:p w14:paraId="52B1E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prompt shields for documents</w:t>
      </w:r>
      <w:r/>
    </w:p>
    <w:p w14:paraId="5DB15F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prompt shields for user prompts</w:t>
      </w:r>
      <w:r/>
    </w:p>
    <w:p w14:paraId="710A9D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protected material text</w:t>
      </w:r>
      <w:r/>
    </w:p>
    <w:p w14:paraId="1A3B12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10 of 16</w:t>
      </w:r>
      <w:r/>
    </w:p>
    <w:p w14:paraId="7FB076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custom vision model that will be deployed as part of an iOS app.</w:t>
      </w:r>
      <w:r/>
    </w:p>
    <w:p w14:paraId="03953D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images of cats and dogs. Each image contains either a cat or a dog.</w:t>
      </w:r>
      <w:r/>
    </w:p>
    <w:p w14:paraId="1D558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use the Azure Custom Vision service to detect whether the image is of a cat or a dog.</w:t>
      </w:r>
      <w:r/>
    </w:p>
    <w:p w14:paraId="2BC74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the project in the Azure Custom Vision portal? To answer, select the appropriate options in the answer area.</w:t>
      </w:r>
      <w:r/>
    </w:p>
    <w:p w14:paraId="54938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272DE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5"/>
        <w:gridCol w:w="1792"/>
      </w:tblGrid>
      <w:tr>
        <w:trPr/>
        <w:tc>
          <w:tcPr>
            <w:tcBorders/>
            <w:tcMar>
              <w:left w:w="15" w:type="dxa"/>
              <w:top w:w="15" w:type="dxa"/>
              <w:right w:w="15" w:type="dxa"/>
              <w:bottom w:w="15" w:type="dxa"/>
            </w:tcMar>
            <w:tcW w:w="1945" w:type="dxa"/>
            <w:vAlign w:val="center"/>
          </w:tcPr>
          <w:p w14:paraId="12BEC8BA">
            <w:pPr>
              <w:pBdr/>
              <w:spacing w:after="0" w:before="0" w:line="240"/>
              <w:ind/>
              <w:jc w:val="center"/>
              <w:rPr/>
            </w:pPr>
            <w:r>
              <w:rPr>
                <w:rFonts w:ascii="Times New Roman" w:hAnsi="Times New Roman" w:eastAsia="Times New Roman" w:cs="Times New Roman"/>
                <w:b/>
                <w:color w:val="000000"/>
                <w:sz w:val="24"/>
              </w:rPr>
              <w:t xml:space="preserve">Setting</w:t>
            </w:r>
            <w:r/>
          </w:p>
        </w:tc>
        <w:tc>
          <w:tcPr>
            <w:tcBorders/>
            <w:tcMar>
              <w:left w:w="15" w:type="dxa"/>
              <w:top w:w="15" w:type="dxa"/>
              <w:right w:w="15" w:type="dxa"/>
              <w:bottom w:w="15" w:type="dxa"/>
            </w:tcMar>
            <w:tcW w:w="1792" w:type="dxa"/>
            <w:vAlign w:val="center"/>
          </w:tcPr>
          <w:p w14:paraId="3CC4A336">
            <w:pPr>
              <w:pBdr/>
              <w:spacing w:after="0" w:before="0" w:line="240"/>
              <w:ind/>
              <w:jc w:val="center"/>
              <w:rPr/>
            </w:pPr>
            <w:r>
              <w:rPr>
                <w:rFonts w:ascii="Times New Roman" w:hAnsi="Times New Roman" w:eastAsia="Times New Roman" w:cs="Times New Roman"/>
                <w:b/>
                <w:color w:val="000000"/>
                <w:sz w:val="24"/>
              </w:rPr>
              <w:t xml:space="preserve">Selection</w:t>
            </w:r>
            <w:r/>
          </w:p>
        </w:tc>
      </w:tr>
      <w:tr>
        <w:trPr/>
        <w:tc>
          <w:tcPr>
            <w:tcBorders/>
            <w:tcMar>
              <w:left w:w="15" w:type="dxa"/>
              <w:top w:w="15" w:type="dxa"/>
              <w:right w:w="15" w:type="dxa"/>
              <w:bottom w:w="15" w:type="dxa"/>
            </w:tcMar>
            <w:tcW w:w="1945" w:type="dxa"/>
            <w:vAlign w:val="center"/>
          </w:tcPr>
          <w:p w14:paraId="3ECE3ED4">
            <w:pPr>
              <w:pBdr/>
              <w:spacing w:after="0" w:before="0" w:line="240"/>
              <w:ind/>
              <w:rPr/>
            </w:pPr>
            <w:r>
              <w:rPr>
                <w:rFonts w:ascii="Times New Roman" w:hAnsi="Times New Roman" w:eastAsia="Times New Roman" w:cs="Times New Roman"/>
                <w:color w:val="000000"/>
                <w:sz w:val="24"/>
              </w:rPr>
              <w:t xml:space="preserve">Project Types</w:t>
            </w:r>
            <w:r/>
          </w:p>
        </w:tc>
        <w:tc>
          <w:tcPr>
            <w:tcBorders/>
            <w:tcMar>
              <w:left w:w="15" w:type="dxa"/>
              <w:top w:w="15" w:type="dxa"/>
              <w:right w:w="15" w:type="dxa"/>
              <w:bottom w:w="15" w:type="dxa"/>
            </w:tcMar>
            <w:tcW w:w="1792" w:type="dxa"/>
            <w:vAlign w:val="center"/>
          </w:tcPr>
          <w:p w14:paraId="73CFB20B">
            <w:pPr>
              <w:pBdr/>
              <w:spacing w:after="0" w:before="0" w:line="240"/>
              <w:ind/>
              <w:rPr/>
            </w:pPr>
            <w:r>
              <w:rPr>
                <w:rFonts w:ascii="Times New Roman" w:hAnsi="Times New Roman" w:eastAsia="Times New Roman" w:cs="Times New Roman"/>
                <w:color w:val="000000"/>
                <w:sz w:val="24"/>
              </w:rPr>
              <w:t xml:space="preserve">Classification</w:t>
            </w:r>
            <w:r/>
          </w:p>
        </w:tc>
      </w:tr>
      <w:tr>
        <w:trPr/>
        <w:tc>
          <w:tcPr>
            <w:tcBorders/>
            <w:tcMar>
              <w:left w:w="15" w:type="dxa"/>
              <w:top w:w="15" w:type="dxa"/>
              <w:right w:w="15" w:type="dxa"/>
              <w:bottom w:w="15" w:type="dxa"/>
            </w:tcMar>
            <w:tcW w:w="1945" w:type="dxa"/>
            <w:vAlign w:val="center"/>
          </w:tcPr>
          <w:p w14:paraId="505EB8E8">
            <w:pPr>
              <w:pBdr/>
              <w:spacing w:after="0" w:before="0" w:line="240"/>
              <w:ind/>
              <w:rPr/>
            </w:pPr>
            <w:r>
              <w:rPr>
                <w:rFonts w:ascii="Times New Roman" w:hAnsi="Times New Roman" w:eastAsia="Times New Roman" w:cs="Times New Roman"/>
                <w:color w:val="000000"/>
                <w:sz w:val="24"/>
              </w:rPr>
              <w:t xml:space="preserve">Classification Types</w:t>
            </w:r>
            <w:r/>
          </w:p>
        </w:tc>
        <w:tc>
          <w:tcPr>
            <w:tcBorders/>
            <w:tcMar>
              <w:left w:w="15" w:type="dxa"/>
              <w:top w:w="15" w:type="dxa"/>
              <w:right w:w="15" w:type="dxa"/>
              <w:bottom w:w="15" w:type="dxa"/>
            </w:tcMar>
            <w:tcW w:w="1792" w:type="dxa"/>
            <w:vAlign w:val="center"/>
          </w:tcPr>
          <w:p w14:paraId="00EBEF63">
            <w:pPr>
              <w:pBdr/>
              <w:spacing w:after="0" w:before="0" w:line="240"/>
              <w:ind/>
              <w:rPr/>
            </w:pPr>
            <w:r>
              <w:rPr>
                <w:rFonts w:ascii="Times New Roman" w:hAnsi="Times New Roman" w:eastAsia="Times New Roman" w:cs="Times New Roman"/>
                <w:color w:val="000000"/>
                <w:sz w:val="24"/>
              </w:rPr>
              <w:t xml:space="preserve">Multiclass</w:t>
            </w:r>
            <w:r/>
          </w:p>
        </w:tc>
      </w:tr>
      <w:tr>
        <w:trPr/>
        <w:tc>
          <w:tcPr>
            <w:tcBorders/>
            <w:tcMar>
              <w:left w:w="15" w:type="dxa"/>
              <w:top w:w="15" w:type="dxa"/>
              <w:right w:w="15" w:type="dxa"/>
              <w:bottom w:w="15" w:type="dxa"/>
            </w:tcMar>
            <w:tcW w:w="1945" w:type="dxa"/>
            <w:vAlign w:val="center"/>
          </w:tcPr>
          <w:p w14:paraId="72478DCF">
            <w:pPr>
              <w:pBdr/>
              <w:spacing w:after="0" w:before="0" w:line="240"/>
              <w:ind/>
              <w:rPr/>
            </w:pPr>
            <w:r>
              <w:rPr>
                <w:rFonts w:ascii="Times New Roman" w:hAnsi="Times New Roman" w:eastAsia="Times New Roman" w:cs="Times New Roman"/>
                <w:color w:val="000000"/>
                <w:sz w:val="24"/>
              </w:rPr>
              <w:t xml:space="preserve">Domains</w:t>
            </w:r>
            <w:r/>
          </w:p>
        </w:tc>
        <w:tc>
          <w:tcPr>
            <w:tcBorders/>
            <w:tcMar>
              <w:left w:w="15" w:type="dxa"/>
              <w:top w:w="15" w:type="dxa"/>
              <w:right w:w="15" w:type="dxa"/>
              <w:bottom w:w="15" w:type="dxa"/>
            </w:tcMar>
            <w:tcW w:w="1792" w:type="dxa"/>
            <w:vAlign w:val="center"/>
          </w:tcPr>
          <w:p w14:paraId="2C79BE27">
            <w:pPr>
              <w:pBdr/>
              <w:spacing w:after="0" w:before="0" w:line="240"/>
              <w:ind/>
              <w:rPr/>
            </w:pPr>
            <w:r>
              <w:rPr>
                <w:rFonts w:ascii="Times New Roman" w:hAnsi="Times New Roman" w:eastAsia="Times New Roman" w:cs="Times New Roman"/>
                <w:color w:val="000000"/>
                <w:sz w:val="24"/>
              </w:rPr>
              <w:t xml:space="preserve">General (compact)</w:t>
            </w:r>
            <w:r/>
          </w:p>
        </w:tc>
      </w:tr>
    </w:tbl>
    <w:p w14:paraId="702C59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11 of 16</w:t>
      </w:r>
      <w:r/>
    </w:p>
    <w:p w14:paraId="7593B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two pipelines by using Azure Content Understanding in Foundry Tools. The solution must meet the following requirements:</w:t>
      </w:r>
      <w:r/>
    </w:p>
    <w:p w14:paraId="2C78D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Include a pipeline named Pipeline1 that supports cost-effective, high-volume processing of standalone PDF invoices.</w:t>
      </w:r>
      <w:r/>
    </w:p>
    <w:p w14:paraId="54BE2F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Include a pipeline named Pipeline2 that supports cross-document validation by using multi-step reasoning and reference data.</w:t>
      </w:r>
      <w:r/>
    </w:p>
    <w:p w14:paraId="69E6D6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each pipeline? To answer, drag the appropriate configurations to the correct pipelines. Each configuration may be used once, more than once, or not at all. You may need to drag the split bar between panes or scroll to view content.</w:t>
      </w:r>
      <w:r/>
    </w:p>
    <w:p w14:paraId="3C926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009368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Configurations</w:t>
      </w:r>
      <w:r/>
    </w:p>
    <w:p w14:paraId="2538E73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Multi-file task in pro mode</w:t>
      </w:r>
      <w:r/>
    </w:p>
    <w:p w14:paraId="1569DD6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Multi-file task in standard mode</w:t>
      </w:r>
      <w:r/>
    </w:p>
    <w:p w14:paraId="55DD72C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Single-file task in pro mode</w:t>
      </w:r>
      <w:r/>
    </w:p>
    <w:p w14:paraId="679EC04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Single-file task in standard mode</w:t>
      </w:r>
      <w:r/>
    </w:p>
    <w:p w14:paraId="48BFCB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3A51B8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Pipeline1:</w:t>
      </w:r>
      <w:r/>
    </w:p>
    <w:p w14:paraId="479B0D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Configuration</w:t>
      </w:r>
      <w:r/>
    </w:p>
    <w:p w14:paraId="76C61B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Pipeline2:</w:t>
      </w:r>
      <w:r/>
    </w:p>
    <w:p w14:paraId="09F6B9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Configuration</w:t>
      </w:r>
      <w:r/>
    </w:p>
    <w:p w14:paraId="389492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12 of 16</w:t>
      </w:r>
      <w:r/>
    </w:p>
    <w:p w14:paraId="1F26C1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3238E6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accepts user-uploaded screenshots and uses a multimodal chat model.</w:t>
      </w:r>
      <w:r/>
    </w:p>
    <w:p w14:paraId="2D3ECC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screenshots contain potentially malicious embedded text.</w:t>
      </w:r>
      <w:r/>
    </w:p>
    <w:p w14:paraId="068507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prevent a prompt injection attack and ensure that third-party content is treated as lower trust.</w:t>
      </w:r>
      <w:r/>
    </w:p>
    <w:p w14:paraId="6C1E52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prompt shields for document attacks? To answer, select the appropriate options in the answer area.</w:t>
      </w:r>
      <w:r/>
    </w:p>
    <w:p w14:paraId="1473BE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256C6D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45BD55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Prompt shields action</w:t>
      </w:r>
      <w:r/>
    </w:p>
    <w:p w14:paraId="07114B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13 of 16</w:t>
      </w:r>
      <w:r/>
    </w:p>
    <w:p w14:paraId="17811F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deploying a support agent that enables users to upload photos.</w:t>
      </w:r>
      <w:r/>
    </w:p>
    <w:p w14:paraId="7789D6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automatically classify uploaded images for harmful content. The solution must block content based on severity levels.</w:t>
      </w:r>
      <w:r/>
    </w:p>
    <w:p w14:paraId="16407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2A91E2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prompt shields.</w:t>
      </w:r>
      <w:r/>
    </w:p>
    <w:p w14:paraId="770D45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Implement image moderation.</w:t>
      </w:r>
      <w:r/>
    </w:p>
    <w:p w14:paraId="4121A8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Apply keyword scanning to optical character recognition (OCR) output by using Azure Vision in Foundry Tools.</w:t>
      </w:r>
      <w:r/>
    </w:p>
    <w:p w14:paraId="4DD98F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Use blocklists.</w:t>
      </w:r>
      <w:r/>
    </w:p>
    <w:p w14:paraId="53D8E8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14 of 16</w:t>
      </w:r>
      <w:r/>
    </w:p>
    <w:p w14:paraId="266BDA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question is part of a series of questions that present the same scenario. Each question in the series contains a unique solution that might meet the stated goals. Some question sets might have more than one correct solution, while others might not ha</w:t>
      </w:r>
      <w:r>
        <w:rPr>
          <w:rFonts w:ascii="Times New Roman" w:hAnsi="Times New Roman" w:eastAsia="Times New Roman" w:cs="Times New Roman"/>
          <w:color w:val="000000"/>
          <w:sz w:val="24"/>
        </w:rPr>
        <w:t xml:space="preserve">ve a correct solution.</w:t>
      </w:r>
      <w:r/>
    </w:p>
    <w:p w14:paraId="11EF4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53800D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contains a Microsoft Foundry resource named AI1 and a Content Safety in Foundry Control Plane resource named CS1.</w:t>
      </w:r>
      <w:r/>
    </w:p>
    <w:p w14:paraId="573BA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build an agent that uses AI1 to provide generative answers to specific questions and CS1 to check input and output for objectionable content.</w:t>
      </w:r>
      <w:r/>
    </w:p>
    <w:p w14:paraId="3B90B9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optimize the content filter configurations by running tests on sample questions.</w:t>
      </w:r>
      <w:r/>
    </w:p>
    <w:p w14:paraId="73B92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Solution:</w:t>
      </w:r>
      <w:r>
        <w:rPr>
          <w:rFonts w:ascii="Times New Roman" w:hAnsi="Times New Roman" w:eastAsia="Times New Roman" w:cs="Times New Roman"/>
          <w:color w:val="000000"/>
          <w:sz w:val="24"/>
        </w:rPr>
        <w:t xml:space="preserve"> From Content Safety Studio, you use the Moderate text content feature to run the tests.</w:t>
      </w:r>
      <w:r/>
    </w:p>
    <w:p w14:paraId="1102D2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requirement?</w:t>
      </w:r>
      <w:r/>
    </w:p>
    <w:p w14:paraId="78C882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4FC68D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14:paraId="6D115E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15 of 16</w:t>
      </w:r>
      <w:r/>
    </w:p>
    <w:p w14:paraId="2D4668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question is part of a series of questions that present the same scenario. Each question in the series contains a unique solution that might meet the stated goals. Some question sets might have more than one correct solution, while others might not ha</w:t>
      </w:r>
      <w:r>
        <w:rPr>
          <w:rFonts w:ascii="Times New Roman" w:hAnsi="Times New Roman" w:eastAsia="Times New Roman" w:cs="Times New Roman"/>
          <w:color w:val="000000"/>
          <w:sz w:val="24"/>
        </w:rPr>
        <w:t xml:space="preserve">ve a correct solution.</w:t>
      </w:r>
      <w:r/>
    </w:p>
    <w:p w14:paraId="1F7AD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2E6AB9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contains a Microsoft Foundry resource named AI1 and a Content Safety in Foundry Control Plane resource named CS1.</w:t>
      </w:r>
      <w:r/>
    </w:p>
    <w:p w14:paraId="40713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build an agent that uses AI1 to provide generative answers to specific questions and CS1 to check input and output for objectionable content.</w:t>
      </w:r>
      <w:r/>
    </w:p>
    <w:p w14:paraId="453471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optimize the content filter configurations by running tests on sample questions.</w:t>
      </w:r>
      <w:r/>
    </w:p>
    <w:p w14:paraId="52088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Solution:</w:t>
      </w:r>
      <w:r>
        <w:rPr>
          <w:rFonts w:ascii="Times New Roman" w:hAnsi="Times New Roman" w:eastAsia="Times New Roman" w:cs="Times New Roman"/>
          <w:color w:val="000000"/>
          <w:sz w:val="24"/>
        </w:rPr>
        <w:t xml:space="preserve"> From Content Safety Studio, you use the Monitor online activity feature to run the tests.</w:t>
      </w:r>
      <w:r/>
    </w:p>
    <w:p w14:paraId="5B84F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requirement?</w:t>
      </w:r>
      <w:r/>
    </w:p>
    <w:p w14:paraId="104A58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467430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14:paraId="4B3CD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16 of 16</w:t>
      </w:r>
      <w:r/>
    </w:p>
    <w:p w14:paraId="7F367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question is part of a series of questions that present the same scenario. Each question in the series contains a unique solution that might meet the stated goals. Some question sets might have more than one correct solution, while others might not ha</w:t>
      </w:r>
      <w:r>
        <w:rPr>
          <w:rFonts w:ascii="Times New Roman" w:hAnsi="Times New Roman" w:eastAsia="Times New Roman" w:cs="Times New Roman"/>
          <w:color w:val="000000"/>
          <w:sz w:val="24"/>
        </w:rPr>
        <w:t xml:space="preserve">ve a correct solution.</w:t>
      </w:r>
      <w:r/>
    </w:p>
    <w:p w14:paraId="227546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64F08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contains a Microsoft Foundry resource named AI1 and a Content Safety in Foundry Control Plane resource named CS1.</w:t>
      </w:r>
      <w:r/>
    </w:p>
    <w:p w14:paraId="505616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build an agent that uses AI1 to provide generative answers to specific questions and CS1 to check input and output for objectionable content.</w:t>
      </w:r>
      <w:r/>
    </w:p>
    <w:p w14:paraId="757E29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optimize the content filter configurations by running tests on sample questions.</w:t>
      </w:r>
      <w:r/>
    </w:p>
    <w:p w14:paraId="0CA1F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Solution:</w:t>
      </w:r>
      <w:r>
        <w:rPr>
          <w:rFonts w:ascii="Times New Roman" w:hAnsi="Times New Roman" w:eastAsia="Times New Roman" w:cs="Times New Roman"/>
          <w:color w:val="000000"/>
          <w:sz w:val="24"/>
        </w:rPr>
        <w:t xml:space="preserve"> From Content Safety Studio, you use the Safety metaprompt feature to run the tests.</w:t>
      </w:r>
      <w:r/>
    </w:p>
    <w:p w14:paraId="7A15A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requirement?</w:t>
      </w:r>
      <w:r/>
    </w:p>
    <w:p w14:paraId="7F3EC4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4C86B0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14:paraId="754E56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676EF1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Case Study Questions</w:t>
      </w:r>
      <w:r/>
    </w:p>
    <w:p w14:paraId="5679632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Case Study Question: 1 of 7</w:t>
      </w:r>
      <w:r/>
    </w:p>
    <w:p w14:paraId="4E1B7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w:t>
        <w:br/>
      </w:r>
      <w:r>
        <w:rPr>
          <w:rFonts w:ascii="Times New Roman" w:hAnsi="Times New Roman" w:eastAsia="Times New Roman" w:cs="Times New Roman"/>
          <w:color w:val="000000"/>
          <w:sz w:val="24"/>
        </w:rPr>
        <w:t xml:space="preserve">You need to recommend a solution to assess the responses generated by Agent1 when the agent uses the product information stored in storage1. The solution must meet the technical requirements.</w:t>
      </w:r>
      <w:r/>
    </w:p>
    <w:p w14:paraId="7A0A1A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should you include in the recommendation?</w:t>
      </w:r>
      <w:r/>
    </w:p>
    <w:p w14:paraId="760556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custom guardrail</w:t>
        <w:br/>
        <w:t xml:space="preserve">B. a coherence evaluator</w:t>
        <w:br/>
        <w:t xml:space="preserve">C. model fine-tuning</w:t>
        <w:br/>
        <w:t xml:space="preserve">D. a Retrieval Augmented Generation (RAG) evaluator</w:t>
      </w:r>
      <w:r/>
    </w:p>
    <w:p w14:paraId="5BBA5DA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Case Study Question: 2 of 7</w:t>
      </w:r>
      <w:r/>
    </w:p>
    <w:p w14:paraId="29A69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w:t>
        <w:br/>
      </w:r>
      <w:r>
        <w:rPr>
          <w:rFonts w:ascii="Times New Roman" w:hAnsi="Times New Roman" w:eastAsia="Times New Roman" w:cs="Times New Roman"/>
          <w:color w:val="000000"/>
          <w:sz w:val="24"/>
        </w:rPr>
        <w:t xml:space="preserve">You need to recommend an invoice review solution that resolves the issue reported by the finance department. The solution must support multimodal understanding of textual and visual document content.</w:t>
      </w:r>
      <w:r/>
    </w:p>
    <w:p w14:paraId="41A31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should you include in the recommendation?</w:t>
      </w:r>
      <w:r/>
    </w:p>
    <w:p w14:paraId="38982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chat completions</w:t>
        <w:br/>
        <w:t xml:space="preserve">B. Image Analysis</w:t>
        <w:br/>
        <w:t xml:space="preserve">C. Azure Document Intelligence in Foundry Tools</w:t>
        <w:br/>
        <w:t xml:space="preserve">D. Azure Content Understanding in Foundry Tools</w:t>
      </w:r>
      <w:r/>
    </w:p>
    <w:p w14:paraId="6968E82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Case Study Question: 3 of 7</w:t>
      </w:r>
      <w:r/>
    </w:p>
    <w:p w14:paraId="44BF9C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w:t>
        <w:br/>
      </w:r>
      <w:r>
        <w:rPr>
          <w:rFonts w:ascii="Times New Roman" w:hAnsi="Times New Roman" w:eastAsia="Times New Roman" w:cs="Times New Roman"/>
          <w:color w:val="000000"/>
          <w:sz w:val="24"/>
        </w:rPr>
        <w:t xml:space="preserve">You need to configure an indexing pipeline for Agent1 to retrieve the relevant product information in storage1. The solution must meet the technical requirement.</w:t>
      </w:r>
      <w:r/>
    </w:p>
    <w:p w14:paraId="19FF31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Which two built-in skills should you use? Each correct answer presents part of the solution.</w:t>
      </w:r>
      <w:r/>
    </w:p>
    <w:p w14:paraId="59F1A6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key phrase extraction</w:t>
        <w:br/>
        <w:t xml:space="preserve">B. Language Detection</w:t>
        <w:br/>
        <w:t xml:space="preserve">C. Entity Recognition</w:t>
        <w:br/>
        <w:t xml:space="preserve">D. Text Split</w:t>
        <w:br/>
        <w:t xml:space="preserve">E. Azure OpenAI Embedding</w:t>
        <w:br/>
        <w:t xml:space="preserve">F. Merge</w:t>
      </w:r>
      <w:r/>
    </w:p>
    <w:p w14:paraId="133D014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Case Study Question: 4 of 7</w:t>
      </w:r>
      <w:r/>
    </w:p>
    <w:p w14:paraId="52D7DB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w:t>
        <w:br/>
      </w:r>
      <w:r>
        <w:rPr>
          <w:rFonts w:ascii="Times New Roman" w:hAnsi="Times New Roman" w:eastAsia="Times New Roman" w:cs="Times New Roman"/>
          <w:color w:val="000000"/>
          <w:sz w:val="24"/>
        </w:rPr>
        <w:t xml:space="preserve">You need to configure the model deployment for Agent1 to meet the technical requirements.</w:t>
      </w:r>
      <w:r/>
    </w:p>
    <w:p w14:paraId="63C489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should you configure?</w:t>
      </w:r>
      <w:r/>
    </w:p>
    <w:p w14:paraId="593F00D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Deployment type</w:t>
      </w:r>
      <w:r/>
    </w:p>
    <w:p w14:paraId="4E1A7AE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Standard</w:t>
      </w:r>
      <w:r/>
    </w:p>
    <w:p w14:paraId="33F8313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Standard</w:t>
      </w:r>
      <w:r/>
    </w:p>
    <w:p w14:paraId="5DCE171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Provisioned</w:t>
      </w:r>
      <w:r/>
    </w:p>
    <w:p w14:paraId="6C928A0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Version update policy</w:t>
      </w:r>
      <w:r/>
    </w:p>
    <w:p w14:paraId="4487DF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Once the current version expires</w:t>
      </w:r>
      <w:r/>
    </w:p>
    <w:p w14:paraId="27AD8E1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 out of automatic model version upgrades</w:t>
      </w:r>
      <w:r/>
    </w:p>
    <w:p w14:paraId="676B560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Upgrade once a new default version becomes available</w:t>
      </w:r>
      <w:r/>
    </w:p>
    <w:p w14:paraId="7D1EF07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Case Study Question: 5 of 7</w:t>
      </w:r>
      <w:r/>
    </w:p>
    <w:p w14:paraId="5DBC1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w:t>
        <w:br/>
      </w:r>
      <w:r>
        <w:rPr>
          <w:rFonts w:ascii="Times New Roman" w:hAnsi="Times New Roman" w:eastAsia="Times New Roman" w:cs="Times New Roman"/>
          <w:color w:val="000000"/>
          <w:sz w:val="24"/>
        </w:rPr>
        <w:t xml:space="preserve">You need to ensure that the marketing department can generate videos by using the model deployed to Project2.</w:t>
      </w:r>
      <w:r/>
    </w:p>
    <w:p w14:paraId="304FA5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How should you complete the Python code? To answer, select the appropriate options in the answer area.</w:t>
      </w:r>
      <w:r/>
    </w:p>
    <w:p w14:paraId="545C41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Code completion options visible/confirmed in the provided screenshots:</w:t>
      </w:r>
      <w:r/>
    </w:p>
    <w:p w14:paraId="56AE9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First dropdown:</w:t>
      </w:r>
      <w:r/>
    </w:p>
    <w:p w14:paraId="40D7DE8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w:t>
      </w:r>
      <w:r/>
    </w:p>
    <w:p w14:paraId="42FBCF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Second dropdown:</w:t>
      </w:r>
      <w:r/>
    </w:p>
    <w:p w14:paraId="4B6A679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retrieve</w:t>
      </w:r>
      <w:r/>
    </w:p>
    <w:p w14:paraId="4E32278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Case Study Question: 6 of 7</w:t>
      </w:r>
      <w:r/>
    </w:p>
    <w:p w14:paraId="1F92DA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w:t>
        <w:br/>
      </w:r>
      <w:r>
        <w:rPr>
          <w:rFonts w:ascii="Times New Roman" w:hAnsi="Times New Roman" w:eastAsia="Times New Roman" w:cs="Times New Roman"/>
          <w:color w:val="000000"/>
          <w:sz w:val="24"/>
        </w:rPr>
        <w:t xml:space="preserve">You need to configure Agent1 to answer customer questions about only the Contoso products. The solution must meet the business requirements.</w:t>
      </w:r>
      <w:r/>
    </w:p>
    <w:p w14:paraId="13498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should you do?</w:t>
      </w:r>
      <w:r/>
    </w:p>
    <w:p w14:paraId="142796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Modify the system message instructions.</w:t>
        <w:br/>
        <w:t xml:space="preserve">B. Add few-shot examples.</w:t>
        <w:br/>
        <w:t xml:space="preserve">C. Apply top-p sampling.</w:t>
        <w:br/>
        <w:t xml:space="preserve">D. Increase the value of the temperature parameter.</w:t>
      </w:r>
      <w:r/>
    </w:p>
    <w:p w14:paraId="26BABF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Case Study Question: 7 of 7</w:t>
      </w:r>
      <w:r/>
    </w:p>
    <w:p w14:paraId="326BC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w:t>
        <w:br/>
      </w:r>
      <w:r>
        <w:rPr>
          <w:rFonts w:ascii="Times New Roman" w:hAnsi="Times New Roman" w:eastAsia="Times New Roman" w:cs="Times New Roman"/>
          <w:color w:val="000000"/>
          <w:sz w:val="24"/>
        </w:rPr>
        <w:t xml:space="preserve">You need to recommend a solution to support the planned changes and technical requirements for Agent1 to use the product information stored in storage1.</w:t>
      </w:r>
      <w:r/>
    </w:p>
    <w:p w14:paraId="575019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should you include in the recommendation?</w:t>
      </w:r>
      <w:r/>
    </w:p>
    <w:p w14:paraId="7DBD3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Azure AI Search</w:t>
        <w:br/>
        <w:t xml:space="preserve">B. Azure Document Intelligence in Foundry Tools</w:t>
        <w:br/>
        <w:t xml:space="preserve">C. Azure Translator in Foundry Tools</w:t>
        <w:br/>
        <w:t xml:space="preserve">D. Grounding with Bing Search</w:t>
      </w:r>
      <w:r/>
    </w:p>
    <w:p w14:paraId="29820B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58DE6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Use batch transcription to convert the audio input and return text responses from the agent.</w:t>
      </w:r>
      <w:r/>
    </w:p>
    <w:p w14:paraId="64BF13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real-time speech to text for incoming audio and text to speech for agent responses.</w:t>
      </w:r>
      <w:r/>
    </w:p>
    <w:p w14:paraId="2F33F3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Use an embeddings model to encode the audio, and then decode the audio into text and speech.</w:t>
      </w:r>
      <w:r/>
    </w:p>
    <w:p w14:paraId="48F77F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of 13</w:t>
      </w:r>
      <w:r/>
    </w:p>
    <w:p w14:paraId="0DDB8E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developing a text processing solution.</w:t>
      </w:r>
      <w:r/>
    </w:p>
    <w:p w14:paraId="42CEB8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following function.</w:t>
      </w:r>
      <w:r/>
    </w:p>
    <w:p w14:paraId="687144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get_key_words (textAnalyticsClient, text):</w:t>
      </w:r>
      <w:r/>
    </w:p>
    <w:p w14:paraId="533B76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0D48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response textAnalyticsClient.recognize_entities (documents = [text])[0]</w:t>
      </w:r>
      <w:r/>
    </w:p>
    <w:p w14:paraId="281BAB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C8D9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print("Key Words:")</w:t>
      </w:r>
      <w:r/>
    </w:p>
    <w:p w14:paraId="7CA5DF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B8A8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entity in response.entities:</w:t>
      </w:r>
      <w:r/>
    </w:p>
    <w:p w14:paraId="48FBE9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26C8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print("\t\t", entity.text)</w:t>
      </w:r>
      <w:r/>
    </w:p>
    <w:p w14:paraId="101250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22C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call the function and use the following string as the second argument.</w:t>
      </w:r>
      <w:r/>
    </w:p>
    <w:p w14:paraId="366C82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Our tour of London included a visit to Buckingham Palace</w:t>
      </w:r>
      <w:r/>
    </w:p>
    <w:p w14:paraId="22233F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4A37E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will be the output of the function?</w:t>
      </w:r>
      <w:r/>
    </w:p>
    <w:p w14:paraId="5059CA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Our tour of London included a visit to Buckingham Palace</w:t>
      </w:r>
      <w:r/>
    </w:p>
    <w:p w14:paraId="3FE8D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London and Buckingham Palace only</w:t>
      </w:r>
      <w:r/>
    </w:p>
    <w:p w14:paraId="25E25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London and Tour only</w:t>
      </w:r>
      <w:r/>
    </w:p>
    <w:p w14:paraId="427F20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Tour and visit only</w:t>
      </w:r>
      <w:r/>
    </w:p>
    <w:p w14:paraId="68EFC3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of 13</w:t>
      </w:r>
      <w:r/>
    </w:p>
    <w:p w14:paraId="05F39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The agent uses threads and file uploads and calls an Azure OpenAI model deployment.</w:t>
      </w:r>
      <w:r/>
    </w:p>
    <w:p w14:paraId="61404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load testing, calls intermittently fail and return an HTTP 429 rate limit exceeded error. Some user uploads fail and generate an HTTP 400 file size exceeded error.</w:t>
      </w:r>
      <w:r/>
    </w:p>
    <w:p w14:paraId="2339AB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mitigate the errors and reduce call failures. The solution must remain within the service and model limits.</w:t>
      </w:r>
      <w:r/>
    </w:p>
    <w:p w14:paraId="60387A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 to resolve each error? To answer, drag the appropriate actions to the correct errors. Each action may be used once, more than once, or not at all. You may need to drag the split bar between panes or scroll to view content.</w:t>
      </w:r>
      <w:r/>
    </w:p>
    <w:p w14:paraId="113411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17995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Actions</w:t>
      </w:r>
      <w:r/>
    </w:p>
    <w:p w14:paraId="7B6B4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Increase tenant-wide quotas.</w:t>
      </w:r>
      <w:r/>
    </w:p>
    <w:p w14:paraId="15C65A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Move large content to files and use file search.</w:t>
      </w:r>
      <w:r/>
    </w:p>
    <w:p w14:paraId="1DE60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additional agent tools to reduce the message size.</w:t>
      </w:r>
      <w:r/>
    </w:p>
    <w:p w14:paraId="5D620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Implement exponential backoff and jitter in the retry logic.</w:t>
      </w:r>
      <w:r/>
    </w:p>
    <w:p w14:paraId="3F7FF3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Split content into smaller files before uploading the files.</w:t>
      </w:r>
      <w:r/>
    </w:p>
    <w:p w14:paraId="3F532D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78"/>
        <w:gridCol w:w="680"/>
      </w:tblGrid>
      <w:tr>
        <w:trPr/>
        <w:tc>
          <w:tcPr>
            <w:tcBorders/>
            <w:tcMar>
              <w:left w:w="15" w:type="dxa"/>
              <w:top w:w="15" w:type="dxa"/>
              <w:right w:w="15" w:type="dxa"/>
              <w:bottom w:w="15" w:type="dxa"/>
            </w:tcMar>
            <w:tcW w:w="1078" w:type="dxa"/>
            <w:vAlign w:val="center"/>
          </w:tcPr>
          <w:p w14:paraId="542B3653">
            <w:pPr>
              <w:pBdr/>
              <w:spacing w:after="0" w:before="0" w:line="240"/>
              <w:ind/>
              <w:jc w:val="center"/>
              <w:rPr/>
            </w:pPr>
            <w:r>
              <w:rPr>
                <w:rFonts w:ascii="Times New Roman" w:hAnsi="Times New Roman" w:eastAsia="Times New Roman" w:cs="Times New Roman"/>
                <w:b/>
                <w:color w:val="000000"/>
                <w:sz w:val="24"/>
              </w:rPr>
              <w:t xml:space="preserve">Error</w:t>
            </w:r>
            <w:r/>
          </w:p>
        </w:tc>
        <w:tc>
          <w:tcPr>
            <w:tcBorders/>
            <w:tcMar>
              <w:left w:w="15" w:type="dxa"/>
              <w:top w:w="15" w:type="dxa"/>
              <w:right w:w="15" w:type="dxa"/>
              <w:bottom w:w="15" w:type="dxa"/>
            </w:tcMar>
            <w:tcW w:w="680" w:type="dxa"/>
            <w:vAlign w:val="center"/>
          </w:tcPr>
          <w:p w14:paraId="3DCA6ECD">
            <w:pPr>
              <w:pBdr/>
              <w:spacing w:after="0" w:before="0" w:line="240"/>
              <w:ind/>
              <w:jc w:val="center"/>
              <w:rPr/>
            </w:pPr>
            <w:r>
              <w:rPr>
                <w:rFonts w:ascii="Times New Roman" w:hAnsi="Times New Roman" w:eastAsia="Times New Roman" w:cs="Times New Roman"/>
                <w:b/>
                <w:color w:val="000000"/>
                <w:sz w:val="24"/>
              </w:rPr>
              <w:t xml:space="preserve">Action</w:t>
            </w:r>
            <w:r/>
          </w:p>
        </w:tc>
      </w:tr>
      <w:tr>
        <w:trPr/>
        <w:tc>
          <w:tcPr>
            <w:tcBorders/>
            <w:tcMar>
              <w:left w:w="15" w:type="dxa"/>
              <w:top w:w="15" w:type="dxa"/>
              <w:right w:w="15" w:type="dxa"/>
              <w:bottom w:w="15" w:type="dxa"/>
            </w:tcMar>
            <w:tcW w:w="1078" w:type="dxa"/>
            <w:vAlign w:val="center"/>
          </w:tcPr>
          <w:p w14:paraId="25E68CE1">
            <w:pPr>
              <w:pBdr/>
              <w:spacing w:after="0" w:before="0" w:line="240"/>
              <w:ind/>
              <w:rPr/>
            </w:pPr>
            <w:r>
              <w:rPr>
                <w:rFonts w:ascii="Times New Roman" w:hAnsi="Times New Roman" w:eastAsia="Times New Roman" w:cs="Times New Roman"/>
                <w:color w:val="000000"/>
                <w:sz w:val="24"/>
              </w:rPr>
              <w:t xml:space="preserve">HTTP 429:</w:t>
            </w:r>
            <w:r/>
          </w:p>
        </w:tc>
        <w:tc>
          <w:tcPr>
            <w:tcBorders/>
            <w:tcMar>
              <w:left w:w="15" w:type="dxa"/>
              <w:top w:w="15" w:type="dxa"/>
              <w:right w:w="15" w:type="dxa"/>
              <w:bottom w:w="15" w:type="dxa"/>
            </w:tcMar>
            <w:tcW w:w="680" w:type="dxa"/>
            <w:vAlign w:val="center"/>
          </w:tcPr>
          <w:p w14:paraId="5D4806DC">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078" w:type="dxa"/>
            <w:vAlign w:val="center"/>
          </w:tcPr>
          <w:p w14:paraId="3CEE170B">
            <w:pPr>
              <w:pBdr/>
              <w:spacing w:after="0" w:before="0" w:line="240"/>
              <w:ind/>
              <w:rPr/>
            </w:pPr>
            <w:r>
              <w:rPr>
                <w:rFonts w:ascii="Times New Roman" w:hAnsi="Times New Roman" w:eastAsia="Times New Roman" w:cs="Times New Roman"/>
                <w:color w:val="000000"/>
                <w:sz w:val="24"/>
              </w:rPr>
              <w:t xml:space="preserve">HTTP 400:</w:t>
            </w:r>
            <w:r/>
          </w:p>
        </w:tc>
        <w:tc>
          <w:tcPr>
            <w:tcBorders/>
            <w:tcMar>
              <w:left w:w="15" w:type="dxa"/>
              <w:top w:w="15" w:type="dxa"/>
              <w:right w:w="15" w:type="dxa"/>
              <w:bottom w:w="15" w:type="dxa"/>
            </w:tcMar>
            <w:tcW w:w="680" w:type="dxa"/>
            <w:vAlign w:val="center"/>
          </w:tcPr>
          <w:p w14:paraId="2D8D524A">
            <w:pPr>
              <w:pBdr/>
              <w:spacing w:after="0" w:before="0" w:line="240"/>
              <w:ind/>
              <w:rPr/>
            </w:pPr>
            <w:r>
              <w:rPr>
                <w:rFonts w:ascii="Times New Roman" w:hAnsi="Times New Roman" w:eastAsia="Times New Roman" w:cs="Times New Roman"/>
                <w:color w:val="000000"/>
                <w:sz w:val="24"/>
              </w:rPr>
              <w:t xml:space="preserve">☐</w:t>
            </w:r>
            <w:r/>
          </w:p>
        </w:tc>
      </w:tr>
    </w:tbl>
    <w:p w14:paraId="6C6DAD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of 13</w:t>
      </w:r>
      <w:r/>
    </w:p>
    <w:p w14:paraId="4BEB4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customer support agent grounded in internal documentation.</w:t>
      </w:r>
      <w:r/>
    </w:p>
    <w:p w14:paraId="2E41C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a recent update, users report the following issues:</w:t>
      </w:r>
      <w:r/>
    </w:p>
    <w:p w14:paraId="336596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answers are unsupported by retrieved documents.</w:t>
      </w:r>
      <w:r/>
    </w:p>
    <w:p w14:paraId="5B1433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small number of responses are flagged for policy violations.</w:t>
      </w:r>
      <w:r/>
    </w:p>
    <w:p w14:paraId="550919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evaluate each issue.</w:t>
      </w:r>
      <w:r/>
    </w:p>
    <w:p w14:paraId="3F6F95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observability signals should you use for each issue? To answer, drag the appropriate observability signals to the correct issues. Each observability signal may be used once, more than once, or not at all. You may need to drag the split bar between pa</w:t>
      </w:r>
      <w:r>
        <w:rPr>
          <w:rFonts w:ascii="Times New Roman" w:hAnsi="Times New Roman" w:eastAsia="Times New Roman" w:cs="Times New Roman"/>
          <w:color w:val="000000"/>
          <w:sz w:val="24"/>
        </w:rPr>
        <w:t xml:space="preserve">nes or scroll to view content.</w:t>
      </w:r>
      <w:r/>
    </w:p>
    <w:p w14:paraId="5522F2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4525FC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Observability signals</w:t>
      </w:r>
      <w:r/>
    </w:p>
    <w:p w14:paraId="0B7758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Groundedness evaluation metrics</w:t>
      </w:r>
      <w:r/>
    </w:p>
    <w:p w14:paraId="27DFC8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Latency breakdown traces</w:t>
      </w:r>
      <w:r/>
    </w:p>
    <w:p w14:paraId="3A1ECC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Risk and safety metrics</w:t>
      </w:r>
      <w:r/>
    </w:p>
    <w:p w14:paraId="5B721E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Token usage analytics</w:t>
      </w:r>
      <w:r/>
    </w:p>
    <w:p w14:paraId="1D063F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00"/>
        <w:gridCol w:w="2060"/>
      </w:tblGrid>
      <w:tr>
        <w:trPr/>
        <w:tc>
          <w:tcPr>
            <w:tcBorders/>
            <w:tcMar>
              <w:left w:w="15" w:type="dxa"/>
              <w:top w:w="15" w:type="dxa"/>
              <w:right w:w="15" w:type="dxa"/>
              <w:bottom w:w="15" w:type="dxa"/>
            </w:tcMar>
            <w:tcW w:w="2300" w:type="dxa"/>
            <w:vAlign w:val="center"/>
          </w:tcPr>
          <w:p w14:paraId="27C70837">
            <w:pPr>
              <w:pBdr/>
              <w:spacing w:after="0" w:before="0" w:line="240"/>
              <w:ind/>
              <w:jc w:val="center"/>
              <w:rPr/>
            </w:pPr>
            <w:r>
              <w:rPr>
                <w:rFonts w:ascii="Times New Roman" w:hAnsi="Times New Roman" w:eastAsia="Times New Roman" w:cs="Times New Roman"/>
                <w:b/>
                <w:color w:val="000000"/>
                <w:sz w:val="24"/>
              </w:rPr>
              <w:t xml:space="preserve">Issue</w:t>
            </w:r>
            <w:r/>
          </w:p>
        </w:tc>
        <w:tc>
          <w:tcPr>
            <w:tcBorders/>
            <w:tcMar>
              <w:left w:w="15" w:type="dxa"/>
              <w:top w:w="15" w:type="dxa"/>
              <w:right w:w="15" w:type="dxa"/>
              <w:bottom w:w="15" w:type="dxa"/>
            </w:tcMar>
            <w:tcW w:w="2060" w:type="dxa"/>
            <w:vAlign w:val="center"/>
          </w:tcPr>
          <w:p w14:paraId="1579EC45">
            <w:pPr>
              <w:pBdr/>
              <w:spacing w:after="0" w:before="0" w:line="240"/>
              <w:ind/>
              <w:jc w:val="center"/>
              <w:rPr/>
            </w:pPr>
            <w:r>
              <w:rPr>
                <w:rFonts w:ascii="Times New Roman" w:hAnsi="Times New Roman" w:eastAsia="Times New Roman" w:cs="Times New Roman"/>
                <w:b/>
                <w:color w:val="000000"/>
                <w:sz w:val="24"/>
              </w:rPr>
              <w:t xml:space="preserve">Observability signal</w:t>
            </w:r>
            <w:r/>
          </w:p>
        </w:tc>
      </w:tr>
      <w:tr>
        <w:trPr/>
        <w:tc>
          <w:tcPr>
            <w:tcBorders/>
            <w:tcMar>
              <w:left w:w="15" w:type="dxa"/>
              <w:top w:w="15" w:type="dxa"/>
              <w:right w:w="15" w:type="dxa"/>
              <w:bottom w:w="15" w:type="dxa"/>
            </w:tcMar>
            <w:tcW w:w="2300" w:type="dxa"/>
            <w:vAlign w:val="center"/>
          </w:tcPr>
          <w:p w14:paraId="0168F04D">
            <w:pPr>
              <w:pBdr/>
              <w:spacing w:after="0" w:before="0" w:line="240"/>
              <w:ind/>
              <w:rPr/>
            </w:pPr>
            <w:r>
              <w:rPr>
                <w:rFonts w:ascii="Times New Roman" w:hAnsi="Times New Roman" w:eastAsia="Times New Roman" w:cs="Times New Roman"/>
                <w:color w:val="000000"/>
                <w:sz w:val="24"/>
              </w:rPr>
              <w:t xml:space="preserve">Unsupported responses:</w:t>
            </w:r>
            <w:r/>
          </w:p>
        </w:tc>
        <w:tc>
          <w:tcPr>
            <w:tcBorders/>
            <w:tcMar>
              <w:left w:w="15" w:type="dxa"/>
              <w:top w:w="15" w:type="dxa"/>
              <w:right w:w="15" w:type="dxa"/>
              <w:bottom w:w="15" w:type="dxa"/>
            </w:tcMar>
            <w:tcW w:w="2060" w:type="dxa"/>
            <w:vAlign w:val="center"/>
          </w:tcPr>
          <w:p w14:paraId="023B3D07">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2300" w:type="dxa"/>
            <w:vAlign w:val="center"/>
          </w:tcPr>
          <w:p w14:paraId="19B3756A">
            <w:pPr>
              <w:pBdr/>
              <w:spacing w:after="0" w:before="0" w:line="240"/>
              <w:ind/>
              <w:rPr/>
            </w:pPr>
            <w:r>
              <w:rPr>
                <w:rFonts w:ascii="Times New Roman" w:hAnsi="Times New Roman" w:eastAsia="Times New Roman" w:cs="Times New Roman"/>
                <w:color w:val="000000"/>
                <w:sz w:val="24"/>
              </w:rPr>
              <w:t xml:space="preserve">Policy violations:</w:t>
            </w:r>
            <w:r/>
          </w:p>
        </w:tc>
        <w:tc>
          <w:tcPr>
            <w:tcBorders/>
            <w:tcMar>
              <w:left w:w="15" w:type="dxa"/>
              <w:top w:w="15" w:type="dxa"/>
              <w:right w:w="15" w:type="dxa"/>
              <w:bottom w:w="15" w:type="dxa"/>
            </w:tcMar>
            <w:tcW w:w="2060" w:type="dxa"/>
            <w:vAlign w:val="center"/>
          </w:tcPr>
          <w:p w14:paraId="54E84199">
            <w:pPr>
              <w:pBdr/>
              <w:spacing w:after="0" w:before="0" w:line="240"/>
              <w:ind/>
              <w:rPr/>
            </w:pPr>
            <w:r>
              <w:rPr>
                <w:rFonts w:ascii="Times New Roman" w:hAnsi="Times New Roman" w:eastAsia="Times New Roman" w:cs="Times New Roman"/>
                <w:color w:val="000000"/>
                <w:sz w:val="24"/>
              </w:rPr>
              <w:t xml:space="preserve">☐</w:t>
            </w:r>
            <w:r/>
          </w:p>
        </w:tc>
      </w:tr>
    </w:tbl>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BAC5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BE203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4C8B4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localhost:5000/status" TargetMode="External"/><Relationship Id="rId10" Type="http://schemas.openxmlformats.org/officeDocument/2006/relationships/hyperlink" Target="http://localhost:5000/swagge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2026-09-25T11:26:20Z</dcterms:modified>
</cp:coreProperties>
</file>