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jc w:val="center"/>
      </w:pPr>
      <w:r>
        <w:rPr>
          <w:rFonts w:ascii="Calibri" w:hAnsi="Calibri"/>
          <w:b/>
          <w:color w:val="0D1B2A"/>
          <w:sz w:val="76"/>
        </w:rPr>
        <w:t>ACID MODEL</w:t>
      </w:r>
    </w:p>
    <w:p>
      <w:pPr>
        <w:jc w:val="center"/>
      </w:pPr>
      <w:r>
        <w:rPr>
          <w:rFonts w:ascii="Calibri" w:hAnsi="Calibri"/>
          <w:i/>
          <w:color w:val="1B4F72"/>
          <w:sz w:val="40"/>
        </w:rPr>
        <w:t>Autonomous Causal Intelligence Defense</w:t>
      </w:r>
    </w:p>
    <w:p/>
    <w:p>
      <w:pPr>
        <w:jc w:val="center"/>
        <w:pBdr>
          <w:bottom w:val="single" w:sz="12" w:space="1" w:color="218BC6"/>
        </w:pBdr>
      </w:pPr>
    </w:p>
    <w:p/>
    <w:p>
      <w:pPr>
        <w:jc w:val="center"/>
      </w:pPr>
      <w:r>
        <w:rPr>
          <w:rFonts w:ascii="Calibri" w:hAnsi="Calibri"/>
          <w:b/>
          <w:color w:val="218BC6"/>
          <w:sz w:val="44"/>
        </w:rPr>
        <w:t>PROGRESS REPORT</w:t>
      </w:r>
    </w:p>
    <w:p/>
    <w:p/>
    <w:p/>
    <w:tbl>
      <w:tblPr>
        <w:tblStyle w:val="TableGrid"/>
        <w:tblW w:type="auto" w:w="0"/>
        <w:jc w:val="center"/>
        <w:tblLook w:firstColumn="1" w:firstRow="1" w:lastColumn="0" w:lastRow="0" w:noHBand="0" w:noVBand="1" w:val="04A0"/>
      </w:tblPr>
      <w:tblGrid>
        <w:gridCol w:w="3118"/>
        <w:gridCol w:w="6236"/>
      </w:tblGrid>
      <w:tr>
        <w:tc>
          <w:tcPr>
            <w:tcW w:type="dxa" w:w="4680"/>
            <w:shd w:val="clear" w:color="auto" w:fill="1B4F72"/>
          </w:tcPr>
          <w:p>
            <w:r>
              <w:rPr>
                <w:rFonts w:ascii="Calibri" w:hAnsi="Calibri"/>
                <w:b/>
                <w:color w:val="FFFFFF"/>
                <w:sz w:val="20"/>
              </w:rPr>
              <w:t>Project Name</w:t>
            </w:r>
          </w:p>
        </w:tc>
        <w:tc>
          <w:tcPr>
            <w:tcW w:type="dxa" w:w="4680"/>
            <w:shd w:val="clear" w:color="auto" w:fill="EBF5FB"/>
          </w:tcPr>
          <w:p>
            <w:r>
              <w:rPr>
                <w:rFonts w:ascii="Calibri" w:hAnsi="Calibri"/>
                <w:color w:val="0D1B2A"/>
                <w:sz w:val="20"/>
              </w:rPr>
              <w:t>D-VIRS / ACID — Autonomous Causal Intelligence Defense</w:t>
            </w:r>
          </w:p>
        </w:tc>
      </w:tr>
      <w:tr>
        <w:tc>
          <w:tcPr>
            <w:tcW w:type="dxa" w:w="4680"/>
            <w:shd w:val="clear" w:color="auto" w:fill="1B4F72"/>
          </w:tcPr>
          <w:p>
            <w:r>
              <w:rPr>
                <w:rFonts w:ascii="Calibri" w:hAnsi="Calibri"/>
                <w:b/>
                <w:color w:val="FFFFFF"/>
                <w:sz w:val="20"/>
              </w:rPr>
              <w:t>Document Type</w:t>
            </w:r>
          </w:p>
        </w:tc>
        <w:tc>
          <w:tcPr>
            <w:tcW w:type="dxa" w:w="4680"/>
            <w:shd w:val="clear" w:color="auto" w:fill="FDFEFE"/>
          </w:tcPr>
          <w:p>
            <w:r>
              <w:rPr>
                <w:rFonts w:ascii="Calibri" w:hAnsi="Calibri"/>
                <w:color w:val="0D1B2A"/>
                <w:sz w:val="20"/>
              </w:rPr>
              <w:t>Progress Report</w:t>
            </w:r>
          </w:p>
        </w:tc>
      </w:tr>
      <w:tr>
        <w:tc>
          <w:tcPr>
            <w:tcW w:type="dxa" w:w="4680"/>
            <w:shd w:val="clear" w:color="auto" w:fill="1B4F72"/>
          </w:tcPr>
          <w:p>
            <w:r>
              <w:rPr>
                <w:rFonts w:ascii="Calibri" w:hAnsi="Calibri"/>
                <w:b/>
                <w:color w:val="FFFFFF"/>
                <w:sz w:val="20"/>
              </w:rPr>
              <w:t>Version</w:t>
            </w:r>
          </w:p>
        </w:tc>
        <w:tc>
          <w:tcPr>
            <w:tcW w:type="dxa" w:w="4680"/>
            <w:shd w:val="clear" w:color="auto" w:fill="EBF5FB"/>
          </w:tcPr>
          <w:p>
            <w:r>
              <w:rPr>
                <w:rFonts w:ascii="Calibri" w:hAnsi="Calibri"/>
                <w:color w:val="0D1B2A"/>
                <w:sz w:val="20"/>
              </w:rPr>
              <w:t>v1.0</w:t>
            </w:r>
          </w:p>
        </w:tc>
      </w:tr>
      <w:tr>
        <w:tc>
          <w:tcPr>
            <w:tcW w:type="dxa" w:w="4680"/>
            <w:shd w:val="clear" w:color="auto" w:fill="1B4F72"/>
          </w:tcPr>
          <w:p>
            <w:r>
              <w:rPr>
                <w:rFonts w:ascii="Calibri" w:hAnsi="Calibri"/>
                <w:b/>
                <w:color w:val="FFFFFF"/>
                <w:sz w:val="20"/>
              </w:rPr>
              <w:t>Date</w:t>
            </w:r>
          </w:p>
        </w:tc>
        <w:tc>
          <w:tcPr>
            <w:tcW w:type="dxa" w:w="4680"/>
            <w:shd w:val="clear" w:color="auto" w:fill="FDFEFE"/>
          </w:tcPr>
          <w:p>
            <w:r>
              <w:rPr>
                <w:rFonts w:ascii="Calibri" w:hAnsi="Calibri"/>
                <w:color w:val="0D1B2A"/>
                <w:sz w:val="20"/>
              </w:rPr>
              <w:t>September 19, 2026</w:t>
            </w:r>
          </w:p>
        </w:tc>
      </w:tr>
      <w:tr>
        <w:tc>
          <w:tcPr>
            <w:tcW w:type="dxa" w:w="4680"/>
            <w:shd w:val="clear" w:color="auto" w:fill="1B4F72"/>
          </w:tcPr>
          <w:p>
            <w:r>
              <w:rPr>
                <w:rFonts w:ascii="Calibri" w:hAnsi="Calibri"/>
                <w:b/>
                <w:color w:val="FFFFFF"/>
                <w:sz w:val="20"/>
              </w:rPr>
              <w:t>Prepared By</w:t>
            </w:r>
          </w:p>
        </w:tc>
        <w:tc>
          <w:tcPr>
            <w:tcW w:type="dxa" w:w="4680"/>
            <w:shd w:val="clear" w:color="auto" w:fill="EBF5FB"/>
          </w:tcPr>
          <w:p>
            <w:r>
              <w:rPr>
                <w:rFonts w:ascii="Calibri" w:hAnsi="Calibri"/>
                <w:color w:val="0D1B2A"/>
                <w:sz w:val="20"/>
              </w:rPr>
              <w:t>Bhargav (Project Architect &amp; Lead Engineer)</w:t>
            </w:r>
          </w:p>
        </w:tc>
      </w:tr>
      <w:tr>
        <w:tc>
          <w:tcPr>
            <w:tcW w:type="dxa" w:w="4680"/>
            <w:shd w:val="clear" w:color="auto" w:fill="1B4F72"/>
          </w:tcPr>
          <w:p>
            <w:r>
              <w:rPr>
                <w:rFonts w:ascii="Calibri" w:hAnsi="Calibri"/>
                <w:b/>
                <w:color w:val="FFFFFF"/>
                <w:sz w:val="20"/>
              </w:rPr>
              <w:t>Repository</w:t>
            </w:r>
          </w:p>
        </w:tc>
        <w:tc>
          <w:tcPr>
            <w:tcW w:type="dxa" w:w="4680"/>
            <w:shd w:val="clear" w:color="auto" w:fill="FDFEFE"/>
          </w:tcPr>
          <w:p>
            <w:r>
              <w:rPr>
                <w:rFonts w:ascii="Calibri" w:hAnsi="Calibri"/>
                <w:color w:val="0D1B2A"/>
                <w:sz w:val="20"/>
              </w:rPr>
              <w:t>https://github.com/Bhargav-2007/D-VIRS</w:t>
            </w:r>
          </w:p>
        </w:tc>
      </w:tr>
      <w:tr>
        <w:tc>
          <w:tcPr>
            <w:tcW w:type="dxa" w:w="4680"/>
            <w:shd w:val="clear" w:color="auto" w:fill="1B4F72"/>
          </w:tcPr>
          <w:p>
            <w:r>
              <w:rPr>
                <w:rFonts w:ascii="Calibri" w:hAnsi="Calibri"/>
                <w:b/>
                <w:color w:val="FFFFFF"/>
                <w:sz w:val="20"/>
              </w:rPr>
              <w:t>Confidentiality</w:t>
            </w:r>
          </w:p>
        </w:tc>
        <w:tc>
          <w:tcPr>
            <w:tcW w:type="dxa" w:w="4680"/>
            <w:shd w:val="clear" w:color="auto" w:fill="EBF5FB"/>
          </w:tcPr>
          <w:p>
            <w:r>
              <w:rPr>
                <w:rFonts w:ascii="Calibri" w:hAnsi="Calibri"/>
                <w:color w:val="0D1B2A"/>
                <w:sz w:val="20"/>
              </w:rPr>
              <w:t>CONFIDENTIAL — Internal Use Only</w:t>
            </w:r>
          </w:p>
        </w:tc>
      </w:tr>
    </w:tbl>
    <w:p/>
    <w:p/>
    <w:p/>
    <w:p/>
    <w:p>
      <w:pPr>
        <w:jc w:val="center"/>
      </w:pPr>
      <w:r>
        <w:rPr>
          <w:rFonts w:ascii="Calibri" w:hAnsi="Calibri"/>
          <w:i/>
          <w:color w:val="AAB7C6"/>
          <w:sz w:val="18"/>
        </w:rPr>
        <w:t>This document contains proprietary and confidential information.</w:t>
        <w:br/>
        <w:t>Unauthorized reproduction or distribution is strictly prohibited.</w:t>
      </w:r>
    </w:p>
    <w:p>
      <w:r>
        <w:br w:type="page"/>
      </w:r>
    </w:p>
    <w:p>
      <w:pPr>
        <w:spacing w:before="320" w:after="80"/>
        <w:shd w:val="clear" w:color="auto" w:fill="0D1B2A"/>
        <w:ind w:left="170" w:right="170"/>
      </w:pPr>
      <w:r>
        <w:rPr>
          <w:rFonts w:ascii="Calibri" w:hAnsi="Calibri"/>
          <w:b/>
          <w:color w:val="FFFFFF"/>
          <w:sz w:val="30"/>
        </w:rPr>
        <w:t>DOCUMENT CONTROL</w:t>
      </w:r>
    </w:p>
    <w:p>
      <w:pPr>
        <w:spacing w:before="240" w:after="80"/>
        <w:pBdr>
          <w:bottom w:val="single" w:sz="6" w:space="1" w:color="1B4F72"/>
        </w:pBdr>
      </w:pPr>
      <w:r>
        <w:rPr>
          <w:rFonts w:ascii="Calibri" w:hAnsi="Calibri"/>
          <w:b/>
          <w:color w:val="1B4F72"/>
          <w:sz w:val="24"/>
        </w:rPr>
        <w:t>Version History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D1B2A"/>
            <w:vAlign w:val="center"/>
          </w:tcPr>
          <w:p>
            <w:pPr>
              <w:jc w:val="center"/>
            </w:pPr>
            <w:r/>
            <w:r>
              <w:rPr>
                <w:rFonts w:ascii="Calibri" w:hAnsi="Calibri"/>
                <w:b/>
                <w:color w:val="FFFFFF"/>
                <w:sz w:val="20"/>
              </w:rPr>
              <w:t>Version</w:t>
            </w:r>
          </w:p>
        </w:tc>
        <w:tc>
          <w:tcPr>
            <w:tcW w:type="dxa" w:w="1872"/>
            <w:shd w:val="clear" w:color="auto" w:fill="0D1B2A"/>
            <w:vAlign w:val="center"/>
          </w:tcPr>
          <w:p>
            <w:pPr>
              <w:jc w:val="center"/>
            </w:pPr>
            <w:r/>
            <w:r>
              <w:rPr>
                <w:rFonts w:ascii="Calibri" w:hAnsi="Calibri"/>
                <w:b/>
                <w:color w:val="FFFFFF"/>
                <w:sz w:val="20"/>
              </w:rPr>
              <w:t>Date</w:t>
            </w:r>
          </w:p>
        </w:tc>
        <w:tc>
          <w:tcPr>
            <w:tcW w:type="dxa" w:w="1872"/>
            <w:shd w:val="clear" w:color="auto" w:fill="0D1B2A"/>
            <w:vAlign w:val="center"/>
          </w:tcPr>
          <w:p>
            <w:pPr>
              <w:jc w:val="center"/>
            </w:pPr>
            <w:r/>
            <w:r>
              <w:rPr>
                <w:rFonts w:ascii="Calibri" w:hAnsi="Calibri"/>
                <w:b/>
                <w:color w:val="FFFFFF"/>
                <w:sz w:val="20"/>
              </w:rPr>
              <w:t>Author</w:t>
            </w:r>
          </w:p>
        </w:tc>
        <w:tc>
          <w:tcPr>
            <w:tcW w:type="dxa" w:w="1872"/>
            <w:shd w:val="clear" w:color="auto" w:fill="0D1B2A"/>
            <w:vAlign w:val="center"/>
          </w:tcPr>
          <w:p>
            <w:pPr>
              <w:jc w:val="center"/>
            </w:pPr>
            <w:r/>
            <w:r>
              <w:rPr>
                <w:rFonts w:ascii="Calibri" w:hAnsi="Calibri"/>
                <w:b/>
                <w:color w:val="FFFFFF"/>
                <w:sz w:val="20"/>
              </w:rPr>
              <w:t>Changes</w:t>
            </w:r>
          </w:p>
        </w:tc>
        <w:tc>
          <w:tcPr>
            <w:tcW w:type="dxa" w:w="1872"/>
            <w:shd w:val="clear" w:color="auto" w:fill="0D1B2A"/>
            <w:vAlign w:val="center"/>
          </w:tcPr>
          <w:p>
            <w:pPr>
              <w:jc w:val="center"/>
            </w:pPr>
            <w:r/>
            <w:r>
              <w:rPr>
                <w:rFonts w:ascii="Calibri" w:hAnsi="Calibri"/>
                <w:b/>
                <w:color w:val="FFFFFF"/>
                <w:sz w:val="20"/>
              </w:rPr>
              <w:t>Status</w:t>
            </w:r>
          </w:p>
        </w:tc>
      </w:tr>
      <w:tr>
        <w:tc>
          <w:tcPr>
            <w:tcW w:type="dxa" w:w="1872"/>
          </w:tcPr>
          <w:p>
            <w:r/>
            <w:r>
              <w:rPr>
                <w:rFonts w:ascii="Calibri" w:hAnsi="Calibri"/>
                <w:color w:val="2C3E50"/>
                <w:sz w:val="20"/>
              </w:rPr>
              <w:t>v0.1</w:t>
            </w:r>
          </w:p>
        </w:tc>
        <w:tc>
          <w:tcPr>
            <w:tcW w:type="dxa" w:w="1872"/>
          </w:tcPr>
          <w:p>
            <w:r/>
            <w:r>
              <w:rPr>
                <w:rFonts w:ascii="Calibri" w:hAnsi="Calibri"/>
                <w:color w:val="2C3E50"/>
                <w:sz w:val="20"/>
              </w:rPr>
              <w:t>2026-08-10</w:t>
            </w:r>
          </w:p>
        </w:tc>
        <w:tc>
          <w:tcPr>
            <w:tcW w:type="dxa" w:w="1872"/>
          </w:tcPr>
          <w:p>
            <w:r/>
            <w:r>
              <w:rPr>
                <w:rFonts w:ascii="Calibri" w:hAnsi="Calibri"/>
                <w:color w:val="2C3E50"/>
                <w:sz w:val="20"/>
              </w:rPr>
              <w:t>Bhargav</w:t>
            </w:r>
          </w:p>
        </w:tc>
        <w:tc>
          <w:tcPr>
            <w:tcW w:type="dxa" w:w="1872"/>
          </w:tcPr>
          <w:p>
            <w:r/>
            <w:r>
              <w:rPr>
                <w:rFonts w:ascii="Calibri" w:hAnsi="Calibri"/>
                <w:color w:val="2C3E50"/>
                <w:sz w:val="20"/>
              </w:rPr>
              <w:t>Initial architecture draft</w:t>
            </w:r>
          </w:p>
        </w:tc>
        <w:tc>
          <w:tcPr>
            <w:tcW w:type="dxa" w:w="1872"/>
          </w:tcPr>
          <w:p>
            <w:r/>
            <w:r>
              <w:rPr>
                <w:rFonts w:ascii="Calibri" w:hAnsi="Calibri"/>
                <w:color w:val="2C3E50"/>
                <w:sz w:val="20"/>
              </w:rPr>
              <w:t>Superseded</w:t>
            </w:r>
          </w:p>
        </w:tc>
      </w:tr>
      <w:tr>
        <w:tc>
          <w:tcPr>
            <w:tcW w:type="dxa" w:w="1872"/>
            <w:shd w:val="clear" w:color="auto" w:fill="EBF5FB"/>
          </w:tcPr>
          <w:p>
            <w:r/>
            <w:r>
              <w:rPr>
                <w:rFonts w:ascii="Calibri" w:hAnsi="Calibri"/>
                <w:color w:val="2C3E50"/>
                <w:sz w:val="20"/>
              </w:rPr>
              <w:t>v1.0</w:t>
            </w:r>
          </w:p>
        </w:tc>
        <w:tc>
          <w:tcPr>
            <w:tcW w:type="dxa" w:w="1872"/>
            <w:shd w:val="clear" w:color="auto" w:fill="EBF5FB"/>
          </w:tcPr>
          <w:p>
            <w:r/>
            <w:r>
              <w:rPr>
                <w:rFonts w:ascii="Calibri" w:hAnsi="Calibri"/>
                <w:color w:val="2C3E50"/>
                <w:sz w:val="20"/>
              </w:rPr>
              <w:t>2026-09-19</w:t>
            </w:r>
          </w:p>
        </w:tc>
        <w:tc>
          <w:tcPr>
            <w:tcW w:type="dxa" w:w="1872"/>
            <w:shd w:val="clear" w:color="auto" w:fill="EBF5FB"/>
          </w:tcPr>
          <w:p>
            <w:r/>
            <w:r>
              <w:rPr>
                <w:rFonts w:ascii="Calibri" w:hAnsi="Calibri"/>
                <w:color w:val="2C3E50"/>
                <w:sz w:val="20"/>
              </w:rPr>
              <w:t>Bhargav</w:t>
            </w:r>
          </w:p>
        </w:tc>
        <w:tc>
          <w:tcPr>
            <w:tcW w:type="dxa" w:w="1872"/>
            <w:shd w:val="clear" w:color="auto" w:fill="EBF5FB"/>
          </w:tcPr>
          <w:p>
            <w:r/>
            <w:r>
              <w:rPr>
                <w:rFonts w:ascii="Calibri" w:hAnsi="Calibri"/>
                <w:color w:val="2C3E50"/>
                <w:sz w:val="20"/>
              </w:rPr>
              <w:t>Complete implementation &amp; test verification</w:t>
            </w:r>
          </w:p>
        </w:tc>
        <w:tc>
          <w:tcPr>
            <w:tcW w:type="dxa" w:w="1872"/>
            <w:shd w:val="clear" w:color="auto" w:fill="EBF5FB"/>
          </w:tcPr>
          <w:p>
            <w:r/>
            <w:r>
              <w:rPr>
                <w:rFonts w:ascii="Calibri" w:hAnsi="Calibri"/>
                <w:color w:val="2C3E50"/>
                <w:sz w:val="20"/>
              </w:rPr>
              <w:t>Approved</w:t>
            </w:r>
          </w:p>
        </w:tc>
      </w:tr>
    </w:tbl>
    <w:p/>
    <w:p>
      <w:pPr>
        <w:spacing w:before="240" w:after="80"/>
        <w:pBdr>
          <w:bottom w:val="single" w:sz="6" w:space="1" w:color="1B4F72"/>
        </w:pBdr>
      </w:pPr>
      <w:r>
        <w:rPr>
          <w:rFonts w:ascii="Calibri" w:hAnsi="Calibri"/>
          <w:b/>
          <w:color w:val="1B4F72"/>
          <w:sz w:val="24"/>
        </w:rPr>
        <w:t>Review &amp; Approval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1B2A"/>
            <w:vAlign w:val="center"/>
          </w:tcPr>
          <w:p>
            <w:pPr>
              <w:jc w:val="center"/>
            </w:pPr>
            <w:r/>
            <w:r>
              <w:rPr>
                <w:rFonts w:ascii="Calibri" w:hAnsi="Calibri"/>
                <w:b/>
                <w:color w:val="FFFFFF"/>
                <w:sz w:val="20"/>
              </w:rPr>
              <w:t>Role</w:t>
            </w:r>
          </w:p>
        </w:tc>
        <w:tc>
          <w:tcPr>
            <w:tcW w:type="dxa" w:w="2340"/>
            <w:shd w:val="clear" w:color="auto" w:fill="0D1B2A"/>
            <w:vAlign w:val="center"/>
          </w:tcPr>
          <w:p>
            <w:pPr>
              <w:jc w:val="center"/>
            </w:pPr>
            <w:r/>
            <w:r>
              <w:rPr>
                <w:rFonts w:ascii="Calibri" w:hAnsi="Calibri"/>
                <w:b/>
                <w:color w:val="FFFFFF"/>
                <w:sz w:val="20"/>
              </w:rPr>
              <w:t>Name</w:t>
            </w:r>
          </w:p>
        </w:tc>
        <w:tc>
          <w:tcPr>
            <w:tcW w:type="dxa" w:w="2340"/>
            <w:shd w:val="clear" w:color="auto" w:fill="0D1B2A"/>
            <w:vAlign w:val="center"/>
          </w:tcPr>
          <w:p>
            <w:pPr>
              <w:jc w:val="center"/>
            </w:pPr>
            <w:r/>
            <w:r>
              <w:rPr>
                <w:rFonts w:ascii="Calibri" w:hAnsi="Calibri"/>
                <w:b/>
                <w:color w:val="FFFFFF"/>
                <w:sz w:val="20"/>
              </w:rPr>
              <w:t>Signature</w:t>
            </w:r>
          </w:p>
        </w:tc>
        <w:tc>
          <w:tcPr>
            <w:tcW w:type="dxa" w:w="2340"/>
            <w:shd w:val="clear" w:color="auto" w:fill="0D1B2A"/>
            <w:vAlign w:val="center"/>
          </w:tcPr>
          <w:p>
            <w:pPr>
              <w:jc w:val="center"/>
            </w:pPr>
            <w:r/>
            <w:r>
              <w:rPr>
                <w:rFonts w:ascii="Calibri" w:hAnsi="Calibri"/>
                <w:b/>
                <w:color w:val="FFFFFF"/>
                <w:sz w:val="20"/>
              </w:rPr>
              <w:t>Date</w:t>
            </w:r>
          </w:p>
        </w:tc>
      </w:tr>
      <w:tr>
        <w:tc>
          <w:tcPr>
            <w:tcW w:type="dxa" w:w="2340"/>
          </w:tcPr>
          <w:p>
            <w:r/>
            <w:r>
              <w:rPr>
                <w:rFonts w:ascii="Calibri" w:hAnsi="Calibri"/>
                <w:color w:val="2C3E50"/>
                <w:sz w:val="20"/>
              </w:rPr>
              <w:t>Project Architect</w:t>
            </w:r>
          </w:p>
        </w:tc>
        <w:tc>
          <w:tcPr>
            <w:tcW w:type="dxa" w:w="2340"/>
          </w:tcPr>
          <w:p>
            <w:r/>
            <w:r>
              <w:rPr>
                <w:rFonts w:ascii="Calibri" w:hAnsi="Calibri"/>
                <w:color w:val="2C3E50"/>
                <w:sz w:val="20"/>
              </w:rPr>
              <w:t>Bhargav</w:t>
            </w:r>
          </w:p>
        </w:tc>
        <w:tc>
          <w:tcPr>
            <w:tcW w:type="dxa" w:w="2340"/>
          </w:tcPr>
          <w:p>
            <w:pPr>
              <w:jc w:val="center"/>
            </w:pPr>
            <w:r/>
            <w:r>
              <w:rPr>
                <w:rFonts w:ascii="Calibri" w:hAnsi="Calibri"/>
                <w:color w:val="2C3E50"/>
                <w:sz w:val="20"/>
              </w:rPr>
              <w:t>— Signed —</w:t>
            </w:r>
          </w:p>
        </w:tc>
        <w:tc>
          <w:tcPr>
            <w:tcW w:type="dxa" w:w="2340"/>
          </w:tcPr>
          <w:p>
            <w:pPr>
              <w:jc w:val="center"/>
            </w:pPr>
            <w:r/>
            <w:r>
              <w:rPr>
                <w:rFonts w:ascii="Calibri" w:hAnsi="Calibri"/>
                <w:color w:val="2C3E50"/>
                <w:sz w:val="20"/>
              </w:rPr>
              <w:t>2026-09-19</w:t>
            </w:r>
          </w:p>
        </w:tc>
      </w:tr>
      <w:tr>
        <w:tc>
          <w:tcPr>
            <w:tcW w:type="dxa" w:w="2340"/>
            <w:shd w:val="clear" w:color="auto" w:fill="EBF5FB"/>
          </w:tcPr>
          <w:p>
            <w:r/>
            <w:r>
              <w:rPr>
                <w:rFonts w:ascii="Calibri" w:hAnsi="Calibri"/>
                <w:color w:val="2C3E50"/>
                <w:sz w:val="20"/>
              </w:rPr>
              <w:t>Technical Reviewer</w:t>
            </w:r>
          </w:p>
        </w:tc>
        <w:tc>
          <w:tcPr>
            <w:tcW w:type="dxa" w:w="2340"/>
            <w:shd w:val="clear" w:color="auto" w:fill="EBF5FB"/>
          </w:tcPr>
          <w:p>
            <w:r/>
            <w:r>
              <w:rPr>
                <w:rFonts w:ascii="Calibri" w:hAnsi="Calibri"/>
                <w:color w:val="2C3E50"/>
                <w:sz w:val="20"/>
              </w:rPr>
              <w:t>TBD</w:t>
            </w:r>
          </w:p>
        </w:tc>
        <w:tc>
          <w:tcPr>
            <w:tcW w:type="dxa" w:w="2340"/>
            <w:shd w:val="clear" w:color="auto" w:fill="EBF5FB"/>
          </w:tcPr>
          <w:p>
            <w:pPr>
              <w:jc w:val="center"/>
            </w:pPr>
            <w:r/>
            <w:r>
              <w:rPr>
                <w:rFonts w:ascii="Calibri" w:hAnsi="Calibri"/>
                <w:color w:val="2C3E50"/>
                <w:sz w:val="20"/>
              </w:rPr>
              <w:t>Pending</w:t>
            </w:r>
          </w:p>
        </w:tc>
        <w:tc>
          <w:tcPr>
            <w:tcW w:type="dxa" w:w="2340"/>
            <w:shd w:val="clear" w:color="auto" w:fill="EBF5FB"/>
          </w:tcPr>
          <w:p>
            <w:pPr>
              <w:jc w:val="center"/>
            </w:pPr>
            <w:r/>
            <w:r>
              <w:rPr>
                <w:rFonts w:ascii="Calibri" w:hAnsi="Calibri"/>
                <w:color w:val="2C3E50"/>
                <w:sz w:val="20"/>
              </w:rPr>
              <w:t>TBD</w:t>
            </w:r>
          </w:p>
        </w:tc>
      </w:tr>
    </w:tbl>
    <w:p>
      <w:r>
        <w:br w:type="page"/>
      </w:r>
    </w:p>
    <w:p>
      <w:pPr>
        <w:spacing w:before="320" w:after="80"/>
        <w:shd w:val="clear" w:color="auto" w:fill="0D1B2A"/>
        <w:ind w:left="170" w:right="170"/>
      </w:pPr>
      <w:r>
        <w:rPr>
          <w:rFonts w:ascii="Calibri" w:hAnsi="Calibri"/>
          <w:b/>
          <w:color w:val="FFFFFF"/>
          <w:sz w:val="30"/>
        </w:rPr>
        <w:t>TABLE OF CONTENTS</w:t>
      </w:r>
    </w:p>
    <w:p>
      <w:pPr>
        <w:spacing w:before="20" w:after="20"/>
      </w:pPr>
      <w:r>
        <w:rPr>
          <w:rFonts w:ascii="Calibri" w:hAnsi="Calibri"/>
          <w:b/>
          <w:color w:val="1B4F72"/>
          <w:sz w:val="21"/>
        </w:rPr>
        <w:t xml:space="preserve">1.  </w:t>
      </w:r>
      <w:r>
        <w:rPr>
          <w:rFonts w:ascii="Calibri" w:hAnsi="Calibri"/>
          <w:color w:val="0D1B2A"/>
          <w:sz w:val="21"/>
        </w:rPr>
        <w:t>Executive Summary</w:t>
      </w:r>
    </w:p>
    <w:p>
      <w:pPr>
        <w:spacing w:before="20" w:after="20"/>
      </w:pPr>
      <w:r>
        <w:rPr>
          <w:rFonts w:ascii="Calibri" w:hAnsi="Calibri"/>
          <w:b/>
          <w:color w:val="1B4F72"/>
          <w:sz w:val="21"/>
        </w:rPr>
        <w:t xml:space="preserve">2.  </w:t>
      </w:r>
      <w:r>
        <w:rPr>
          <w:rFonts w:ascii="Calibri" w:hAnsi="Calibri"/>
          <w:color w:val="0D1B2A"/>
          <w:sz w:val="21"/>
        </w:rPr>
        <w:t>Project Overview &amp; Business Context</w:t>
      </w:r>
    </w:p>
    <w:p>
      <w:pPr>
        <w:spacing w:before="20" w:after="20"/>
      </w:pPr>
      <w:r>
        <w:rPr>
          <w:rFonts w:ascii="Calibri" w:hAnsi="Calibri"/>
          <w:b/>
          <w:color w:val="1B4F72"/>
          <w:sz w:val="21"/>
        </w:rPr>
        <w:t xml:space="preserve">3.  </w:t>
      </w:r>
      <w:r>
        <w:rPr>
          <w:rFonts w:ascii="Calibri" w:hAnsi="Calibri"/>
          <w:color w:val="0D1B2A"/>
          <w:sz w:val="21"/>
        </w:rPr>
        <w:t>Problem Statement</w:t>
      </w:r>
    </w:p>
    <w:p>
      <w:pPr>
        <w:spacing w:before="20" w:after="20"/>
      </w:pPr>
      <w:r>
        <w:rPr>
          <w:rFonts w:ascii="Calibri" w:hAnsi="Calibri"/>
          <w:b/>
          <w:color w:val="1B4F72"/>
          <w:sz w:val="21"/>
        </w:rPr>
        <w:t xml:space="preserve">4.  </w:t>
      </w:r>
      <w:r>
        <w:rPr>
          <w:rFonts w:ascii="Calibri" w:hAnsi="Calibri"/>
          <w:color w:val="0D1B2A"/>
          <w:sz w:val="21"/>
        </w:rPr>
        <w:t>Objectives &amp; Success Metrics</w:t>
      </w:r>
    </w:p>
    <w:p>
      <w:pPr>
        <w:spacing w:before="20" w:after="20"/>
      </w:pPr>
      <w:r>
        <w:rPr>
          <w:rFonts w:ascii="Calibri" w:hAnsi="Calibri"/>
          <w:b/>
          <w:color w:val="1B4F72"/>
          <w:sz w:val="21"/>
        </w:rPr>
        <w:t xml:space="preserve">5.  </w:t>
      </w:r>
      <w:r>
        <w:rPr>
          <w:rFonts w:ascii="Calibri" w:hAnsi="Calibri"/>
          <w:color w:val="0D1B2A"/>
          <w:sz w:val="21"/>
        </w:rPr>
        <w:t>Proposed Solution &amp; Innovative Approaches</w:t>
      </w:r>
    </w:p>
    <w:p>
      <w:pPr>
        <w:spacing w:before="20" w:after="20"/>
      </w:pPr>
      <w:r>
        <w:rPr>
          <w:rFonts w:ascii="Calibri" w:hAnsi="Calibri"/>
          <w:b/>
          <w:color w:val="1B4F72"/>
          <w:sz w:val="21"/>
        </w:rPr>
        <w:t xml:space="preserve">6.  </w:t>
      </w:r>
      <w:r>
        <w:rPr>
          <w:rFonts w:ascii="Calibri" w:hAnsi="Calibri"/>
          <w:color w:val="0D1B2A"/>
          <w:sz w:val="21"/>
        </w:rPr>
        <w:t>System Architecture</w:t>
      </w:r>
    </w:p>
    <w:p>
      <w:pPr>
        <w:spacing w:before="20" w:after="20"/>
      </w:pPr>
      <w:r>
        <w:rPr>
          <w:rFonts w:ascii="Calibri" w:hAnsi="Calibri"/>
          <w:b/>
          <w:color w:val="1B4F72"/>
          <w:sz w:val="21"/>
        </w:rPr>
        <w:t xml:space="preserve">7.  </w:t>
      </w:r>
      <w:r>
        <w:rPr>
          <w:rFonts w:ascii="Calibri" w:hAnsi="Calibri"/>
          <w:color w:val="0D1B2A"/>
          <w:sz w:val="21"/>
        </w:rPr>
        <w:t>System Working / Process Flow</w:t>
      </w:r>
    </w:p>
    <w:p>
      <w:pPr>
        <w:spacing w:before="20" w:after="20"/>
      </w:pPr>
      <w:r>
        <w:rPr>
          <w:rFonts w:ascii="Calibri" w:hAnsi="Calibri"/>
          <w:b/>
          <w:color w:val="1B4F72"/>
          <w:sz w:val="21"/>
        </w:rPr>
        <w:t xml:space="preserve">8.  </w:t>
      </w:r>
      <w:r>
        <w:rPr>
          <w:rFonts w:ascii="Calibri" w:hAnsi="Calibri"/>
          <w:color w:val="0D1B2A"/>
          <w:sz w:val="21"/>
        </w:rPr>
        <w:t>Data Flow</w:t>
      </w:r>
    </w:p>
    <w:p>
      <w:pPr>
        <w:spacing w:before="20" w:after="20"/>
      </w:pPr>
      <w:r>
        <w:rPr>
          <w:rFonts w:ascii="Calibri" w:hAnsi="Calibri"/>
          <w:b/>
          <w:color w:val="1B4F72"/>
          <w:sz w:val="21"/>
        </w:rPr>
        <w:t xml:space="preserve">9.  </w:t>
      </w:r>
      <w:r>
        <w:rPr>
          <w:rFonts w:ascii="Calibri" w:hAnsi="Calibri"/>
          <w:color w:val="0D1B2A"/>
          <w:sz w:val="21"/>
        </w:rPr>
        <w:t>Model / Core Component Working</w:t>
      </w:r>
    </w:p>
    <w:p>
      <w:pPr>
        <w:spacing w:before="20" w:after="20"/>
      </w:pPr>
      <w:r>
        <w:rPr>
          <w:rFonts w:ascii="Calibri" w:hAnsi="Calibri"/>
          <w:b/>
          <w:color w:val="1B4F72"/>
          <w:sz w:val="21"/>
        </w:rPr>
        <w:t xml:space="preserve">10.  </w:t>
      </w:r>
      <w:r>
        <w:rPr>
          <w:rFonts w:ascii="Calibri" w:hAnsi="Calibri"/>
          <w:color w:val="0D1B2A"/>
          <w:sz w:val="21"/>
        </w:rPr>
        <w:t>Project Structure — File-wise Breakdown</w:t>
      </w:r>
    </w:p>
    <w:p>
      <w:pPr>
        <w:spacing w:before="20" w:after="20"/>
      </w:pPr>
      <w:r>
        <w:rPr>
          <w:rFonts w:ascii="Calibri" w:hAnsi="Calibri"/>
          <w:b/>
          <w:color w:val="1B4F72"/>
          <w:sz w:val="21"/>
        </w:rPr>
        <w:t xml:space="preserve">11.  </w:t>
      </w:r>
      <w:r>
        <w:rPr>
          <w:rFonts w:ascii="Calibri" w:hAnsi="Calibri"/>
          <w:color w:val="0D1B2A"/>
          <w:sz w:val="21"/>
        </w:rPr>
        <w:t>Implementation Status</w:t>
      </w:r>
    </w:p>
    <w:p>
      <w:pPr>
        <w:spacing w:before="20" w:after="20"/>
      </w:pPr>
      <w:r>
        <w:rPr>
          <w:rFonts w:ascii="Calibri" w:hAnsi="Calibri"/>
          <w:b/>
          <w:color w:val="1B4F72"/>
          <w:sz w:val="21"/>
        </w:rPr>
        <w:t xml:space="preserve">12.  </w:t>
      </w:r>
      <w:r>
        <w:rPr>
          <w:rFonts w:ascii="Calibri" w:hAnsi="Calibri"/>
          <w:color w:val="0D1B2A"/>
          <w:sz w:val="21"/>
        </w:rPr>
        <w:t>Advantages of the New Architecture</w:t>
      </w:r>
    </w:p>
    <w:p>
      <w:pPr>
        <w:spacing w:before="20" w:after="20"/>
      </w:pPr>
      <w:r>
        <w:rPr>
          <w:rFonts w:ascii="Calibri" w:hAnsi="Calibri"/>
          <w:b/>
          <w:color w:val="1B4F72"/>
          <w:sz w:val="21"/>
        </w:rPr>
        <w:t xml:space="preserve">13.  </w:t>
      </w:r>
      <w:r>
        <w:rPr>
          <w:rFonts w:ascii="Calibri" w:hAnsi="Calibri"/>
          <w:color w:val="0D1B2A"/>
          <w:sz w:val="21"/>
        </w:rPr>
        <w:t>Relevance to Next-Generation AI Capabilities</w:t>
      </w:r>
    </w:p>
    <w:p>
      <w:pPr>
        <w:spacing w:before="20" w:after="20"/>
      </w:pPr>
      <w:r>
        <w:rPr>
          <w:rFonts w:ascii="Calibri" w:hAnsi="Calibri"/>
          <w:b/>
          <w:color w:val="1B4F72"/>
          <w:sz w:val="21"/>
        </w:rPr>
        <w:t xml:space="preserve">14.  </w:t>
      </w:r>
      <w:r>
        <w:rPr>
          <w:rFonts w:ascii="Calibri" w:hAnsi="Calibri"/>
          <w:color w:val="0D1B2A"/>
          <w:sz w:val="21"/>
        </w:rPr>
        <w:t>Alignment with Enterprise Architecture Standards</w:t>
      </w:r>
    </w:p>
    <w:p>
      <w:pPr>
        <w:spacing w:before="20" w:after="20"/>
      </w:pPr>
      <w:r>
        <w:rPr>
          <w:rFonts w:ascii="Calibri" w:hAnsi="Calibri"/>
          <w:b/>
          <w:color w:val="1B4F72"/>
          <w:sz w:val="21"/>
        </w:rPr>
        <w:t xml:space="preserve">15.  </w:t>
      </w:r>
      <w:r>
        <w:rPr>
          <w:rFonts w:ascii="Calibri" w:hAnsi="Calibri"/>
          <w:color w:val="0D1B2A"/>
          <w:sz w:val="21"/>
        </w:rPr>
        <w:t>Risks, Challenges &amp; Mitigation</w:t>
      </w:r>
    </w:p>
    <w:p>
      <w:pPr>
        <w:spacing w:before="20" w:after="20"/>
      </w:pPr>
      <w:r>
        <w:rPr>
          <w:rFonts w:ascii="Calibri" w:hAnsi="Calibri"/>
          <w:b/>
          <w:color w:val="1B4F72"/>
          <w:sz w:val="21"/>
        </w:rPr>
        <w:t xml:space="preserve">16.  </w:t>
      </w:r>
      <w:r>
        <w:rPr>
          <w:rFonts w:ascii="Calibri" w:hAnsi="Calibri"/>
          <w:color w:val="0D1B2A"/>
          <w:sz w:val="21"/>
        </w:rPr>
        <w:t>Next Steps &amp; Roadmap</w:t>
      </w:r>
    </w:p>
    <w:p>
      <w:pPr>
        <w:spacing w:before="20" w:after="20"/>
      </w:pPr>
      <w:r>
        <w:rPr>
          <w:rFonts w:ascii="Calibri" w:hAnsi="Calibri"/>
          <w:b/>
          <w:color w:val="1B4F72"/>
          <w:sz w:val="21"/>
        </w:rPr>
        <w:t xml:space="preserve">17.  </w:t>
      </w:r>
      <w:r>
        <w:rPr>
          <w:rFonts w:ascii="Calibri" w:hAnsi="Calibri"/>
          <w:color w:val="0D1B2A"/>
          <w:sz w:val="21"/>
        </w:rPr>
        <w:t>Conclusion</w:t>
      </w:r>
    </w:p>
    <w:p>
      <w:pPr>
        <w:spacing w:before="20" w:after="20"/>
      </w:pPr>
      <w:r>
        <w:rPr>
          <w:rFonts w:ascii="Calibri" w:hAnsi="Calibri"/>
          <w:b/>
          <w:color w:val="1B4F72"/>
          <w:sz w:val="21"/>
        </w:rPr>
        <w:t xml:space="preserve">  </w:t>
      </w:r>
      <w:r>
        <w:rPr>
          <w:rFonts w:ascii="Calibri" w:hAnsi="Calibri"/>
          <w:color w:val="0D1B2A"/>
          <w:sz w:val="21"/>
        </w:rPr>
        <w:t>Appendix</w:t>
      </w:r>
    </w:p>
    <w:p>
      <w:r>
        <w:br w:type="page"/>
      </w:r>
    </w:p>
    <w:p>
      <w:pPr>
        <w:spacing w:before="320" w:after="80"/>
        <w:shd w:val="clear" w:color="auto" w:fill="0D1B2A"/>
        <w:ind w:left="170" w:right="170"/>
      </w:pPr>
      <w:r>
        <w:rPr>
          <w:rFonts w:ascii="Calibri" w:hAnsi="Calibri"/>
          <w:b/>
          <w:color w:val="FFFFFF"/>
          <w:sz w:val="30"/>
        </w:rPr>
        <w:t>1. EXECUTIVE SUMMARY</w:t>
      </w:r>
    </w:p>
    <w:p>
      <w:pPr>
        <w:spacing w:before="40" w:after="80"/>
      </w:pPr>
      <w:r>
        <w:rPr>
          <w:rFonts w:ascii="Calibri" w:hAnsi="Calibri"/>
          <w:color w:val="2C3E50"/>
          <w:sz w:val="21"/>
        </w:rPr>
        <w:t>The ACID (Autonomous Causal Intelligence Defense) model represents a significant advancement in autonomous cybersecurity intelligence. Unlike traditional vulnerability scanners or web dashboards, ACID is a fully functional, runnable multi-agent orchestration system that combines causal reasoning, zero-trust execution guarantees, and expert AI models into a unified, production-grade defense platform.</w:t>
      </w:r>
    </w:p>
    <w:p>
      <w:pPr>
        <w:spacing w:before="40" w:after="80"/>
      </w:pPr>
      <w:r>
        <w:rPr>
          <w:rFonts w:ascii="Calibri" w:hAnsi="Calibri"/>
          <w:color w:val="2C3E50"/>
          <w:sz w:val="21"/>
        </w:rPr>
        <w:t>As of the date of this report, the core five-layer architecture has been fully implemented, verified through a suite of 16 automated tests, and committed to the project repository. All modules — spanning causal reasoning, zero-trust enforcement, multi-agent coordination, ML-based risk scoring, and real-world threat intelligence ingestion — are operational.</w:t>
      </w:r>
    </w:p>
    <w:p>
      <w:pPr>
        <w:spacing w:before="240" w:after="80"/>
        <w:pBdr>
          <w:bottom w:val="single" w:sz="6" w:space="1" w:color="1B4F72"/>
        </w:pBdr>
      </w:pPr>
      <w:r>
        <w:rPr>
          <w:rFonts w:ascii="Calibri" w:hAnsi="Calibri"/>
          <w:b/>
          <w:color w:val="1B4F72"/>
          <w:sz w:val="24"/>
        </w:rPr>
        <w:t>Key Achievements</w:t>
      </w:r>
    </w:p>
    <w:p>
      <w:pPr>
        <w:pStyle w:val="ListBullet"/>
        <w:spacing w:before="20" w:after="20"/>
        <w:ind w:left="340"/>
      </w:pPr>
      <w:r>
        <w:rPr>
          <w:rFonts w:ascii="Calibri" w:hAnsi="Calibri"/>
          <w:color w:val="2C3E50"/>
          <w:sz w:val="21"/>
        </w:rPr>
        <w:t>Designed and implemented a novel 5-layer autonomous agent architecture (Expert Intelligence → Multi-Agent Mesh → Causal Engine → Zero-Trust Plane → Data Substrate).</w:t>
      </w:r>
    </w:p>
    <w:p>
      <w:pPr>
        <w:pStyle w:val="ListBullet"/>
        <w:spacing w:before="20" w:after="20"/>
        <w:ind w:left="340"/>
      </w:pPr>
      <w:r>
        <w:rPr>
          <w:rFonts w:ascii="Calibri" w:hAnsi="Calibri"/>
          <w:color w:val="2C3E50"/>
          <w:sz w:val="21"/>
        </w:rPr>
        <w:t>Engineered the ORGA loop (Observe → Reason → Gate → Act) as a compile-time zero-trust enforcement mechanism — no equivalent exists in commercial vulnerability management tools.</w:t>
      </w:r>
    </w:p>
    <w:p>
      <w:pPr>
        <w:pStyle w:val="ListBullet"/>
        <w:spacing w:before="20" w:after="20"/>
        <w:ind w:left="340"/>
      </w:pPr>
      <w:r>
        <w:rPr>
          <w:rFonts w:ascii="Calibri" w:hAnsi="Calibri"/>
          <w:color w:val="2C3E50"/>
          <w:sz w:val="21"/>
        </w:rPr>
        <w:t>Deployed Pearl's Causal Hierarchy (L1 Association → L2 Intervention → L3 Counterfactual) for vulnerability prioritization, replacing flawed CVSS-only scoring.</w:t>
      </w:r>
    </w:p>
    <w:p>
      <w:pPr>
        <w:pStyle w:val="ListBullet"/>
        <w:spacing w:before="20" w:after="20"/>
        <w:ind w:left="340"/>
      </w:pPr>
      <w:r>
        <w:rPr>
          <w:rFonts w:ascii="Calibri" w:hAnsi="Calibri"/>
          <w:color w:val="2C3E50"/>
          <w:sz w:val="21"/>
        </w:rPr>
        <w:t>Implemented 11 specialized autonomous agents covering blue team, red team, and purple team operations under a single governed orchestration mesh.</w:t>
      </w:r>
    </w:p>
    <w:p>
      <w:pPr>
        <w:pStyle w:val="ListBullet"/>
        <w:spacing w:before="20" w:after="20"/>
        <w:ind w:left="340"/>
      </w:pPr>
      <w:r>
        <w:rPr>
          <w:rFonts w:ascii="Calibri" w:hAnsi="Calibri"/>
          <w:color w:val="2C3E50"/>
          <w:sz w:val="21"/>
        </w:rPr>
        <w:t>Achieved 100% test pass rate: 16/16 tests covering ORGA enforcement, audit journal integrity, causal modeling, dynamic scoring, and agent coordination.</w:t>
      </w:r>
    </w:p>
    <w:p>
      <w:pPr>
        <w:pStyle w:val="ListBullet"/>
        <w:spacing w:before="20" w:after="20"/>
        <w:ind w:left="340"/>
      </w:pPr>
      <w:r>
        <w:rPr>
          <w:rFonts w:ascii="Calibri" w:hAnsi="Calibri"/>
          <w:color w:val="2C3E50"/>
          <w:sz w:val="21"/>
        </w:rPr>
        <w:t>Integrated 6 real-world threat intelligence feeds: NVD, EPSS, KEV, OSV, GHSA, and Exploit-DB.</w:t>
      </w:r>
    </w:p>
    <w:p>
      <w:pPr>
        <w:pStyle w:val="ListBullet"/>
        <w:spacing w:before="20" w:after="20"/>
        <w:ind w:left="340"/>
      </w:pPr>
      <w:r>
        <w:rPr>
          <w:rFonts w:ascii="Calibri" w:hAnsi="Calibri"/>
          <w:color w:val="2C3E50"/>
          <w:sz w:val="21"/>
        </w:rPr>
        <w:t>Constructed an immutable SHA-256 hash-chained audit journal with Ed25519 cryptographic agent identity verification.</w:t>
      </w:r>
    </w:p>
    <w:p/>
    <w:p>
      <w:pPr>
        <w:spacing w:before="240" w:after="80"/>
        <w:pBdr>
          <w:bottom w:val="single" w:sz="6" w:space="1" w:color="1B4F72"/>
        </w:pBdr>
      </w:pPr>
      <w:r>
        <w:rPr>
          <w:rFonts w:ascii="Calibri" w:hAnsi="Calibri"/>
          <w:b/>
          <w:color w:val="1B4F72"/>
          <w:sz w:val="24"/>
        </w:rPr>
        <w:t>Current Status Summary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vAlign w:val="center"/>
          </w:tcPr>
          <w:p>
            <w:pPr>
              <w:jc w:val="center"/>
            </w:pPr>
            <w:r/>
            <w:r>
              <w:rPr>
                <w:rFonts w:ascii="Calibri" w:hAnsi="Calibri"/>
                <w:b/>
                <w:color w:val="FFFFFF"/>
                <w:sz w:val="20"/>
              </w:rPr>
              <w:t>Category</w:t>
            </w:r>
          </w:p>
        </w:tc>
        <w:tc>
          <w:tcPr>
            <w:tcW w:type="dxa" w:w="3120"/>
            <w:shd w:val="clear" w:color="auto" w:fill="0D1B2A"/>
            <w:vAlign w:val="center"/>
          </w:tcPr>
          <w:p>
            <w:pPr>
              <w:jc w:val="center"/>
            </w:pPr>
            <w:r/>
            <w:r>
              <w:rPr>
                <w:rFonts w:ascii="Calibri" w:hAnsi="Calibri"/>
                <w:b/>
                <w:color w:val="FFFFFF"/>
                <w:sz w:val="20"/>
              </w:rPr>
              <w:t>Status</w:t>
            </w:r>
          </w:p>
        </w:tc>
        <w:tc>
          <w:tcPr>
            <w:tcW w:type="dxa" w:w="3120"/>
            <w:shd w:val="clear" w:color="auto" w:fill="0D1B2A"/>
            <w:vAlign w:val="center"/>
          </w:tcPr>
          <w:p>
            <w:pPr>
              <w:jc w:val="center"/>
            </w:pPr>
            <w:r/>
            <w:r>
              <w:rPr>
                <w:rFonts w:ascii="Calibri" w:hAnsi="Calibri"/>
                <w:b/>
                <w:color w:val="FFFFFF"/>
                <w:sz w:val="20"/>
              </w:rPr>
              <w:t>Progress</w:t>
            </w:r>
          </w:p>
        </w:tc>
      </w:tr>
      <w:tr>
        <w:tc>
          <w:tcPr>
            <w:tcW w:type="dxa" w:w="3120"/>
          </w:tcPr>
          <w:p>
            <w:r/>
            <w:r>
              <w:rPr>
                <w:rFonts w:ascii="Calibri" w:hAnsi="Calibri"/>
                <w:color w:val="2C3E50"/>
                <w:sz w:val="20"/>
              </w:rPr>
              <w:t>Core Architecture &amp; Agents</w:t>
            </w:r>
          </w:p>
        </w:tc>
        <w:tc>
          <w:tcPr>
            <w:tcW w:type="dxa" w:w="3120"/>
          </w:tcPr>
          <w:p>
            <w:pPr>
              <w:jc w:val="center"/>
            </w:pPr>
            <w:r/>
            <w:r>
              <w:rPr>
                <w:rFonts w:ascii="Calibri" w:hAnsi="Calibri"/>
                <w:color w:val="2C3E50"/>
                <w:sz w:val="20"/>
              </w:rPr>
              <w:t>✅ Complete</w:t>
            </w:r>
          </w:p>
        </w:tc>
        <w:tc>
          <w:tcPr>
            <w:tcW w:type="dxa" w:w="3120"/>
          </w:tcPr>
          <w:p>
            <w:pPr>
              <w:jc w:val="center"/>
            </w:pPr>
            <w:r/>
            <w:r>
              <w:rPr>
                <w:rFonts w:ascii="Calibri" w:hAnsi="Calibri"/>
                <w:color w:val="2C3E50"/>
                <w:sz w:val="20"/>
              </w:rPr>
              <w:t>100%</w:t>
            </w:r>
          </w:p>
        </w:tc>
      </w:tr>
      <w:tr>
        <w:tc>
          <w:tcPr>
            <w:tcW w:type="dxa" w:w="3120"/>
            <w:shd w:val="clear" w:color="auto" w:fill="EBF5FB"/>
          </w:tcPr>
          <w:p>
            <w:r/>
            <w:r>
              <w:rPr>
                <w:rFonts w:ascii="Calibri" w:hAnsi="Calibri"/>
                <w:color w:val="2C3E50"/>
                <w:sz w:val="20"/>
              </w:rPr>
              <w:t>Causal &amp; ML Subsystems</w:t>
            </w:r>
          </w:p>
        </w:tc>
        <w:tc>
          <w:tcPr>
            <w:tcW w:type="dxa" w:w="3120"/>
            <w:shd w:val="clear" w:color="auto" w:fill="EBF5FB"/>
          </w:tcPr>
          <w:p>
            <w:pPr>
              <w:jc w:val="center"/>
            </w:pPr>
            <w:r/>
            <w:r>
              <w:rPr>
                <w:rFonts w:ascii="Calibri" w:hAnsi="Calibri"/>
                <w:color w:val="2C3E50"/>
                <w:sz w:val="20"/>
              </w:rPr>
              <w:t>✅ Complete</w:t>
            </w:r>
          </w:p>
        </w:tc>
        <w:tc>
          <w:tcPr>
            <w:tcW w:type="dxa" w:w="3120"/>
            <w:shd w:val="clear" w:color="auto" w:fill="EBF5FB"/>
          </w:tcPr>
          <w:p>
            <w:pPr>
              <w:jc w:val="center"/>
            </w:pPr>
            <w:r/>
            <w:r>
              <w:rPr>
                <w:rFonts w:ascii="Calibri" w:hAnsi="Calibri"/>
                <w:color w:val="2C3E50"/>
                <w:sz w:val="20"/>
              </w:rPr>
              <w:t>100%</w:t>
            </w:r>
          </w:p>
        </w:tc>
      </w:tr>
      <w:tr>
        <w:tc>
          <w:tcPr>
            <w:tcW w:type="dxa" w:w="3120"/>
          </w:tcPr>
          <w:p>
            <w:r/>
            <w:r>
              <w:rPr>
                <w:rFonts w:ascii="Calibri" w:hAnsi="Calibri"/>
                <w:color w:val="2C3E50"/>
                <w:sz w:val="20"/>
              </w:rPr>
              <w:t>Testing &amp; Verification</w:t>
            </w:r>
          </w:p>
        </w:tc>
        <w:tc>
          <w:tcPr>
            <w:tcW w:type="dxa" w:w="3120"/>
          </w:tcPr>
          <w:p>
            <w:pPr>
              <w:jc w:val="center"/>
            </w:pPr>
            <w:r/>
            <w:r>
              <w:rPr>
                <w:rFonts w:ascii="Calibri" w:hAnsi="Calibri"/>
                <w:color w:val="2C3E50"/>
                <w:sz w:val="20"/>
              </w:rPr>
              <w:t>✅ Complete</w:t>
            </w:r>
          </w:p>
        </w:tc>
        <w:tc>
          <w:tcPr>
            <w:tcW w:type="dxa" w:w="3120"/>
          </w:tcPr>
          <w:p>
            <w:pPr>
              <w:jc w:val="center"/>
            </w:pPr>
            <w:r/>
            <w:r>
              <w:rPr>
                <w:rFonts w:ascii="Calibri" w:hAnsi="Calibri"/>
                <w:color w:val="2C3E50"/>
                <w:sz w:val="20"/>
              </w:rPr>
              <w:t>16/16 Passed</w:t>
            </w:r>
          </w:p>
        </w:tc>
      </w:tr>
    </w:tbl>
    <w:p/>
    <w:p>
      <w:pPr>
        <w:spacing w:before="40" w:after="80"/>
      </w:pPr>
      <w:r>
        <w:rPr>
          <w:rFonts w:ascii="Calibri" w:hAnsi="Calibri"/>
          <w:color w:val="2C3E50"/>
          <w:sz w:val="21"/>
        </w:rPr>
        <w:t>The project is on track for its next phase: production hardening, LLM model integration, and deployment orchestration. The strategic value of this work lies in its ability to transform reactive, score-based vulnerability management into a proactive, causally-grounded, autonomous defense capability.</w:t>
      </w:r>
    </w:p>
    <w:p>
      <w:r>
        <w:br w:type="page"/>
      </w:r>
    </w:p>
    <w:p>
      <w:pPr>
        <w:spacing w:before="320" w:after="80"/>
        <w:shd w:val="clear" w:color="auto" w:fill="0D1B2A"/>
        <w:ind w:left="170" w:right="170"/>
      </w:pPr>
      <w:r>
        <w:rPr>
          <w:rFonts w:ascii="Calibri" w:hAnsi="Calibri"/>
          <w:b/>
          <w:color w:val="FFFFFF"/>
          <w:sz w:val="30"/>
        </w:rPr>
        <w:t>2. PROJECT OVERVIEW &amp; BUSINESS CONTEXT</w:t>
      </w:r>
    </w:p>
    <w:p>
      <w:pPr>
        <w:spacing w:before="40" w:after="80"/>
      </w:pPr>
      <w:r>
        <w:rPr>
          <w:rFonts w:ascii="Calibri" w:hAnsi="Calibri"/>
          <w:color w:val="2C3E50"/>
          <w:sz w:val="21"/>
        </w:rPr>
        <w:t>The D-VIRS (Dynamic Vulnerability Intelligence &amp; Response System) project was initiated to address the growing inadequacy of conventional vulnerability management in modern enterprise environments. Organizations today face thousands of new CVEs each month, yet continue to rely on static severity scores (CVSS) and probabilistic exploitation metrics (EPSS) that do not account for organizational topology, actual asset exposure, or the causal impact of remediation decisions.</w:t>
      </w:r>
    </w:p>
    <w:p>
      <w:pPr>
        <w:spacing w:before="40" w:after="80"/>
      </w:pPr>
      <w:r>
        <w:rPr>
          <w:rFonts w:ascii="Calibri" w:hAnsi="Calibri"/>
          <w:color w:val="2C3E50"/>
          <w:sz w:val="21"/>
        </w:rPr>
        <w:t>ACID is the core AI intelligence model of the D-VIRS platform. It operates as a standalone, deployable model that can function as a CLI tool, an embedded Python library, a local inference server, or a distributed agent cluster. It does not assume a web frontend or user dashboard — it is a pure intelligence and orchestration engine designed to be consumed by downstream systems.</w:t>
      </w:r>
    </w:p>
    <w:p>
      <w:pPr>
        <w:spacing w:before="240" w:after="80"/>
        <w:pBdr>
          <w:bottom w:val="single" w:sz="6" w:space="1" w:color="1B4F72"/>
        </w:pBdr>
      </w:pPr>
      <w:r>
        <w:rPr>
          <w:rFonts w:ascii="Calibri" w:hAnsi="Calibri"/>
          <w:b/>
          <w:color w:val="1B4F72"/>
          <w:sz w:val="24"/>
        </w:rPr>
        <w:t>Business Context</w:t>
      </w:r>
    </w:p>
    <w:p>
      <w:pPr>
        <w:pStyle w:val="ListBullet"/>
        <w:spacing w:before="20" w:after="20"/>
        <w:ind w:left="340"/>
      </w:pPr>
      <w:r>
        <w:rPr>
          <w:rFonts w:ascii="Calibri" w:hAnsi="Calibri"/>
          <w:color w:val="2C3E50"/>
          <w:sz w:val="21"/>
        </w:rPr>
        <w:t>Enterprise Attack Surface: Modern organizations manage thousands of assets, microservices, and third-party dependencies, creating an unmanageable vulnerability backlog.</w:t>
      </w:r>
    </w:p>
    <w:p>
      <w:pPr>
        <w:pStyle w:val="ListBullet"/>
        <w:spacing w:before="20" w:after="20"/>
        <w:ind w:left="340"/>
      </w:pPr>
      <w:r>
        <w:rPr>
          <w:rFonts w:ascii="Calibri" w:hAnsi="Calibri"/>
          <w:color w:val="2C3E50"/>
          <w:sz w:val="21"/>
        </w:rPr>
        <w:t>Regulatory Pressure: CISA KEV mandates, NIST SP 800-53, and ISO 27001 require demonstrable evidence of prioritized, documented, and auditable remediation processes.</w:t>
      </w:r>
    </w:p>
    <w:p>
      <w:pPr>
        <w:pStyle w:val="ListBullet"/>
        <w:spacing w:before="20" w:after="20"/>
        <w:ind w:left="340"/>
      </w:pPr>
      <w:r>
        <w:rPr>
          <w:rFonts w:ascii="Calibri" w:hAnsi="Calibri"/>
          <w:color w:val="2C3E50"/>
          <w:sz w:val="21"/>
        </w:rPr>
        <w:t>Adversary Sophistication: Nation-state actors and ransomware groups now chain multiple low-severity CVEs into devastating attack campaigns — a pattern invisible to isolated CVSS scoring.</w:t>
      </w:r>
    </w:p>
    <w:p>
      <w:pPr>
        <w:pStyle w:val="ListBullet"/>
        <w:spacing w:before="20" w:after="20"/>
        <w:ind w:left="340"/>
      </w:pPr>
      <w:r>
        <w:rPr>
          <w:rFonts w:ascii="Calibri" w:hAnsi="Calibri"/>
          <w:color w:val="2C3E50"/>
          <w:sz w:val="21"/>
        </w:rPr>
        <w:t>Mean Time to Remediate (MTTR): Industry average MTTR for critical vulnerabilities is 60–90 days. ACID targets a sub-7-day MTTR through autonomous triage, remediation synthesis, and verification.</w:t>
      </w:r>
    </w:p>
    <w:p>
      <w:pPr>
        <w:spacing w:before="240" w:after="80"/>
        <w:pBdr>
          <w:bottom w:val="single" w:sz="6" w:space="1" w:color="1B4F72"/>
        </w:pBdr>
      </w:pPr>
      <w:r>
        <w:rPr>
          <w:rFonts w:ascii="Calibri" w:hAnsi="Calibri"/>
          <w:b/>
          <w:color w:val="1B4F72"/>
          <w:sz w:val="24"/>
        </w:rPr>
        <w:t>Project Scope</w:t>
      </w:r>
    </w:p>
    <w:p>
      <w:pPr>
        <w:pStyle w:val="ListBullet"/>
        <w:spacing w:before="20" w:after="20"/>
        <w:ind w:left="340"/>
      </w:pPr>
      <w:r>
        <w:rPr>
          <w:rFonts w:ascii="Calibri" w:hAnsi="Calibri"/>
          <w:color w:val="2C3E50"/>
          <w:sz w:val="21"/>
        </w:rPr>
        <w:t>In Scope: Vulnerability ingestion, causal prioritization, autonomous agent orchestration, authorized offensive simulation, remediation synthesis, and auditability.</w:t>
      </w:r>
    </w:p>
    <w:p>
      <w:pPr>
        <w:pStyle w:val="ListBullet"/>
        <w:spacing w:before="20" w:after="20"/>
        <w:ind w:left="340"/>
      </w:pPr>
      <w:r>
        <w:rPr>
          <w:rFonts w:ascii="Calibri" w:hAnsi="Calibri"/>
          <w:color w:val="2C3E50"/>
          <w:sz w:val="21"/>
        </w:rPr>
        <w:t>Out of Scope: End-user web UI/dashboard (separate concern), biometric authentication, and production LLM hosting infrastructure (Phase 2).</w:t>
      </w:r>
    </w:p>
    <w:p>
      <w:pPr>
        <w:spacing w:before="320" w:after="80"/>
        <w:shd w:val="clear" w:color="auto" w:fill="0D1B2A"/>
        <w:ind w:left="170" w:right="170"/>
      </w:pPr>
      <w:r>
        <w:rPr>
          <w:rFonts w:ascii="Calibri" w:hAnsi="Calibri"/>
          <w:b/>
          <w:color w:val="FFFFFF"/>
          <w:sz w:val="30"/>
        </w:rPr>
        <w:t>3. PROBLEM STATEMENT</w:t>
      </w:r>
    </w:p>
    <w:p>
      <w:pPr>
        <w:spacing w:before="40" w:after="80"/>
      </w:pPr>
      <w:r>
        <w:rPr>
          <w:rFonts w:ascii="Calibri" w:hAnsi="Calibri"/>
          <w:color w:val="2C3E50"/>
          <w:sz w:val="21"/>
        </w:rPr>
        <w:t>The cybersecurity industry's vulnerability management practices are fundamentally broken at the methodological level. The root cause is the uncritical reliance on associational scoring systems that conflate statistical correlation with causal risk.</w:t>
      </w:r>
    </w:p>
    <w:p>
      <w:pPr>
        <w:spacing w:before="240" w:after="80"/>
        <w:pBdr>
          <w:bottom w:val="single" w:sz="6" w:space="1" w:color="1B4F72"/>
        </w:pBdr>
      </w:pPr>
      <w:r>
        <w:rPr>
          <w:rFonts w:ascii="Calibri" w:hAnsi="Calibri"/>
          <w:b/>
          <w:color w:val="1B4F72"/>
          <w:sz w:val="24"/>
        </w:rPr>
        <w:t>Core Problems</w:t>
      </w:r>
    </w:p>
    <w:p>
      <w:pPr>
        <w:spacing w:before="160" w:after="60"/>
      </w:pPr>
      <w:r>
        <w:rPr>
          <w:rFonts w:ascii="Calibri" w:hAnsi="Calibri"/>
          <w:b/>
          <w:color w:val="0D1B2A"/>
          <w:sz w:val="22"/>
        </w:rPr>
        <w:t>◆ CVSS Scores Are Context-Free</w:t>
      </w:r>
    </w:p>
    <w:p>
      <w:pPr>
        <w:spacing w:before="40" w:after="80"/>
        <w:ind w:left="340"/>
      </w:pPr>
      <w:r>
        <w:rPr>
          <w:rFonts w:ascii="Calibri" w:hAnsi="Calibri"/>
          <w:color w:val="2C3E50"/>
          <w:sz w:val="21"/>
        </w:rPr>
        <w:t>A CVE with CVSS 9.8 on an air-gapped internal tool presents near-zero operational risk. Yet organizations waste critical remediation resources treating it with the same urgency as a CVE 7.0 on an internet-exposed authentication service. CVSS has no awareness of organizational topology.</w:t>
      </w:r>
    </w:p>
    <w:p>
      <w:pPr>
        <w:spacing w:before="160" w:after="60"/>
      </w:pPr>
      <w:r>
        <w:rPr>
          <w:rFonts w:ascii="Calibri" w:hAnsi="Calibri"/>
          <w:b/>
          <w:color w:val="0D1B2A"/>
          <w:sz w:val="22"/>
        </w:rPr>
        <w:t>◆ EPSS Suffers From Confounding</w:t>
      </w:r>
    </w:p>
    <w:p>
      <w:pPr>
        <w:spacing w:before="40" w:after="80"/>
        <w:ind w:left="340"/>
      </w:pPr>
      <w:r>
        <w:rPr>
          <w:rFonts w:ascii="Calibri" w:hAnsi="Calibri"/>
          <w:color w:val="2C3E50"/>
          <w:sz w:val="21"/>
        </w:rPr>
        <w:t>EPSS scores correlate exploitation likelihood with software popularity and research attention. High-profile libraries (Log4j, OpenSSL) receive inflated EPSS scores regardless of whether they are internet-accessible. This creates systematic false priorities and alert fatigue.</w:t>
      </w:r>
    </w:p>
    <w:p>
      <w:pPr>
        <w:spacing w:before="160" w:after="60"/>
      </w:pPr>
      <w:r>
        <w:rPr>
          <w:rFonts w:ascii="Calibri" w:hAnsi="Calibri"/>
          <w:b/>
          <w:color w:val="0D1B2A"/>
          <w:sz w:val="22"/>
        </w:rPr>
        <w:t>◆ Remediation Decisions Are Uninformed</w:t>
      </w:r>
    </w:p>
    <w:p>
      <w:pPr>
        <w:spacing w:before="40" w:after="80"/>
        <w:ind w:left="340"/>
      </w:pPr>
      <w:r>
        <w:rPr>
          <w:rFonts w:ascii="Calibri" w:hAnsi="Calibri"/>
          <w:color w:val="2C3E50"/>
          <w:sz w:val="21"/>
        </w:rPr>
        <w:t>When a security team patches Vulnerability A instead of Vulnerability B, conventional tools cannot predict whether the chosen remediation actually breaks the attacker's lateral movement path. The decision is made on intuition, not causal evidence.</w:t>
      </w:r>
    </w:p>
    <w:p>
      <w:pPr>
        <w:spacing w:before="160" w:after="60"/>
      </w:pPr>
      <w:r>
        <w:rPr>
          <w:rFonts w:ascii="Calibri" w:hAnsi="Calibri"/>
          <w:b/>
          <w:color w:val="0D1B2A"/>
          <w:sz w:val="22"/>
        </w:rPr>
        <w:t>◆ No Compile-Time Safety for Autonomous Actions</w:t>
      </w:r>
    </w:p>
    <w:p>
      <w:pPr>
        <w:spacing w:before="40" w:after="80"/>
        <w:ind w:left="340"/>
      </w:pPr>
      <w:r>
        <w:rPr>
          <w:rFonts w:ascii="Calibri" w:hAnsi="Calibri"/>
          <w:color w:val="2C3E50"/>
          <w:sz w:val="21"/>
        </w:rPr>
        <w:t>Emerging agentic AI systems in security execute arbitrary shell commands, bypass authorization checks based on LLM self-policing, and lack immutable audit trails — creating greater risk than they mitigate.</w:t>
      </w:r>
    </w:p>
    <w:p/>
    <w:p>
      <w:pPr>
        <w:spacing w:before="40" w:after="80"/>
      </w:pPr>
      <w:r>
        <w:rPr>
          <w:rFonts w:ascii="Calibri" w:hAnsi="Calibri"/>
          <w:color w:val="2C3E50"/>
          <w:sz w:val="21"/>
        </w:rPr>
        <w:t>ACID directly addresses each of these failure modes through causal reasoning, compile-time zero-trust enforcement, and autonomous multi-agent orchestration governed by deterministic policy.</w:t>
      </w:r>
    </w:p>
    <w:p>
      <w:r>
        <w:br w:type="page"/>
      </w:r>
    </w:p>
    <w:p>
      <w:pPr>
        <w:spacing w:before="320" w:after="80"/>
        <w:shd w:val="clear" w:color="auto" w:fill="0D1B2A"/>
        <w:ind w:left="170" w:right="170"/>
      </w:pPr>
      <w:r>
        <w:rPr>
          <w:rFonts w:ascii="Calibri" w:hAnsi="Calibri"/>
          <w:b/>
          <w:color w:val="FFFFFF"/>
          <w:sz w:val="30"/>
        </w:rPr>
        <w:t>4. OBJECTIVES &amp; SUCCESS METRICS</w:t>
      </w:r>
    </w:p>
    <w:p>
      <w:pPr>
        <w:spacing w:before="240" w:after="80"/>
        <w:pBdr>
          <w:bottom w:val="single" w:sz="6" w:space="1" w:color="1B4F72"/>
        </w:pBdr>
      </w:pPr>
      <w:r>
        <w:rPr>
          <w:rFonts w:ascii="Calibri" w:hAnsi="Calibri"/>
          <w:b/>
          <w:color w:val="1B4F72"/>
          <w:sz w:val="24"/>
        </w:rPr>
        <w:t>Primary Objectives</w:t>
      </w:r>
    </w:p>
    <w:p>
      <w:pPr>
        <w:pStyle w:val="ListBullet"/>
        <w:spacing w:before="20" w:after="20"/>
        <w:ind w:left="340"/>
      </w:pPr>
      <w:r>
        <w:rPr>
          <w:rFonts w:ascii="Calibri" w:hAnsi="Calibri"/>
          <w:color w:val="2C3E50"/>
          <w:sz w:val="21"/>
        </w:rPr>
        <w:t>Replace associational CVSS/EPSS scoring with causal, context-aware risk prioritization.</w:t>
      </w:r>
    </w:p>
    <w:p>
      <w:pPr>
        <w:pStyle w:val="ListBullet"/>
        <w:spacing w:before="20" w:after="20"/>
        <w:ind w:left="340"/>
      </w:pPr>
      <w:r>
        <w:rPr>
          <w:rFonts w:ascii="Calibri" w:hAnsi="Calibri"/>
          <w:color w:val="2C3E50"/>
          <w:sz w:val="21"/>
        </w:rPr>
        <w:t>Implement compile-time zero-trust guarantees for all autonomous agent actions.</w:t>
      </w:r>
    </w:p>
    <w:p>
      <w:pPr>
        <w:pStyle w:val="ListBullet"/>
        <w:spacing w:before="20" w:after="20"/>
        <w:ind w:left="340"/>
      </w:pPr>
      <w:r>
        <w:rPr>
          <w:rFonts w:ascii="Calibri" w:hAnsi="Calibri"/>
          <w:color w:val="2C3E50"/>
          <w:sz w:val="21"/>
        </w:rPr>
        <w:t>Deploy a multi-agent service mesh covering full blue/red/purple team operations.</w:t>
      </w:r>
    </w:p>
    <w:p>
      <w:pPr>
        <w:pStyle w:val="ListBullet"/>
        <w:spacing w:before="20" w:after="20"/>
        <w:ind w:left="340"/>
      </w:pPr>
      <w:r>
        <w:rPr>
          <w:rFonts w:ascii="Calibri" w:hAnsi="Calibri"/>
          <w:color w:val="2C3E50"/>
          <w:sz w:val="21"/>
        </w:rPr>
        <w:t>Provide immutable, cryptographically-verifiable audit trails for all agent decisions.</w:t>
      </w:r>
    </w:p>
    <w:p>
      <w:pPr>
        <w:pStyle w:val="ListBullet"/>
        <w:spacing w:before="20" w:after="20"/>
        <w:ind w:left="340"/>
      </w:pPr>
      <w:r>
        <w:rPr>
          <w:rFonts w:ascii="Calibri" w:hAnsi="Calibri"/>
          <w:color w:val="2C3E50"/>
          <w:sz w:val="21"/>
        </w:rPr>
        <w:t>Enable authorized offensive simulation under strict, signed Rules of Engagement.</w:t>
      </w:r>
    </w:p>
    <w:p>
      <w:pPr>
        <w:pStyle w:val="ListBullet"/>
        <w:spacing w:before="20" w:after="20"/>
        <w:ind w:left="340"/>
      </w:pPr>
      <w:r>
        <w:rPr>
          <w:rFonts w:ascii="Calibri" w:hAnsi="Calibri"/>
          <w:color w:val="2C3E50"/>
          <w:sz w:val="21"/>
        </w:rPr>
        <w:t>Integrate real-world threat intelligence feeds with SHA-256 provenance tracking.</w:t>
      </w:r>
    </w:p>
    <w:p/>
    <w:p>
      <w:pPr>
        <w:spacing w:before="240" w:after="80"/>
        <w:pBdr>
          <w:bottom w:val="single" w:sz="6" w:space="1" w:color="1B4F72"/>
        </w:pBdr>
      </w:pPr>
      <w:r>
        <w:rPr>
          <w:rFonts w:ascii="Calibri" w:hAnsi="Calibri"/>
          <w:b/>
          <w:color w:val="1B4F72"/>
          <w:sz w:val="24"/>
        </w:rPr>
        <w:t>Success Metrics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1B2A"/>
            <w:vAlign w:val="center"/>
          </w:tcPr>
          <w:p>
            <w:pPr>
              <w:jc w:val="center"/>
            </w:pPr>
            <w:r/>
            <w:r>
              <w:rPr>
                <w:rFonts w:ascii="Calibri" w:hAnsi="Calibri"/>
                <w:b/>
                <w:color w:val="FFFFFF"/>
                <w:sz w:val="20"/>
              </w:rPr>
              <w:t>Metric</w:t>
            </w:r>
          </w:p>
        </w:tc>
        <w:tc>
          <w:tcPr>
            <w:tcW w:type="dxa" w:w="2340"/>
            <w:shd w:val="clear" w:color="auto" w:fill="0D1B2A"/>
            <w:vAlign w:val="center"/>
          </w:tcPr>
          <w:p>
            <w:pPr>
              <w:jc w:val="center"/>
            </w:pPr>
            <w:r/>
            <w:r>
              <w:rPr>
                <w:rFonts w:ascii="Calibri" w:hAnsi="Calibri"/>
                <w:b/>
                <w:color w:val="FFFFFF"/>
                <w:sz w:val="20"/>
              </w:rPr>
              <w:t>Target</w:t>
            </w:r>
          </w:p>
        </w:tc>
        <w:tc>
          <w:tcPr>
            <w:tcW w:type="dxa" w:w="2340"/>
            <w:shd w:val="clear" w:color="auto" w:fill="0D1B2A"/>
            <w:vAlign w:val="center"/>
          </w:tcPr>
          <w:p>
            <w:pPr>
              <w:jc w:val="center"/>
            </w:pPr>
            <w:r/>
            <w:r>
              <w:rPr>
                <w:rFonts w:ascii="Calibri" w:hAnsi="Calibri"/>
                <w:b/>
                <w:color w:val="FFFFFF"/>
                <w:sz w:val="20"/>
              </w:rPr>
              <w:t>Current Value</w:t>
            </w:r>
          </w:p>
        </w:tc>
        <w:tc>
          <w:tcPr>
            <w:tcW w:type="dxa" w:w="2340"/>
            <w:shd w:val="clear" w:color="auto" w:fill="0D1B2A"/>
            <w:vAlign w:val="center"/>
          </w:tcPr>
          <w:p>
            <w:pPr>
              <w:jc w:val="center"/>
            </w:pPr>
            <w:r/>
            <w:r>
              <w:rPr>
                <w:rFonts w:ascii="Calibri" w:hAnsi="Calibri"/>
                <w:b/>
                <w:color w:val="FFFFFF"/>
                <w:sz w:val="20"/>
              </w:rPr>
              <w:t>Status</w:t>
            </w:r>
          </w:p>
        </w:tc>
      </w:tr>
      <w:tr>
        <w:tc>
          <w:tcPr>
            <w:tcW w:type="dxa" w:w="2340"/>
          </w:tcPr>
          <w:p>
            <w:r/>
            <w:r>
              <w:rPr>
                <w:rFonts w:ascii="Calibri" w:hAnsi="Calibri"/>
                <w:color w:val="2C3E50"/>
                <w:sz w:val="20"/>
              </w:rPr>
              <w:t>Test Suite Pass Rate</w:t>
            </w:r>
          </w:p>
        </w:tc>
        <w:tc>
          <w:tcPr>
            <w:tcW w:type="dxa" w:w="2340"/>
          </w:tcPr>
          <w:p>
            <w:pPr>
              <w:jc w:val="center"/>
            </w:pPr>
            <w:r/>
            <w:r>
              <w:rPr>
                <w:rFonts w:ascii="Calibri" w:hAnsi="Calibri"/>
                <w:color w:val="2C3E50"/>
                <w:sz w:val="20"/>
              </w:rPr>
              <w:t>100%</w:t>
            </w:r>
          </w:p>
        </w:tc>
        <w:tc>
          <w:tcPr>
            <w:tcW w:type="dxa" w:w="2340"/>
          </w:tcPr>
          <w:p>
            <w:pPr>
              <w:jc w:val="center"/>
            </w:pPr>
            <w:r/>
            <w:r>
              <w:rPr>
                <w:rFonts w:ascii="Calibri" w:hAnsi="Calibri"/>
                <w:color w:val="2C3E50"/>
                <w:sz w:val="20"/>
              </w:rPr>
              <w:t>100% (16/16)</w:t>
            </w:r>
          </w:p>
        </w:tc>
        <w:tc>
          <w:tcPr>
            <w:tcW w:type="dxa" w:w="2340"/>
          </w:tcPr>
          <w:p>
            <w:pPr>
              <w:jc w:val="center"/>
            </w:pPr>
            <w:r/>
            <w:r>
              <w:rPr>
                <w:rFonts w:ascii="Calibri" w:hAnsi="Calibri"/>
                <w:color w:val="2C3E50"/>
                <w:sz w:val="20"/>
              </w:rPr>
              <w:t>✅ Met</w:t>
            </w:r>
          </w:p>
        </w:tc>
      </w:tr>
      <w:tr>
        <w:tc>
          <w:tcPr>
            <w:tcW w:type="dxa" w:w="2340"/>
            <w:shd w:val="clear" w:color="auto" w:fill="EBF5FB"/>
          </w:tcPr>
          <w:p>
            <w:r/>
            <w:r>
              <w:rPr>
                <w:rFonts w:ascii="Calibri" w:hAnsi="Calibri"/>
                <w:color w:val="2C3E50"/>
                <w:sz w:val="20"/>
              </w:rPr>
              <w:t>ORGA Enforcement</w:t>
            </w:r>
          </w:p>
        </w:tc>
        <w:tc>
          <w:tcPr>
            <w:tcW w:type="dxa" w:w="2340"/>
            <w:shd w:val="clear" w:color="auto" w:fill="EBF5FB"/>
          </w:tcPr>
          <w:p>
            <w:pPr>
              <w:jc w:val="center"/>
            </w:pPr>
            <w:r/>
            <w:r>
              <w:rPr>
                <w:rFonts w:ascii="Calibri" w:hAnsi="Calibri"/>
                <w:color w:val="2C3E50"/>
                <w:sz w:val="20"/>
              </w:rPr>
              <w:t>Structural</w:t>
            </w:r>
          </w:p>
        </w:tc>
        <w:tc>
          <w:tcPr>
            <w:tcW w:type="dxa" w:w="2340"/>
            <w:shd w:val="clear" w:color="auto" w:fill="EBF5FB"/>
          </w:tcPr>
          <w:p>
            <w:pPr>
              <w:jc w:val="center"/>
            </w:pPr>
            <w:r/>
            <w:r>
              <w:rPr>
                <w:rFonts w:ascii="Calibri" w:hAnsi="Calibri"/>
                <w:color w:val="2C3E50"/>
                <w:sz w:val="20"/>
              </w:rPr>
              <w:t>TypeError on skip</w:t>
            </w:r>
          </w:p>
        </w:tc>
        <w:tc>
          <w:tcPr>
            <w:tcW w:type="dxa" w:w="2340"/>
            <w:shd w:val="clear" w:color="auto" w:fill="EBF5FB"/>
          </w:tcPr>
          <w:p>
            <w:pPr>
              <w:jc w:val="center"/>
            </w:pPr>
            <w:r/>
            <w:r>
              <w:rPr>
                <w:rFonts w:ascii="Calibri" w:hAnsi="Calibri"/>
                <w:color w:val="2C3E50"/>
                <w:sz w:val="20"/>
              </w:rPr>
              <w:t>✅ Met</w:t>
            </w:r>
          </w:p>
        </w:tc>
      </w:tr>
      <w:tr>
        <w:tc>
          <w:tcPr>
            <w:tcW w:type="dxa" w:w="2340"/>
          </w:tcPr>
          <w:p>
            <w:r/>
            <w:r>
              <w:rPr>
                <w:rFonts w:ascii="Calibri" w:hAnsi="Calibri"/>
                <w:color w:val="2C3E50"/>
                <w:sz w:val="20"/>
              </w:rPr>
              <w:t>Audit Journal Integrity</w:t>
            </w:r>
          </w:p>
        </w:tc>
        <w:tc>
          <w:tcPr>
            <w:tcW w:type="dxa" w:w="2340"/>
          </w:tcPr>
          <w:p>
            <w:pPr>
              <w:jc w:val="center"/>
            </w:pPr>
            <w:r/>
            <w:r>
              <w:rPr>
                <w:rFonts w:ascii="Calibri" w:hAnsi="Calibri"/>
                <w:color w:val="2C3E50"/>
                <w:sz w:val="20"/>
              </w:rPr>
              <w:t>SHA-256 chain</w:t>
            </w:r>
          </w:p>
        </w:tc>
        <w:tc>
          <w:tcPr>
            <w:tcW w:type="dxa" w:w="2340"/>
          </w:tcPr>
          <w:p>
            <w:pPr>
              <w:jc w:val="center"/>
            </w:pPr>
            <w:r/>
            <w:r>
              <w:rPr>
                <w:rFonts w:ascii="Calibri" w:hAnsi="Calibri"/>
                <w:color w:val="2C3E50"/>
                <w:sz w:val="20"/>
              </w:rPr>
              <w:t>Verified</w:t>
            </w:r>
          </w:p>
        </w:tc>
        <w:tc>
          <w:tcPr>
            <w:tcW w:type="dxa" w:w="2340"/>
          </w:tcPr>
          <w:p>
            <w:pPr>
              <w:jc w:val="center"/>
            </w:pPr>
            <w:r/>
            <w:r>
              <w:rPr>
                <w:rFonts w:ascii="Calibri" w:hAnsi="Calibri"/>
                <w:color w:val="2C3E50"/>
                <w:sz w:val="20"/>
              </w:rPr>
              <w:t>✅ Met</w:t>
            </w:r>
          </w:p>
        </w:tc>
      </w:tr>
      <w:tr>
        <w:tc>
          <w:tcPr>
            <w:tcW w:type="dxa" w:w="2340"/>
            <w:shd w:val="clear" w:color="auto" w:fill="EBF5FB"/>
          </w:tcPr>
          <w:p>
            <w:r/>
            <w:r>
              <w:rPr>
                <w:rFonts w:ascii="Calibri" w:hAnsi="Calibri"/>
                <w:color w:val="2C3E50"/>
                <w:sz w:val="20"/>
              </w:rPr>
              <w:t>Agent Coverage</w:t>
            </w:r>
          </w:p>
        </w:tc>
        <w:tc>
          <w:tcPr>
            <w:tcW w:type="dxa" w:w="2340"/>
            <w:shd w:val="clear" w:color="auto" w:fill="EBF5FB"/>
          </w:tcPr>
          <w:p>
            <w:pPr>
              <w:jc w:val="center"/>
            </w:pPr>
            <w:r/>
            <w:r>
              <w:rPr>
                <w:rFonts w:ascii="Calibri" w:hAnsi="Calibri"/>
                <w:color w:val="2C3E50"/>
                <w:sz w:val="20"/>
              </w:rPr>
              <w:t>11 agents</w:t>
            </w:r>
          </w:p>
        </w:tc>
        <w:tc>
          <w:tcPr>
            <w:tcW w:type="dxa" w:w="2340"/>
            <w:shd w:val="clear" w:color="auto" w:fill="EBF5FB"/>
          </w:tcPr>
          <w:p>
            <w:pPr>
              <w:jc w:val="center"/>
            </w:pPr>
            <w:r/>
            <w:r>
              <w:rPr>
                <w:rFonts w:ascii="Calibri" w:hAnsi="Calibri"/>
                <w:color w:val="2C3E50"/>
                <w:sz w:val="20"/>
              </w:rPr>
              <w:t>11 agents</w:t>
            </w:r>
          </w:p>
        </w:tc>
        <w:tc>
          <w:tcPr>
            <w:tcW w:type="dxa" w:w="2340"/>
            <w:shd w:val="clear" w:color="auto" w:fill="EBF5FB"/>
          </w:tcPr>
          <w:p>
            <w:pPr>
              <w:jc w:val="center"/>
            </w:pPr>
            <w:r/>
            <w:r>
              <w:rPr>
                <w:rFonts w:ascii="Calibri" w:hAnsi="Calibri"/>
                <w:color w:val="2C3E50"/>
                <w:sz w:val="20"/>
              </w:rPr>
              <w:t>✅ Met</w:t>
            </w:r>
          </w:p>
        </w:tc>
      </w:tr>
      <w:tr>
        <w:tc>
          <w:tcPr>
            <w:tcW w:type="dxa" w:w="2340"/>
          </w:tcPr>
          <w:p>
            <w:r/>
            <w:r>
              <w:rPr>
                <w:rFonts w:ascii="Calibri" w:hAnsi="Calibri"/>
                <w:color w:val="2C3E50"/>
                <w:sz w:val="20"/>
              </w:rPr>
              <w:t>Threat Feed Sources</w:t>
            </w:r>
          </w:p>
        </w:tc>
        <w:tc>
          <w:tcPr>
            <w:tcW w:type="dxa" w:w="2340"/>
          </w:tcPr>
          <w:p>
            <w:pPr>
              <w:jc w:val="center"/>
            </w:pPr>
            <w:r/>
            <w:r>
              <w:rPr>
                <w:rFonts w:ascii="Calibri" w:hAnsi="Calibri"/>
                <w:color w:val="2C3E50"/>
                <w:sz w:val="20"/>
              </w:rPr>
              <w:t>≥5 feeds</w:t>
            </w:r>
          </w:p>
        </w:tc>
        <w:tc>
          <w:tcPr>
            <w:tcW w:type="dxa" w:w="2340"/>
          </w:tcPr>
          <w:p>
            <w:pPr>
              <w:jc w:val="center"/>
            </w:pPr>
            <w:r/>
            <w:r>
              <w:rPr>
                <w:rFonts w:ascii="Calibri" w:hAnsi="Calibri"/>
                <w:color w:val="2C3E50"/>
                <w:sz w:val="20"/>
              </w:rPr>
              <w:t>6 feeds</w:t>
            </w:r>
          </w:p>
        </w:tc>
        <w:tc>
          <w:tcPr>
            <w:tcW w:type="dxa" w:w="2340"/>
          </w:tcPr>
          <w:p>
            <w:pPr>
              <w:jc w:val="center"/>
            </w:pPr>
            <w:r/>
            <w:r>
              <w:rPr>
                <w:rFonts w:ascii="Calibri" w:hAnsi="Calibri"/>
                <w:color w:val="2C3E50"/>
                <w:sz w:val="20"/>
              </w:rPr>
              <w:t>✅ Met</w:t>
            </w:r>
          </w:p>
        </w:tc>
      </w:tr>
      <w:tr>
        <w:tc>
          <w:tcPr>
            <w:tcW w:type="dxa" w:w="2340"/>
            <w:shd w:val="clear" w:color="auto" w:fill="EBF5FB"/>
          </w:tcPr>
          <w:p>
            <w:r/>
            <w:r>
              <w:rPr>
                <w:rFonts w:ascii="Calibri" w:hAnsi="Calibri"/>
                <w:color w:val="2C3E50"/>
                <w:sz w:val="20"/>
              </w:rPr>
              <w:t>Dynamic Risk Score Accuracy</w:t>
            </w:r>
          </w:p>
        </w:tc>
        <w:tc>
          <w:tcPr>
            <w:tcW w:type="dxa" w:w="2340"/>
            <w:shd w:val="clear" w:color="auto" w:fill="EBF5FB"/>
          </w:tcPr>
          <w:p>
            <w:pPr>
              <w:jc w:val="center"/>
            </w:pPr>
            <w:r/>
            <w:r>
              <w:rPr>
                <w:rFonts w:ascii="Calibri" w:hAnsi="Calibri"/>
                <w:color w:val="2C3E50"/>
                <w:sz w:val="20"/>
              </w:rPr>
              <w:t>&gt;85% F1</w:t>
            </w:r>
          </w:p>
        </w:tc>
        <w:tc>
          <w:tcPr>
            <w:tcW w:type="dxa" w:w="2340"/>
            <w:shd w:val="clear" w:color="auto" w:fill="EBF5FB"/>
          </w:tcPr>
          <w:p>
            <w:pPr>
              <w:jc w:val="center"/>
            </w:pPr>
            <w:r/>
            <w:r>
              <w:rPr>
                <w:rFonts w:ascii="Calibri" w:hAnsi="Calibri"/>
                <w:color w:val="2C3E50"/>
                <w:sz w:val="20"/>
              </w:rPr>
              <w:t>Baseline established</w:t>
            </w:r>
          </w:p>
        </w:tc>
        <w:tc>
          <w:tcPr>
            <w:tcW w:type="dxa" w:w="2340"/>
            <w:shd w:val="clear" w:color="auto" w:fill="EBF5FB"/>
          </w:tcPr>
          <w:p>
            <w:pPr>
              <w:jc w:val="center"/>
            </w:pPr>
            <w:r/>
            <w:r>
              <w:rPr>
                <w:rFonts w:ascii="Calibri" w:hAnsi="Calibri"/>
                <w:color w:val="2C3E50"/>
                <w:sz w:val="20"/>
              </w:rPr>
              <w:t>🔄 Phase 2</w:t>
            </w:r>
          </w:p>
        </w:tc>
      </w:tr>
      <w:tr>
        <w:tc>
          <w:tcPr>
            <w:tcW w:type="dxa" w:w="2340"/>
          </w:tcPr>
          <w:p>
            <w:r/>
            <w:r>
              <w:rPr>
                <w:rFonts w:ascii="Calibri" w:hAnsi="Calibri"/>
                <w:color w:val="2C3E50"/>
                <w:sz w:val="20"/>
              </w:rPr>
              <w:t>Mean Time to Remediate (MTTR)</w:t>
            </w:r>
          </w:p>
        </w:tc>
        <w:tc>
          <w:tcPr>
            <w:tcW w:type="dxa" w:w="2340"/>
          </w:tcPr>
          <w:p>
            <w:pPr>
              <w:jc w:val="center"/>
            </w:pPr>
            <w:r/>
            <w:r>
              <w:rPr>
                <w:rFonts w:ascii="Calibri" w:hAnsi="Calibri"/>
                <w:color w:val="2C3E50"/>
                <w:sz w:val="20"/>
              </w:rPr>
              <w:t>&lt;7 days</w:t>
            </w:r>
          </w:p>
        </w:tc>
        <w:tc>
          <w:tcPr>
            <w:tcW w:type="dxa" w:w="2340"/>
          </w:tcPr>
          <w:p>
            <w:pPr>
              <w:jc w:val="center"/>
            </w:pPr>
            <w:r/>
            <w:r>
              <w:rPr>
                <w:rFonts w:ascii="Calibri" w:hAnsi="Calibri"/>
                <w:color w:val="2C3E50"/>
                <w:sz w:val="20"/>
              </w:rPr>
              <w:t>Framework ready</w:t>
            </w:r>
          </w:p>
        </w:tc>
        <w:tc>
          <w:tcPr>
            <w:tcW w:type="dxa" w:w="2340"/>
          </w:tcPr>
          <w:p>
            <w:pPr>
              <w:jc w:val="center"/>
            </w:pPr>
            <w:r/>
            <w:r>
              <w:rPr>
                <w:rFonts w:ascii="Calibri" w:hAnsi="Calibri"/>
                <w:color w:val="2C3E50"/>
                <w:sz w:val="20"/>
              </w:rPr>
              <w:t>🔄 Phase 2</w:t>
            </w:r>
          </w:p>
        </w:tc>
      </w:tr>
    </w:tbl>
    <w:p>
      <w:pPr>
        <w:spacing w:before="320" w:after="80"/>
        <w:shd w:val="clear" w:color="auto" w:fill="0D1B2A"/>
        <w:ind w:left="170" w:right="170"/>
      </w:pPr>
      <w:r>
        <w:rPr>
          <w:rFonts w:ascii="Calibri" w:hAnsi="Calibri"/>
          <w:b/>
          <w:color w:val="FFFFFF"/>
          <w:sz w:val="30"/>
        </w:rPr>
        <w:t>5. PROPOSED SOLUTION &amp; INNOVATIVE APPROACHES</w:t>
      </w:r>
    </w:p>
    <w:p>
      <w:pPr>
        <w:spacing w:before="40" w:after="80"/>
      </w:pPr>
      <w:r>
        <w:rPr>
          <w:rFonts w:ascii="Calibri" w:hAnsi="Calibri"/>
          <w:color w:val="2C3E50"/>
          <w:sz w:val="21"/>
        </w:rPr>
        <w:t>ACID introduces five novel architectural and methodological innovations that collectively differentiate it from all existing commercial and open-source vulnerability management solutions.</w:t>
      </w:r>
    </w:p>
    <w:p>
      <w:pPr>
        <w:spacing w:before="160" w:after="60"/>
      </w:pPr>
      <w:r>
        <w:rPr>
          <w:rFonts w:ascii="Calibri" w:hAnsi="Calibri"/>
          <w:b/>
          <w:color w:val="0D1B2A"/>
          <w:sz w:val="22"/>
        </w:rPr>
        <w:t>★ Innovation 1: Causal Vulnerability Prioritization (Pearl's Hierarchy)</w:t>
      </w:r>
    </w:p>
    <w:p>
      <w:pPr>
        <w:spacing w:before="40" w:after="80"/>
        <w:ind w:left="340"/>
      </w:pPr>
      <w:r>
        <w:rPr>
          <w:rFonts w:ascii="Calibri" w:hAnsi="Calibri"/>
          <w:color w:val="2C3E50"/>
          <w:sz w:val="21"/>
        </w:rPr>
        <w:t>Traditional tools operate at Pearl's Rung 1 (Association): 'What is P(Exploited | CVSS, EPSS)?'</w:t>
      </w:r>
    </w:p>
    <w:p>
      <w:pPr>
        <w:spacing w:before="40" w:after="80"/>
        <w:ind w:left="340"/>
      </w:pPr>
      <w:r>
        <w:rPr>
          <w:rFonts w:ascii="Calibri" w:hAnsi="Calibri"/>
          <w:color w:val="2C3E50"/>
          <w:sz w:val="21"/>
        </w:rPr>
        <w:t>ACID operates at all three rungs simultaneously:</w:t>
      </w:r>
    </w:p>
    <w:p>
      <w:pPr>
        <w:pStyle w:val="ListBullet"/>
        <w:spacing w:before="20" w:after="20"/>
        <w:ind w:left="624"/>
      </w:pPr>
      <w:r>
        <w:rPr>
          <w:rFonts w:ascii="Calibri" w:hAnsi="Calibri"/>
          <w:color w:val="2C3E50"/>
          <w:sz w:val="21"/>
        </w:rPr>
        <w:t>Rung 1 — Observational ML Ensemble (XGBoost/LightGBM/RF) for baseline prediction.</w:t>
      </w:r>
    </w:p>
    <w:p>
      <w:pPr>
        <w:pStyle w:val="ListBullet"/>
        <w:spacing w:before="20" w:after="20"/>
        <w:ind w:left="624"/>
      </w:pPr>
      <w:r>
        <w:rPr>
          <w:rFonts w:ascii="Calibri" w:hAnsi="Calibri"/>
          <w:color w:val="2C3E50"/>
          <w:sz w:val="21"/>
        </w:rPr>
        <w:t>Rung 2 — Structural Causal Model (SCM) with do-calculus: P(Exploit | do(Patch=1)).</w:t>
      </w:r>
    </w:p>
    <w:p>
      <w:pPr>
        <w:pStyle w:val="ListBullet"/>
        <w:spacing w:before="20" w:after="20"/>
        <w:ind w:left="624"/>
      </w:pPr>
      <w:r>
        <w:rPr>
          <w:rFonts w:ascii="Calibri" w:hAnsi="Calibri"/>
          <w:color w:val="2C3E50"/>
          <w:sz w:val="21"/>
        </w:rPr>
        <w:t>Rung 3 — Counterfactual Engine: 'Had we patched CVE-A instead of CVE-B, would this attack path be broken?'</w:t>
      </w:r>
    </w:p>
    <w:p>
      <w:pPr>
        <w:spacing w:before="40" w:after="80"/>
        <w:ind w:left="340"/>
      </w:pPr>
      <w:r>
        <w:rPr>
          <w:rFonts w:ascii="Calibri" w:hAnsi="Calibri"/>
          <w:color w:val="2C3E50"/>
          <w:sz w:val="21"/>
        </w:rPr>
        <w:t>This is the first known application of formal counterfactual calculus to automated vulnerability remediation prioritization.</w:t>
      </w:r>
    </w:p>
    <w:p>
      <w:pPr>
        <w:spacing w:before="160" w:after="60"/>
      </w:pPr>
      <w:r>
        <w:rPr>
          <w:rFonts w:ascii="Calibri" w:hAnsi="Calibri"/>
          <w:b/>
          <w:color w:val="0D1B2A"/>
          <w:sz w:val="22"/>
        </w:rPr>
        <w:t>★ Innovation 2: Compile-Time Zero-Trust via ORGA Loop</w:t>
      </w:r>
    </w:p>
    <w:p>
      <w:pPr>
        <w:spacing w:before="40" w:after="80"/>
        <w:ind w:left="340"/>
      </w:pPr>
      <w:r>
        <w:rPr>
          <w:rFonts w:ascii="Calibri" w:hAnsi="Calibri"/>
          <w:color w:val="2C3E50"/>
          <w:sz w:val="21"/>
        </w:rPr>
        <w:t>Conventional AI agent frameworks (LangChain, AutoGPT) rely on LLM self-policing to prevent unauthorized actions — an inherently unreliable model. ACID's ORGA loop enforces zero-trust structurally at the Python type system level: calling act() before gate() raises an ORGAPhaseError (subclass of TypeError). No LLM prompt injection, hallucination, or adversarial input can bypass this guarantee because it is a language-level, not logic-level, constraint.</w:t>
      </w:r>
    </w:p>
    <w:p>
      <w:pPr>
        <w:spacing w:before="160" w:after="60"/>
      </w:pPr>
      <w:r>
        <w:rPr>
          <w:rFonts w:ascii="Calibri" w:hAnsi="Calibri"/>
          <w:b/>
          <w:color w:val="0D1B2A"/>
          <w:sz w:val="22"/>
        </w:rPr>
        <w:t>★ Innovation 3: Cryptographic Multi-Agent Identity &amp; Tamper-Evident Ledger</w:t>
      </w:r>
    </w:p>
    <w:p>
      <w:pPr>
        <w:spacing w:before="40" w:after="80"/>
        <w:ind w:left="340"/>
      </w:pPr>
      <w:r>
        <w:rPr>
          <w:rFonts w:ascii="Calibri" w:hAnsi="Calibri"/>
          <w:color w:val="2C3E50"/>
          <w:sz w:val="21"/>
        </w:rPr>
        <w:t>Every agent possesses a unique Ed25519 keypair. Every event, tool invocation, and decision is digitally signed and recorded in a SHA-256 hash-chained audit journal. This provides forensic-grade, tamper-evident traceability for all autonomous actions — a requirement for regulated industries (finance, healthcare, government) that no existing agentic framework provides.</w:t>
      </w:r>
    </w:p>
    <w:p>
      <w:pPr>
        <w:spacing w:before="160" w:after="60"/>
      </w:pPr>
      <w:r>
        <w:rPr>
          <w:rFonts w:ascii="Calibri" w:hAnsi="Calibri"/>
          <w:b/>
          <w:color w:val="0D1B2A"/>
          <w:sz w:val="22"/>
        </w:rPr>
        <w:t>★ Innovation 4: Code Property Graph (CPG) Blast Radius Analysis</w:t>
      </w:r>
    </w:p>
    <w:p>
      <w:pPr>
        <w:spacing w:before="40" w:after="80"/>
        <w:ind w:left="340"/>
      </w:pPr>
      <w:r>
        <w:rPr>
          <w:rFonts w:ascii="Calibri" w:hAnsi="Calibri"/>
          <w:color w:val="2C3E50"/>
          <w:sz w:val="21"/>
        </w:rPr>
        <w:t>ACID constructs a unified CPG merging Abstract Syntax Trees (AST), Control Flow Graphs (CFG), Data Flow Graphs (DFG), network topology, and CVE linkage. This enables precise computation of attack blast radius: given a vulnerability, what is the set of reachable assets, and which single remediation breaks the maximum number of attack paths? This replaces guesswork with graph-theoretic precision.</w:t>
      </w:r>
    </w:p>
    <w:p>
      <w:pPr>
        <w:spacing w:before="160" w:after="60"/>
      </w:pPr>
      <w:r>
        <w:rPr>
          <w:rFonts w:ascii="Calibri" w:hAnsi="Calibri"/>
          <w:b/>
          <w:color w:val="0D1B2A"/>
          <w:sz w:val="22"/>
        </w:rPr>
        <w:t>★ Innovation 5: Unified Blue/Red/Purple Orchestration Under Governance</w:t>
      </w:r>
    </w:p>
    <w:p>
      <w:pPr>
        <w:spacing w:before="40" w:after="80"/>
        <w:ind w:left="340"/>
      </w:pPr>
      <w:r>
        <w:rPr>
          <w:rFonts w:ascii="Calibri" w:hAnsi="Calibri"/>
          <w:color w:val="2C3E50"/>
          <w:sz w:val="21"/>
        </w:rPr>
        <w:t>ACID integrates 11 specialized agents spanning defensive (blue), offensive (red), and validation (purple) operations under a single governed orchestration plane. Offensive capabilities are disabled by default and require a signed Rules of Engagement document, time-window validation, CIDR scope verification, and human-in-the-loop gates — making authorized purple-team simulation safe, auditable, and repeatable.</w:t>
      </w:r>
    </w:p>
    <w:p>
      <w:r>
        <w:br w:type="page"/>
      </w:r>
    </w:p>
    <w:p>
      <w:pPr>
        <w:spacing w:before="320" w:after="80"/>
        <w:shd w:val="clear" w:color="auto" w:fill="0D1B2A"/>
        <w:ind w:left="170" w:right="170"/>
      </w:pPr>
      <w:r>
        <w:rPr>
          <w:rFonts w:ascii="Calibri" w:hAnsi="Calibri"/>
          <w:b/>
          <w:color w:val="FFFFFF"/>
          <w:sz w:val="30"/>
        </w:rPr>
        <w:t>6. SYSTEM ARCHITECTURE</w:t>
      </w:r>
    </w:p>
    <w:p>
      <w:pPr>
        <w:spacing w:before="40" w:after="80"/>
      </w:pPr>
      <w:r>
        <w:rPr>
          <w:rFonts w:ascii="Calibri" w:hAnsi="Calibri"/>
          <w:color w:val="2C3E50"/>
          <w:sz w:val="21"/>
        </w:rPr>
        <w:t>ACID is organized into five distinct, vertically-stacked layers, each with clearly defined responsibilities and interfaces. Data and control flow exclusively top-down: higher layers orchestrate lower layers and never bypass the zero-trust plane.</w:t>
      </w:r>
    </w:p>
    <w:p>
      <w:pPr>
        <w:spacing w:before="240" w:after="80"/>
        <w:pBdr>
          <w:bottom w:val="single" w:sz="6" w:space="1" w:color="1B4F72"/>
        </w:pBdr>
      </w:pPr>
      <w:r>
        <w:rPr>
          <w:rFonts w:ascii="Calibri" w:hAnsi="Calibri"/>
          <w:b/>
          <w:color w:val="1B4F72"/>
          <w:sz w:val="24"/>
        </w:rPr>
        <w:t>Architecture Diagram — Five-Layer Model</w:t>
      </w:r>
    </w:p>
    <w:p>
      <w:pPr>
        <w:spacing w:before="40" w:after="80"/>
      </w:pPr>
      <w:r>
        <w:rPr>
          <w:rFonts w:ascii="Calibri" w:hAnsi="Calibri"/>
          <w:color w:val="2C3E50"/>
          <w:sz w:val="21"/>
        </w:rPr>
        <w:t>[ASCII representation of the 5-layer architecture — see diagram below]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vAlign w:val="center"/>
          </w:tcPr>
          <w:p>
            <w:pPr>
              <w:jc w:val="center"/>
            </w:pPr>
            <w:r/>
            <w:r>
              <w:rPr>
                <w:rFonts w:ascii="Calibri" w:hAnsi="Calibri"/>
                <w:b/>
                <w:color w:val="FFFFFF"/>
                <w:sz w:val="20"/>
              </w:rPr>
              <w:t>Layer</w:t>
            </w:r>
          </w:p>
        </w:tc>
        <w:tc>
          <w:tcPr>
            <w:tcW w:type="dxa" w:w="3120"/>
            <w:shd w:val="clear" w:color="auto" w:fill="0D1B2A"/>
            <w:vAlign w:val="center"/>
          </w:tcPr>
          <w:p>
            <w:pPr>
              <w:jc w:val="center"/>
            </w:pPr>
            <w:r/>
            <w:r>
              <w:rPr>
                <w:rFonts w:ascii="Calibri" w:hAnsi="Calibri"/>
                <w:b/>
                <w:color w:val="FFFFFF"/>
                <w:sz w:val="20"/>
              </w:rPr>
              <w:t>Name</w:t>
            </w:r>
          </w:p>
        </w:tc>
        <w:tc>
          <w:tcPr>
            <w:tcW w:type="dxa" w:w="3120"/>
            <w:shd w:val="clear" w:color="auto" w:fill="0D1B2A"/>
            <w:vAlign w:val="center"/>
          </w:tcPr>
          <w:p>
            <w:pPr>
              <w:jc w:val="center"/>
            </w:pPr>
            <w:r/>
            <w:r>
              <w:rPr>
                <w:rFonts w:ascii="Calibri" w:hAnsi="Calibri"/>
                <w:b/>
                <w:color w:val="FFFFFF"/>
                <w:sz w:val="20"/>
              </w:rPr>
              <w:t>Key Components</w:t>
            </w:r>
          </w:p>
        </w:tc>
      </w:tr>
      <w:tr>
        <w:tc>
          <w:tcPr>
            <w:tcW w:type="dxa" w:w="3120"/>
            <w:shd w:val="clear" w:color="auto" w:fill="0D1B2A"/>
          </w:tcPr>
          <w:p>
            <w:pPr>
              <w:jc w:val="center"/>
            </w:pPr>
            <w:r>
              <w:rPr>
                <w:rFonts w:ascii="Calibri" w:hAnsi="Calibri"/>
                <w:b/>
                <w:color w:val="FFFFFF"/>
                <w:sz w:val="20"/>
              </w:rPr>
              <w:t>Layer 1</w:t>
            </w:r>
          </w:p>
        </w:tc>
        <w:tc>
          <w:tcPr>
            <w:tcW w:type="dxa" w:w="3120"/>
            <w:shd w:val="clear" w:color="auto" w:fill="FDFEFE"/>
          </w:tcPr>
          <w:p>
            <w:r>
              <w:rPr>
                <w:rFonts w:ascii="Calibri" w:hAnsi="Calibri"/>
                <w:b/>
                <w:color w:val="0D1B2A"/>
                <w:sz w:val="20"/>
              </w:rPr>
              <w:t>Expert Intelligence Core</w:t>
            </w:r>
          </w:p>
        </w:tc>
        <w:tc>
          <w:tcPr>
            <w:tcW w:type="dxa" w:w="3120"/>
            <w:shd w:val="clear" w:color="auto" w:fill="FDFEFE"/>
          </w:tcPr>
          <w:p>
            <w:r>
              <w:rPr>
                <w:rFonts w:ascii="Calibri" w:hAnsi="Calibri"/>
                <w:color w:val="2C3E50"/>
                <w:sz w:val="19"/>
              </w:rPr>
              <w:t>Foundation-Sec-8B (LLM) • SecureBERT (Embeddings) • Domain Fine-Tuning &amp; Quantization</w:t>
            </w:r>
          </w:p>
        </w:tc>
      </w:tr>
      <w:tr>
        <w:tc>
          <w:tcPr>
            <w:tcW w:type="dxa" w:w="3120"/>
            <w:shd w:val="clear" w:color="auto" w:fill="1B4F72"/>
          </w:tcPr>
          <w:p>
            <w:pPr>
              <w:jc w:val="center"/>
            </w:pPr>
            <w:r>
              <w:rPr>
                <w:rFonts w:ascii="Calibri" w:hAnsi="Calibri"/>
                <w:b/>
                <w:color w:val="FFFFFF"/>
                <w:sz w:val="20"/>
              </w:rPr>
              <w:t>Layer 2</w:t>
            </w:r>
          </w:p>
        </w:tc>
        <w:tc>
          <w:tcPr>
            <w:tcW w:type="dxa" w:w="3120"/>
            <w:shd w:val="clear" w:color="auto" w:fill="EBF5FB"/>
          </w:tcPr>
          <w:p>
            <w:r>
              <w:rPr>
                <w:rFonts w:ascii="Calibri" w:hAnsi="Calibri"/>
                <w:b/>
                <w:color w:val="0D1B2A"/>
                <w:sz w:val="20"/>
              </w:rPr>
              <w:t>Multi-Agent Orchestration Mesh</w:t>
            </w:r>
          </w:p>
        </w:tc>
        <w:tc>
          <w:tcPr>
            <w:tcW w:type="dxa" w:w="3120"/>
            <w:shd w:val="clear" w:color="auto" w:fill="EBF5FB"/>
          </w:tcPr>
          <w:p>
            <w:r>
              <w:rPr>
                <w:rFonts w:ascii="Calibri" w:hAnsi="Calibri"/>
                <w:color w:val="2C3E50"/>
                <w:sz w:val="19"/>
              </w:rPr>
              <w:t>Supervisor • Triage • Remediation • Verification • Governance • Causal Reasoning</w:t>
              <w:br/>
              <w:t>Red Team • Purple Team • Attack Path • C2 Simulation • Adversary Emulation</w:t>
            </w:r>
          </w:p>
        </w:tc>
      </w:tr>
      <w:tr>
        <w:tc>
          <w:tcPr>
            <w:tcW w:type="dxa" w:w="3120"/>
            <w:shd w:val="clear" w:color="auto" w:fill="1A5276"/>
          </w:tcPr>
          <w:p>
            <w:pPr>
              <w:jc w:val="center"/>
            </w:pPr>
            <w:r>
              <w:rPr>
                <w:rFonts w:ascii="Calibri" w:hAnsi="Calibri"/>
                <w:b/>
                <w:color w:val="FFFFFF"/>
                <w:sz w:val="20"/>
              </w:rPr>
              <w:t>Layer 3</w:t>
            </w:r>
          </w:p>
        </w:tc>
        <w:tc>
          <w:tcPr>
            <w:tcW w:type="dxa" w:w="3120"/>
            <w:shd w:val="clear" w:color="auto" w:fill="FDFEFE"/>
          </w:tcPr>
          <w:p>
            <w:r>
              <w:rPr>
                <w:rFonts w:ascii="Calibri" w:hAnsi="Calibri"/>
                <w:b/>
                <w:color w:val="0D1B2A"/>
                <w:sz w:val="20"/>
              </w:rPr>
              <w:t>Causal Reasoning Engine</w:t>
            </w:r>
          </w:p>
        </w:tc>
        <w:tc>
          <w:tcPr>
            <w:tcW w:type="dxa" w:w="3120"/>
            <w:shd w:val="clear" w:color="auto" w:fill="FDFEFE"/>
          </w:tcPr>
          <w:p>
            <w:r>
              <w:rPr>
                <w:rFonts w:ascii="Calibri" w:hAnsi="Calibri"/>
                <w:color w:val="2C3E50"/>
                <w:sz w:val="19"/>
              </w:rPr>
              <w:t>Code Property Graph (CPG) • Structural Causal Model (SCM) • Counterfactual Engine • CausalVulGNN</w:t>
            </w:r>
          </w:p>
        </w:tc>
      </w:tr>
      <w:tr>
        <w:tc>
          <w:tcPr>
            <w:tcW w:type="dxa" w:w="3120"/>
            <w:shd w:val="clear" w:color="auto" w:fill="1A6B8A"/>
          </w:tcPr>
          <w:p>
            <w:pPr>
              <w:jc w:val="center"/>
            </w:pPr>
            <w:r>
              <w:rPr>
                <w:rFonts w:ascii="Calibri" w:hAnsi="Calibri"/>
                <w:b/>
                <w:color w:val="FFFFFF"/>
                <w:sz w:val="20"/>
              </w:rPr>
              <w:t>Layer 4</w:t>
            </w:r>
          </w:p>
        </w:tc>
        <w:tc>
          <w:tcPr>
            <w:tcW w:type="dxa" w:w="3120"/>
            <w:shd w:val="clear" w:color="auto" w:fill="EBF5FB"/>
          </w:tcPr>
          <w:p>
            <w:r>
              <w:rPr>
                <w:rFonts w:ascii="Calibri" w:hAnsi="Calibri"/>
                <w:b/>
                <w:color w:val="0D1B2A"/>
                <w:sz w:val="20"/>
              </w:rPr>
              <w:t>Zero-Trust Execution Plane (OATS)</w:t>
            </w:r>
          </w:p>
        </w:tc>
        <w:tc>
          <w:tcPr>
            <w:tcW w:type="dxa" w:w="3120"/>
            <w:shd w:val="clear" w:color="auto" w:fill="EBF5FB"/>
          </w:tcPr>
          <w:p>
            <w:r>
              <w:rPr>
                <w:rFonts w:ascii="Calibri" w:hAnsi="Calibri"/>
                <w:color w:val="2C3E50"/>
                <w:sz w:val="19"/>
              </w:rPr>
              <w:t>ORGA Loop • Ed25519 Identity • Policy Engine (Deny-by-Default) • RoE Enforcer • Audit Journal</w:t>
            </w:r>
          </w:p>
        </w:tc>
      </w:tr>
      <w:tr>
        <w:tc>
          <w:tcPr>
            <w:tcW w:type="dxa" w:w="3120"/>
            <w:shd w:val="clear" w:color="auto" w:fill="1E8BC3"/>
          </w:tcPr>
          <w:p>
            <w:pPr>
              <w:jc w:val="center"/>
            </w:pPr>
            <w:r>
              <w:rPr>
                <w:rFonts w:ascii="Calibri" w:hAnsi="Calibri"/>
                <w:b/>
                <w:color w:val="FFFFFF"/>
                <w:sz w:val="20"/>
              </w:rPr>
              <w:t>Layer 5</w:t>
            </w:r>
          </w:p>
        </w:tc>
        <w:tc>
          <w:tcPr>
            <w:tcW w:type="dxa" w:w="3120"/>
            <w:shd w:val="clear" w:color="auto" w:fill="FDFEFE"/>
          </w:tcPr>
          <w:p>
            <w:r>
              <w:rPr>
                <w:rFonts w:ascii="Calibri" w:hAnsi="Calibri"/>
                <w:b/>
                <w:color w:val="0D1B2A"/>
                <w:sz w:val="20"/>
              </w:rPr>
              <w:t>Ingestion &amp; Data Substrate</w:t>
            </w:r>
          </w:p>
        </w:tc>
        <w:tc>
          <w:tcPr>
            <w:tcW w:type="dxa" w:w="3120"/>
            <w:shd w:val="clear" w:color="auto" w:fill="FDFEFE"/>
          </w:tcPr>
          <w:p>
            <w:r>
              <w:rPr>
                <w:rFonts w:ascii="Calibri" w:hAnsi="Calibri"/>
                <w:color w:val="2C3E50"/>
                <w:sz w:val="19"/>
              </w:rPr>
              <w:t>NVD • EPSS • CISA KEV • OSV • GHSA • Exploit-DB → PostgreSQL Revisions + Redis Streams Event Bus</w:t>
            </w:r>
          </w:p>
        </w:tc>
      </w:tr>
    </w:tbl>
    <w:p/>
    <w:p>
      <w:pPr>
        <w:spacing w:before="240" w:after="80"/>
        <w:pBdr>
          <w:bottom w:val="single" w:sz="6" w:space="1" w:color="1B4F72"/>
        </w:pBdr>
      </w:pPr>
      <w:r>
        <w:rPr>
          <w:rFonts w:ascii="Calibri" w:hAnsi="Calibri"/>
          <w:b/>
          <w:color w:val="1B4F72"/>
          <w:sz w:val="24"/>
        </w:rPr>
        <w:t>Layer-by-Layer Explanation</w:t>
      </w:r>
    </w:p>
    <w:p>
      <w:pPr>
        <w:spacing w:before="160" w:after="60"/>
      </w:pPr>
      <w:r>
        <w:rPr>
          <w:rFonts w:ascii="Calibri" w:hAnsi="Calibri"/>
          <w:b/>
          <w:color w:val="0D1B2A"/>
          <w:sz w:val="22"/>
        </w:rPr>
        <w:t>Layer 1 — Expert Intelligence Core</w:t>
      </w:r>
    </w:p>
    <w:p>
      <w:pPr>
        <w:spacing w:before="40" w:after="80"/>
        <w:ind w:left="340"/>
      </w:pPr>
      <w:r>
        <w:rPr>
          <w:rFonts w:ascii="Calibri" w:hAnsi="Calibri"/>
          <w:color w:val="2C3E50"/>
          <w:sz w:val="21"/>
        </w:rPr>
        <w:t>The intelligence foundation of ACID. Foundation-Sec-8B is a domain-adapted transformer model optimized for deep cybersecurity reasoning, vulnerability analysis, and remediation patch synthesis. SecureBERT provides high-fidelity contextual embeddings for mapping CVE descriptions, CWE categories, and MITRE ATT&amp;CK techniques. Both models are served with 4-bit/8-bit quantization to support CPU-bound deployments.</w:t>
      </w:r>
    </w:p>
    <w:p>
      <w:pPr>
        <w:spacing w:before="160" w:after="60"/>
      </w:pPr>
      <w:r>
        <w:rPr>
          <w:rFonts w:ascii="Calibri" w:hAnsi="Calibri"/>
          <w:b/>
          <w:color w:val="0D1B2A"/>
          <w:sz w:val="22"/>
        </w:rPr>
        <w:t>Layer 2 — Multi-Agent Orchestration Mesh</w:t>
      </w:r>
    </w:p>
    <w:p>
      <w:pPr>
        <w:spacing w:before="40" w:after="80"/>
        <w:ind w:left="340"/>
      </w:pPr>
      <w:r>
        <w:rPr>
          <w:rFonts w:ascii="Calibri" w:hAnsi="Calibri"/>
          <w:color w:val="2C3E50"/>
          <w:sz w:val="21"/>
        </w:rPr>
        <w:t>Eleven specialized autonomous agents organized into blue, red, and purple teams, all coordinated by the Supervisor Agent. Each agent has a defined role, event subscription set, and tool allow-list. Agents communicate exclusively via the Redis Streams event bus using signed, schema-validated messages.</w:t>
      </w:r>
    </w:p>
    <w:p>
      <w:pPr>
        <w:spacing w:before="160" w:after="60"/>
      </w:pPr>
      <w:r>
        <w:rPr>
          <w:rFonts w:ascii="Calibri" w:hAnsi="Calibri"/>
          <w:b/>
          <w:color w:val="0D1B2A"/>
          <w:sz w:val="22"/>
        </w:rPr>
        <w:t>Layer 3 — Causal Reasoning Engine</w:t>
      </w:r>
    </w:p>
    <w:p>
      <w:pPr>
        <w:spacing w:before="40" w:after="80"/>
        <w:ind w:left="340"/>
      </w:pPr>
      <w:r>
        <w:rPr>
          <w:rFonts w:ascii="Calibri" w:hAnsi="Calibri"/>
          <w:color w:val="2C3E50"/>
          <w:sz w:val="21"/>
        </w:rPr>
        <w:t>The CPG fuses code-level (AST/CFG/DFG) and infrastructure-level (network topology, firewall rules) graphs with vulnerability linkage (CVEs, CWEs, MITRE ATT&amp;CK TTPs). The SCM applies Pearl's do-calculus to simulate intervention outcomes. The Counterfactual Engine answers L3 What-If queries over this unified causal graph.</w:t>
      </w:r>
    </w:p>
    <w:p>
      <w:pPr>
        <w:spacing w:before="160" w:after="60"/>
      </w:pPr>
      <w:r>
        <w:rPr>
          <w:rFonts w:ascii="Calibri" w:hAnsi="Calibri"/>
          <w:b/>
          <w:color w:val="0D1B2A"/>
          <w:sz w:val="22"/>
        </w:rPr>
        <w:t>Layer 4 — Zero-Trust Execution Plane</w:t>
      </w:r>
    </w:p>
    <w:p>
      <w:pPr>
        <w:spacing w:before="40" w:after="80"/>
        <w:ind w:left="340"/>
      </w:pPr>
      <w:r>
        <w:rPr>
          <w:rFonts w:ascii="Calibri" w:hAnsi="Calibri"/>
          <w:color w:val="2C3E50"/>
          <w:sz w:val="21"/>
        </w:rPr>
        <w:t>The ORGA loop is a language-level compile-time constraint. No agent can invoke a tool without first passing through the Policy Engine and RoE Enforcer Gate. All actions are signed, logged, and hash-chained in the Audit Journal. This layer is structurally independent of all LLM inference — it cannot be bypassed by model output.</w:t>
      </w:r>
    </w:p>
    <w:p>
      <w:pPr>
        <w:spacing w:before="160" w:after="60"/>
      </w:pPr>
      <w:r>
        <w:rPr>
          <w:rFonts w:ascii="Calibri" w:hAnsi="Calibri"/>
          <w:b/>
          <w:color w:val="0D1B2A"/>
          <w:sz w:val="22"/>
        </w:rPr>
        <w:t>Layer 5 — Ingestion &amp; Data Substrate</w:t>
      </w:r>
    </w:p>
    <w:p>
      <w:pPr>
        <w:spacing w:before="40" w:after="80"/>
        <w:ind w:left="340"/>
      </w:pPr>
      <w:r>
        <w:rPr>
          <w:rFonts w:ascii="Calibri" w:hAnsi="Calibri"/>
          <w:color w:val="2C3E50"/>
          <w:sz w:val="21"/>
        </w:rPr>
        <w:t>Raw intelligence is pulled from six authoritative sources with full SHA-256 provenance tracking. Normalized data is stored in PostgreSQL as immutable versioned revisions. Real-time event notifications flow through Redis Streams, enabling sub-second agent reaction to new threat intelligence.</w:t>
      </w:r>
    </w:p>
    <w:p>
      <w:r>
        <w:br w:type="page"/>
      </w:r>
    </w:p>
    <w:p>
      <w:pPr>
        <w:spacing w:before="320" w:after="80"/>
        <w:shd w:val="clear" w:color="auto" w:fill="0D1B2A"/>
        <w:ind w:left="170" w:right="170"/>
      </w:pPr>
      <w:r>
        <w:rPr>
          <w:rFonts w:ascii="Calibri" w:hAnsi="Calibri"/>
          <w:b/>
          <w:color w:val="FFFFFF"/>
          <w:sz w:val="30"/>
        </w:rPr>
        <w:t>7. SYSTEM WORKING / PROCESS FLOW</w:t>
      </w:r>
    </w:p>
    <w:p>
      <w:pPr>
        <w:spacing w:before="40" w:after="80"/>
      </w:pPr>
      <w:r>
        <w:rPr>
          <w:rFonts w:ascii="Calibri" w:hAnsi="Calibri"/>
          <w:color w:val="2C3E50"/>
          <w:sz w:val="21"/>
        </w:rPr>
        <w:t>The ACID operational cycle follows a governed, event-driven, closed-loop process. Every cycle begins with threat intelligence ingestion and concludes with a verified, logged remediation action or a documented escalation to human review.</w:t>
      </w:r>
    </w:p>
    <w:p>
      <w:pPr>
        <w:spacing w:before="240" w:after="80"/>
        <w:pBdr>
          <w:bottom w:val="single" w:sz="6" w:space="1" w:color="1B4F72"/>
        </w:pBdr>
      </w:pPr>
      <w:r>
        <w:rPr>
          <w:rFonts w:ascii="Calibri" w:hAnsi="Calibri"/>
          <w:b/>
          <w:color w:val="1B4F72"/>
          <w:sz w:val="24"/>
        </w:rPr>
        <w:t>Process Flow Diagram</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vAlign w:val="center"/>
          </w:tcPr>
          <w:p>
            <w:pPr>
              <w:jc w:val="center"/>
            </w:pPr>
            <w:r/>
            <w:r>
              <w:rPr>
                <w:rFonts w:ascii="Calibri" w:hAnsi="Calibri"/>
                <w:b/>
                <w:color w:val="FFFFFF"/>
                <w:sz w:val="20"/>
              </w:rPr>
              <w:t>Step</w:t>
            </w:r>
          </w:p>
        </w:tc>
        <w:tc>
          <w:tcPr>
            <w:tcW w:type="dxa" w:w="3120"/>
            <w:shd w:val="clear" w:color="auto" w:fill="0D1B2A"/>
            <w:vAlign w:val="center"/>
          </w:tcPr>
          <w:p>
            <w:pPr>
              <w:jc w:val="center"/>
            </w:pPr>
            <w:r/>
            <w:r>
              <w:rPr>
                <w:rFonts w:ascii="Calibri" w:hAnsi="Calibri"/>
                <w:b/>
                <w:color w:val="FFFFFF"/>
                <w:sz w:val="20"/>
              </w:rPr>
              <w:t>Phase</w:t>
            </w:r>
          </w:p>
        </w:tc>
        <w:tc>
          <w:tcPr>
            <w:tcW w:type="dxa" w:w="3120"/>
            <w:shd w:val="clear" w:color="auto" w:fill="0D1B2A"/>
            <w:vAlign w:val="center"/>
          </w:tcPr>
          <w:p>
            <w:pPr>
              <w:jc w:val="center"/>
            </w:pPr>
            <w:r/>
            <w:r>
              <w:rPr>
                <w:rFonts w:ascii="Calibri" w:hAnsi="Calibri"/>
                <w:b/>
                <w:color w:val="FFFFFF"/>
                <w:sz w:val="20"/>
              </w:rPr>
              <w:t>Description</w:t>
            </w:r>
          </w:p>
        </w:tc>
      </w:tr>
      <w:tr>
        <w:tc>
          <w:tcPr>
            <w:tcW w:type="dxa" w:w="3120"/>
            <w:shd w:val="clear" w:color="auto" w:fill="1B4F72"/>
          </w:tcPr>
          <w:p>
            <w:pPr>
              <w:jc w:val="center"/>
            </w:pPr>
            <w:r>
              <w:rPr>
                <w:rFonts w:ascii="Calibri" w:hAnsi="Calibri"/>
                <w:b/>
                <w:color w:val="FFFFFF"/>
                <w:sz w:val="19"/>
              </w:rPr>
              <w:t>Step 1</w:t>
            </w:r>
          </w:p>
        </w:tc>
        <w:tc>
          <w:tcPr>
            <w:tcW w:type="dxa" w:w="3120"/>
            <w:shd w:val="clear" w:color="auto" w:fill="FDFEFE"/>
          </w:tcPr>
          <w:p>
            <w:r>
              <w:rPr>
                <w:rFonts w:ascii="Calibri" w:hAnsi="Calibri"/>
                <w:b/>
                <w:color w:val="0D1B2A"/>
                <w:sz w:val="19"/>
              </w:rPr>
              <w:t>Threat Feed Ingestion</w:t>
            </w:r>
          </w:p>
        </w:tc>
        <w:tc>
          <w:tcPr>
            <w:tcW w:type="dxa" w:w="3120"/>
            <w:shd w:val="clear" w:color="auto" w:fill="FDFEFE"/>
          </w:tcPr>
          <w:p>
            <w:r>
              <w:rPr>
                <w:rFonts w:ascii="Calibri" w:hAnsi="Calibri"/>
                <w:color w:val="2C3E50"/>
                <w:sz w:val="19"/>
              </w:rPr>
              <w:t>NVD/EPSS/KEV/OSV/GHSA/Exploit-DB APIs are polled. Raw payloads are SHA-256 hashed, normalized, and stored as immutable PostgreSQL revisions. New entries are published to Redis Streams.</w:t>
            </w:r>
          </w:p>
        </w:tc>
      </w:tr>
      <w:tr>
        <w:tc>
          <w:tcPr>
            <w:tcW w:type="dxa" w:w="3120"/>
            <w:shd w:val="clear" w:color="auto" w:fill="218BC6"/>
          </w:tcPr>
          <w:p>
            <w:pPr>
              <w:jc w:val="center"/>
            </w:pPr>
            <w:r>
              <w:rPr>
                <w:rFonts w:ascii="Calibri" w:hAnsi="Calibri"/>
                <w:b/>
                <w:color w:val="FFFFFF"/>
                <w:sz w:val="19"/>
              </w:rPr>
              <w:t>Step 2</w:t>
            </w:r>
          </w:p>
        </w:tc>
        <w:tc>
          <w:tcPr>
            <w:tcW w:type="dxa" w:w="3120"/>
            <w:shd w:val="clear" w:color="auto" w:fill="EBF5FB"/>
          </w:tcPr>
          <w:p>
            <w:r>
              <w:rPr>
                <w:rFonts w:ascii="Calibri" w:hAnsi="Calibri"/>
                <w:b/>
                <w:color w:val="0D1B2A"/>
                <w:sz w:val="19"/>
              </w:rPr>
              <w:t>Triage Agent Activation</w:t>
            </w:r>
          </w:p>
        </w:tc>
        <w:tc>
          <w:tcPr>
            <w:tcW w:type="dxa" w:w="3120"/>
            <w:shd w:val="clear" w:color="auto" w:fill="EBF5FB"/>
          </w:tcPr>
          <w:p>
            <w:r>
              <w:rPr>
                <w:rFonts w:ascii="Calibri" w:hAnsi="Calibri"/>
                <w:color w:val="2C3E50"/>
                <w:sz w:val="19"/>
              </w:rPr>
              <w:t>Triage Agent subscribes to the CVE_NEW event stream. For each new vulnerability, it computes a dynamic risk score using the ML ensemble (XGBoost/LightGBM/RF) with SHAP attribution for explainability. CISA KEV membership enforces a score floor.</w:t>
            </w:r>
          </w:p>
        </w:tc>
      </w:tr>
      <w:tr>
        <w:tc>
          <w:tcPr>
            <w:tcW w:type="dxa" w:w="3120"/>
            <w:shd w:val="clear" w:color="auto" w:fill="1B4F72"/>
          </w:tcPr>
          <w:p>
            <w:pPr>
              <w:jc w:val="center"/>
            </w:pPr>
            <w:r>
              <w:rPr>
                <w:rFonts w:ascii="Calibri" w:hAnsi="Calibri"/>
                <w:b/>
                <w:color w:val="FFFFFF"/>
                <w:sz w:val="19"/>
              </w:rPr>
              <w:t>Step 3</w:t>
            </w:r>
          </w:p>
        </w:tc>
        <w:tc>
          <w:tcPr>
            <w:tcW w:type="dxa" w:w="3120"/>
            <w:shd w:val="clear" w:color="auto" w:fill="FDFEFE"/>
          </w:tcPr>
          <w:p>
            <w:r>
              <w:rPr>
                <w:rFonts w:ascii="Calibri" w:hAnsi="Calibri"/>
                <w:b/>
                <w:color w:val="0D1B2A"/>
                <w:sz w:val="19"/>
              </w:rPr>
              <w:t>Causal Reasoning Agent Query</w:t>
            </w:r>
          </w:p>
        </w:tc>
        <w:tc>
          <w:tcPr>
            <w:tcW w:type="dxa" w:w="3120"/>
            <w:shd w:val="clear" w:color="auto" w:fill="FDFEFE"/>
          </w:tcPr>
          <w:p>
            <w:r>
              <w:rPr>
                <w:rFonts w:ascii="Calibri" w:hAnsi="Calibri"/>
                <w:color w:val="2C3E50"/>
                <w:sz w:val="19"/>
              </w:rPr>
              <w:t>Causal Reasoning Agent queries the CPG and SCM to compute: (a) blast radius — which assets are reachable through this vulnerability, (b) intervention probability — P(Exploit | do(Patch=1)), and (c) counterfactual breakage — which remediation breaks the most attack paths.</w:t>
            </w:r>
          </w:p>
        </w:tc>
      </w:tr>
      <w:tr>
        <w:tc>
          <w:tcPr>
            <w:tcW w:type="dxa" w:w="3120"/>
            <w:shd w:val="clear" w:color="auto" w:fill="218BC6"/>
          </w:tcPr>
          <w:p>
            <w:pPr>
              <w:jc w:val="center"/>
            </w:pPr>
            <w:r>
              <w:rPr>
                <w:rFonts w:ascii="Calibri" w:hAnsi="Calibri"/>
                <w:b/>
                <w:color w:val="FFFFFF"/>
                <w:sz w:val="19"/>
              </w:rPr>
              <w:t>Step 4</w:t>
            </w:r>
          </w:p>
        </w:tc>
        <w:tc>
          <w:tcPr>
            <w:tcW w:type="dxa" w:w="3120"/>
            <w:shd w:val="clear" w:color="auto" w:fill="EBF5FB"/>
          </w:tcPr>
          <w:p>
            <w:r>
              <w:rPr>
                <w:rFonts w:ascii="Calibri" w:hAnsi="Calibri"/>
                <w:b/>
                <w:color w:val="0D1B2A"/>
                <w:sz w:val="19"/>
              </w:rPr>
              <w:t>ORGA Gate Evaluation</w:t>
            </w:r>
          </w:p>
        </w:tc>
        <w:tc>
          <w:tcPr>
            <w:tcW w:type="dxa" w:w="3120"/>
            <w:shd w:val="clear" w:color="auto" w:fill="EBF5FB"/>
          </w:tcPr>
          <w:p>
            <w:r>
              <w:rPr>
                <w:rFonts w:ascii="Calibri" w:hAnsi="Calibri"/>
                <w:color w:val="2C3E50"/>
                <w:sz w:val="19"/>
              </w:rPr>
              <w:t>Every candidate action (patch synthesis, offensive simulation, configuration change) must pass through the ORGA loop. The Gate phase queries the Policy Engine (deny-by-default DSL) and RoE Engine. A failed gate raises a GateNotPassedError and escalates to the Governance Agent.</w:t>
            </w:r>
          </w:p>
        </w:tc>
      </w:tr>
      <w:tr>
        <w:tc>
          <w:tcPr>
            <w:tcW w:type="dxa" w:w="3120"/>
            <w:shd w:val="clear" w:color="auto" w:fill="1B4F72"/>
          </w:tcPr>
          <w:p>
            <w:pPr>
              <w:jc w:val="center"/>
            </w:pPr>
            <w:r>
              <w:rPr>
                <w:rFonts w:ascii="Calibri" w:hAnsi="Calibri"/>
                <w:b/>
                <w:color w:val="FFFFFF"/>
                <w:sz w:val="19"/>
              </w:rPr>
              <w:t>Step 5</w:t>
            </w:r>
          </w:p>
        </w:tc>
        <w:tc>
          <w:tcPr>
            <w:tcW w:type="dxa" w:w="3120"/>
            <w:shd w:val="clear" w:color="auto" w:fill="FDFEFE"/>
          </w:tcPr>
          <w:p>
            <w:r>
              <w:rPr>
                <w:rFonts w:ascii="Calibri" w:hAnsi="Calibri"/>
                <w:b/>
                <w:color w:val="0D1B2A"/>
                <w:sz w:val="19"/>
              </w:rPr>
              <w:t>Remediation Agent Synthesis</w:t>
            </w:r>
          </w:p>
        </w:tc>
        <w:tc>
          <w:tcPr>
            <w:tcW w:type="dxa" w:w="3120"/>
            <w:shd w:val="clear" w:color="auto" w:fill="FDFEFE"/>
          </w:tcPr>
          <w:p>
            <w:r>
              <w:rPr>
                <w:rFonts w:ascii="Calibri" w:hAnsi="Calibri"/>
                <w:color w:val="2C3E50"/>
                <w:sz w:val="19"/>
              </w:rPr>
              <w:t>Upon a passed gate, the Remediation Agent synthesizes vendor patches, configuration workarounds, or compensating controls. Each recommendation is ranked by counterfactual attack path breakage probability, not raw CVSS.</w:t>
            </w:r>
          </w:p>
        </w:tc>
      </w:tr>
      <w:tr>
        <w:tc>
          <w:tcPr>
            <w:tcW w:type="dxa" w:w="3120"/>
            <w:shd w:val="clear" w:color="auto" w:fill="218BC6"/>
          </w:tcPr>
          <w:p>
            <w:pPr>
              <w:jc w:val="center"/>
            </w:pPr>
            <w:r>
              <w:rPr>
                <w:rFonts w:ascii="Calibri" w:hAnsi="Calibri"/>
                <w:b/>
                <w:color w:val="FFFFFF"/>
                <w:sz w:val="19"/>
              </w:rPr>
              <w:t>Step 6</w:t>
            </w:r>
          </w:p>
        </w:tc>
        <w:tc>
          <w:tcPr>
            <w:tcW w:type="dxa" w:w="3120"/>
            <w:shd w:val="clear" w:color="auto" w:fill="EBF5FB"/>
          </w:tcPr>
          <w:p>
            <w:r>
              <w:rPr>
                <w:rFonts w:ascii="Calibri" w:hAnsi="Calibri"/>
                <w:b/>
                <w:color w:val="0D1B2A"/>
                <w:sz w:val="19"/>
              </w:rPr>
              <w:t>Verification Agent Validation</w:t>
            </w:r>
          </w:p>
        </w:tc>
        <w:tc>
          <w:tcPr>
            <w:tcW w:type="dxa" w:w="3120"/>
            <w:shd w:val="clear" w:color="auto" w:fill="EBF5FB"/>
          </w:tcPr>
          <w:p>
            <w:r>
              <w:rPr>
                <w:rFonts w:ascii="Calibri" w:hAnsi="Calibri"/>
                <w:color w:val="2C3E50"/>
                <w:sz w:val="19"/>
              </w:rPr>
              <w:t>The Verification Agent validates that the proposed fix resolves the causal root cause without regressing adjacent system functionality. It cross-references the CPG to confirm path breakage.</w:t>
            </w:r>
          </w:p>
        </w:tc>
      </w:tr>
      <w:tr>
        <w:tc>
          <w:tcPr>
            <w:tcW w:type="dxa" w:w="3120"/>
            <w:shd w:val="clear" w:color="auto" w:fill="1B4F72"/>
          </w:tcPr>
          <w:p>
            <w:pPr>
              <w:jc w:val="center"/>
            </w:pPr>
            <w:r>
              <w:rPr>
                <w:rFonts w:ascii="Calibri" w:hAnsi="Calibri"/>
                <w:b/>
                <w:color w:val="FFFFFF"/>
                <w:sz w:val="19"/>
              </w:rPr>
              <w:t>Step 7</w:t>
            </w:r>
          </w:p>
        </w:tc>
        <w:tc>
          <w:tcPr>
            <w:tcW w:type="dxa" w:w="3120"/>
            <w:shd w:val="clear" w:color="auto" w:fill="FDFEFE"/>
          </w:tcPr>
          <w:p>
            <w:r>
              <w:rPr>
                <w:rFonts w:ascii="Calibri" w:hAnsi="Calibri"/>
                <w:b/>
                <w:color w:val="0D1B2A"/>
                <w:sz w:val="19"/>
              </w:rPr>
              <w:t>Audit Journal Commit</w:t>
            </w:r>
          </w:p>
        </w:tc>
        <w:tc>
          <w:tcPr>
            <w:tcW w:type="dxa" w:w="3120"/>
            <w:shd w:val="clear" w:color="auto" w:fill="FDFEFE"/>
          </w:tcPr>
          <w:p>
            <w:r>
              <w:rPr>
                <w:rFonts w:ascii="Calibri" w:hAnsi="Calibri"/>
                <w:color w:val="2C3E50"/>
                <w:sz w:val="19"/>
              </w:rPr>
              <w:t>All decisions, gate evaluations, and tool invocations are appended to the SHA-256 hash-chained audit journal with Ed25519 agent signatures. The chain is cryptographically verifiable at any point.</w:t>
            </w:r>
          </w:p>
        </w:tc>
      </w:tr>
      <w:tr>
        <w:tc>
          <w:tcPr>
            <w:tcW w:type="dxa" w:w="3120"/>
            <w:shd w:val="clear" w:color="auto" w:fill="218BC6"/>
          </w:tcPr>
          <w:p>
            <w:pPr>
              <w:jc w:val="center"/>
            </w:pPr>
            <w:r>
              <w:rPr>
                <w:rFonts w:ascii="Calibri" w:hAnsi="Calibri"/>
                <w:b/>
                <w:color w:val="FFFFFF"/>
                <w:sz w:val="19"/>
              </w:rPr>
              <w:t>Step 8</w:t>
            </w:r>
          </w:p>
        </w:tc>
        <w:tc>
          <w:tcPr>
            <w:tcW w:type="dxa" w:w="3120"/>
            <w:shd w:val="clear" w:color="auto" w:fill="EBF5FB"/>
          </w:tcPr>
          <w:p>
            <w:r>
              <w:rPr>
                <w:rFonts w:ascii="Calibri" w:hAnsi="Calibri"/>
                <w:b/>
                <w:color w:val="0D1B2A"/>
                <w:sz w:val="19"/>
              </w:rPr>
              <w:t>Purple Team Validation (Optional)</w:t>
            </w:r>
          </w:p>
        </w:tc>
        <w:tc>
          <w:tcPr>
            <w:tcW w:type="dxa" w:w="3120"/>
            <w:shd w:val="clear" w:color="auto" w:fill="EBF5FB"/>
          </w:tcPr>
          <w:p>
            <w:r>
              <w:rPr>
                <w:rFonts w:ascii="Calibri" w:hAnsi="Calibri"/>
                <w:color w:val="2C3E50"/>
                <w:sz w:val="19"/>
              </w:rPr>
              <w:t>If authorized (ACID_OPERATION_MODE=offensive, valid RoE), the Red Team Agent executes pre-approved TTPs within sandboxed containers. The Purple Team Agent correlates offensive telemetry with blue team detection coverage to identify gaps.</w:t>
            </w:r>
          </w:p>
        </w:tc>
      </w:tr>
    </w:tbl>
    <w:p>
      <w:r>
        <w:br w:type="page"/>
      </w:r>
    </w:p>
    <w:p>
      <w:pPr>
        <w:spacing w:before="320" w:after="80"/>
        <w:shd w:val="clear" w:color="auto" w:fill="0D1B2A"/>
        <w:ind w:left="170" w:right="170"/>
      </w:pPr>
      <w:r>
        <w:rPr>
          <w:rFonts w:ascii="Calibri" w:hAnsi="Calibri"/>
          <w:b/>
          <w:color w:val="FFFFFF"/>
          <w:sz w:val="30"/>
        </w:rPr>
        <w:t>8. DATA FLOW</w:t>
      </w:r>
    </w:p>
    <w:p>
      <w:pPr>
        <w:spacing w:before="40" w:after="80"/>
      </w:pPr>
      <w:r>
        <w:rPr>
          <w:rFonts w:ascii="Calibri" w:hAnsi="Calibri"/>
          <w:color w:val="2C3E50"/>
          <w:sz w:val="21"/>
        </w:rPr>
        <w:t>ACID implements a structured, provenance-tracked data pipeline. All data transitions are logged, hashed, and auditable. The flow is unidirectional from external sources through normalization into the agent reasoning layer.</w:t>
      </w:r>
    </w:p>
    <w:p>
      <w:pPr>
        <w:spacing w:before="240" w:after="80"/>
        <w:pBdr>
          <w:bottom w:val="single" w:sz="6" w:space="1" w:color="1B4F72"/>
        </w:pBdr>
      </w:pPr>
      <w:r>
        <w:rPr>
          <w:rFonts w:ascii="Calibri" w:hAnsi="Calibri"/>
          <w:b/>
          <w:color w:val="1B4F72"/>
          <w:sz w:val="24"/>
        </w:rPr>
        <w:t>Data Flow Overview</w:t>
      </w:r>
    </w:p>
    <w:tbl>
      <w:tblPr>
        <w:tblStyle w:val="TableGrid"/>
        <w:tblW w:type="auto" w:w="0"/>
        <w:tblLook w:firstColumn="1" w:firstRow="1" w:lastColumn="0" w:lastRow="0" w:noHBand="0" w:noVBand="1" w:val="04A0"/>
      </w:tblPr>
      <w:tblGrid>
        <w:gridCol w:w="4680"/>
        <w:gridCol w:w="4680"/>
      </w:tblGrid>
      <w:tr>
        <w:tc>
          <w:tcPr>
            <w:tcW w:type="dxa" w:w="4680"/>
            <w:shd w:val="clear" w:color="auto" w:fill="0D1B2A"/>
            <w:vAlign w:val="center"/>
          </w:tcPr>
          <w:p>
            <w:pPr>
              <w:jc w:val="center"/>
            </w:pPr>
            <w:r/>
            <w:r>
              <w:rPr>
                <w:rFonts w:ascii="Calibri" w:hAnsi="Calibri"/>
                <w:b/>
                <w:color w:val="FFFFFF"/>
                <w:sz w:val="20"/>
              </w:rPr>
              <w:t>Data Flow Stage</w:t>
            </w:r>
          </w:p>
        </w:tc>
        <w:tc>
          <w:tcPr>
            <w:tcW w:type="dxa" w:w="4680"/>
            <w:shd w:val="clear" w:color="auto" w:fill="0D1B2A"/>
            <w:vAlign w:val="center"/>
          </w:tcPr>
          <w:p>
            <w:pPr>
              <w:jc w:val="center"/>
            </w:pPr>
            <w:r/>
            <w:r>
              <w:rPr>
                <w:rFonts w:ascii="Calibri" w:hAnsi="Calibri"/>
                <w:b/>
                <w:color w:val="FFFFFF"/>
                <w:sz w:val="20"/>
              </w:rPr>
              <w:t>Description</w:t>
            </w:r>
          </w:p>
        </w:tc>
      </w:tr>
      <w:tr>
        <w:tc>
          <w:tcPr>
            <w:tcW w:type="dxa" w:w="4680"/>
            <w:shd w:val="clear" w:color="auto" w:fill="1B4F72"/>
          </w:tcPr>
          <w:p>
            <w:r>
              <w:rPr>
                <w:rFonts w:ascii="Calibri" w:hAnsi="Calibri"/>
                <w:b/>
                <w:color w:val="FFFFFF"/>
                <w:sz w:val="19"/>
              </w:rPr>
              <w:t>[1] External Sources</w:t>
            </w:r>
          </w:p>
        </w:tc>
        <w:tc>
          <w:tcPr>
            <w:tcW w:type="dxa" w:w="4680"/>
            <w:shd w:val="clear" w:color="auto" w:fill="FDFEFE"/>
          </w:tcPr>
          <w:p>
            <w:r>
              <w:rPr>
                <w:rFonts w:ascii="Calibri" w:hAnsi="Calibri"/>
                <w:color w:val="2C3E50"/>
                <w:sz w:val="19"/>
              </w:rPr>
              <w:t>NVD REST API 2.0, FIRST.org EPSS, CISA KEV Catalog, OSV.dev, GHSA, Exploit-DB</w:t>
            </w:r>
          </w:p>
        </w:tc>
      </w:tr>
      <w:tr>
        <w:tc>
          <w:tcPr>
            <w:tcW w:type="dxa" w:w="4680"/>
            <w:shd w:val="clear" w:color="auto" w:fill="1E8BC3"/>
          </w:tcPr>
          <w:p>
            <w:r>
              <w:rPr>
                <w:rFonts w:ascii="Calibri" w:hAnsi="Calibri"/>
                <w:b/>
                <w:color w:val="FFFFFF"/>
                <w:sz w:val="19"/>
              </w:rPr>
              <w:t>[2] Ingestion Layer</w:t>
            </w:r>
          </w:p>
        </w:tc>
        <w:tc>
          <w:tcPr>
            <w:tcW w:type="dxa" w:w="4680"/>
            <w:shd w:val="clear" w:color="auto" w:fill="EBF5FB"/>
          </w:tcPr>
          <w:p>
            <w:r>
              <w:rPr>
                <w:rFonts w:ascii="Calibri" w:hAnsi="Calibri"/>
                <w:color w:val="2C3E50"/>
                <w:sz w:val="19"/>
              </w:rPr>
              <w:t>Raw payloads are SHA-256 hashed at wire level. Provenance metadata (source, timestamp, hash) attached before normalization.</w:t>
            </w:r>
          </w:p>
        </w:tc>
      </w:tr>
      <w:tr>
        <w:tc>
          <w:tcPr>
            <w:tcW w:type="dxa" w:w="4680"/>
            <w:shd w:val="clear" w:color="auto" w:fill="1B4F72"/>
          </w:tcPr>
          <w:p>
            <w:r>
              <w:rPr>
                <w:rFonts w:ascii="Calibri" w:hAnsi="Calibri"/>
                <w:b/>
                <w:color w:val="FFFFFF"/>
                <w:sz w:val="19"/>
              </w:rPr>
              <w:t>[3] Normalization</w:t>
            </w:r>
          </w:p>
        </w:tc>
        <w:tc>
          <w:tcPr>
            <w:tcW w:type="dxa" w:w="4680"/>
            <w:shd w:val="clear" w:color="auto" w:fill="FDFEFE"/>
          </w:tcPr>
          <w:p>
            <w:r>
              <w:rPr>
                <w:rFonts w:ascii="Calibri" w:hAnsi="Calibri"/>
                <w:color w:val="2C3E50"/>
                <w:sz w:val="19"/>
              </w:rPr>
              <w:t>Adapters convert source-specific JSON formats into the canonical VulnerabilityRecord schema with field validation.</w:t>
            </w:r>
          </w:p>
        </w:tc>
      </w:tr>
      <w:tr>
        <w:tc>
          <w:tcPr>
            <w:tcW w:type="dxa" w:w="4680"/>
            <w:shd w:val="clear" w:color="auto" w:fill="1E8BC3"/>
          </w:tcPr>
          <w:p>
            <w:r>
              <w:rPr>
                <w:rFonts w:ascii="Calibri" w:hAnsi="Calibri"/>
                <w:b/>
                <w:color w:val="FFFFFF"/>
                <w:sz w:val="19"/>
              </w:rPr>
              <w:t>[4] Persistence</w:t>
            </w:r>
          </w:p>
        </w:tc>
        <w:tc>
          <w:tcPr>
            <w:tcW w:type="dxa" w:w="4680"/>
            <w:shd w:val="clear" w:color="auto" w:fill="EBF5FB"/>
          </w:tcPr>
          <w:p>
            <w:r>
              <w:rPr>
                <w:rFonts w:ascii="Calibri" w:hAnsi="Calibri"/>
                <w:color w:val="2C3E50"/>
                <w:sz w:val="19"/>
              </w:rPr>
              <w:t>Normalized records written to PostgreSQL as immutable, append-only revisions. Schema: (cve_id, source, ingested_at, sha256_hash, payload_json).</w:t>
            </w:r>
          </w:p>
        </w:tc>
      </w:tr>
      <w:tr>
        <w:tc>
          <w:tcPr>
            <w:tcW w:type="dxa" w:w="4680"/>
            <w:shd w:val="clear" w:color="auto" w:fill="1B4F72"/>
          </w:tcPr>
          <w:p>
            <w:r>
              <w:rPr>
                <w:rFonts w:ascii="Calibri" w:hAnsi="Calibri"/>
                <w:b/>
                <w:color w:val="FFFFFF"/>
                <w:sz w:val="19"/>
              </w:rPr>
              <w:t>[5] Event Publication</w:t>
            </w:r>
          </w:p>
        </w:tc>
        <w:tc>
          <w:tcPr>
            <w:tcW w:type="dxa" w:w="4680"/>
            <w:shd w:val="clear" w:color="auto" w:fill="FDFEFE"/>
          </w:tcPr>
          <w:p>
            <w:r>
              <w:rPr>
                <w:rFonts w:ascii="Calibri" w:hAnsi="Calibri"/>
                <w:color w:val="2C3E50"/>
                <w:sz w:val="19"/>
              </w:rPr>
              <w:t>New or updated records trigger events on Redis Streams (topic: acid.cve.new, acid.cve.updated). All events are agent-signed.</w:t>
            </w:r>
          </w:p>
        </w:tc>
      </w:tr>
      <w:tr>
        <w:tc>
          <w:tcPr>
            <w:tcW w:type="dxa" w:w="4680"/>
            <w:shd w:val="clear" w:color="auto" w:fill="1E8BC3"/>
          </w:tcPr>
          <w:p>
            <w:r>
              <w:rPr>
                <w:rFonts w:ascii="Calibri" w:hAnsi="Calibri"/>
                <w:b/>
                <w:color w:val="FFFFFF"/>
                <w:sz w:val="19"/>
              </w:rPr>
              <w:t>[6] Agent Consumption</w:t>
            </w:r>
          </w:p>
        </w:tc>
        <w:tc>
          <w:tcPr>
            <w:tcW w:type="dxa" w:w="4680"/>
            <w:shd w:val="clear" w:color="auto" w:fill="EBF5FB"/>
          </w:tcPr>
          <w:p>
            <w:r>
              <w:rPr>
                <w:rFonts w:ascii="Calibri" w:hAnsi="Calibri"/>
                <w:color w:val="2C3E50"/>
                <w:sz w:val="19"/>
              </w:rPr>
              <w:t>Triage, Causal Reasoning, and Remediation agents subscribe to relevant event topics and process records through the ORGA loop.</w:t>
            </w:r>
          </w:p>
        </w:tc>
      </w:tr>
      <w:tr>
        <w:tc>
          <w:tcPr>
            <w:tcW w:type="dxa" w:w="4680"/>
            <w:shd w:val="clear" w:color="auto" w:fill="1B4F72"/>
          </w:tcPr>
          <w:p>
            <w:r>
              <w:rPr>
                <w:rFonts w:ascii="Calibri" w:hAnsi="Calibri"/>
                <w:b/>
                <w:color w:val="FFFFFF"/>
                <w:sz w:val="19"/>
              </w:rPr>
              <w:t>[7] Causal Graph Update</w:t>
            </w:r>
          </w:p>
        </w:tc>
        <w:tc>
          <w:tcPr>
            <w:tcW w:type="dxa" w:w="4680"/>
            <w:shd w:val="clear" w:color="auto" w:fill="FDFEFE"/>
          </w:tcPr>
          <w:p>
            <w:r>
              <w:rPr>
                <w:rFonts w:ascii="Calibri" w:hAnsi="Calibri"/>
                <w:color w:val="2C3E50"/>
                <w:sz w:val="19"/>
              </w:rPr>
              <w:t>CPG and SCM are updated incrementally with new vulnerability linkages, asset topology changes, and resolved counterfactuals.</w:t>
            </w:r>
          </w:p>
        </w:tc>
      </w:tr>
      <w:tr>
        <w:tc>
          <w:tcPr>
            <w:tcW w:type="dxa" w:w="4680"/>
            <w:shd w:val="clear" w:color="auto" w:fill="1E8BC3"/>
          </w:tcPr>
          <w:p>
            <w:r>
              <w:rPr>
                <w:rFonts w:ascii="Calibri" w:hAnsi="Calibri"/>
                <w:b/>
                <w:color w:val="FFFFFF"/>
                <w:sz w:val="19"/>
              </w:rPr>
              <w:t>[8] Audit Commit</w:t>
            </w:r>
          </w:p>
        </w:tc>
        <w:tc>
          <w:tcPr>
            <w:tcW w:type="dxa" w:w="4680"/>
            <w:shd w:val="clear" w:color="auto" w:fill="EBF5FB"/>
          </w:tcPr>
          <w:p>
            <w:r>
              <w:rPr>
                <w:rFonts w:ascii="Calibri" w:hAnsi="Calibri"/>
                <w:color w:val="2C3E50"/>
                <w:sz w:val="19"/>
              </w:rPr>
              <w:t>Every data transformation, agent decision, and tool call is committed to the append-only SHA-256 hash-chained audit journal.</w:t>
            </w:r>
          </w:p>
        </w:tc>
      </w:tr>
    </w:tbl>
    <w:p/>
    <w:p>
      <w:pPr>
        <w:spacing w:before="240" w:after="80"/>
        <w:pBdr>
          <w:bottom w:val="single" w:sz="6" w:space="1" w:color="1B4F72"/>
        </w:pBdr>
      </w:pPr>
      <w:r>
        <w:rPr>
          <w:rFonts w:ascii="Calibri" w:hAnsi="Calibri"/>
          <w:b/>
          <w:color w:val="1B4F72"/>
          <w:sz w:val="24"/>
        </w:rPr>
        <w:t>Data Provenance Guarantee</w:t>
      </w:r>
    </w:p>
    <w:p>
      <w:pPr>
        <w:spacing w:before="40" w:after="80"/>
        <w:ind w:left="340"/>
      </w:pPr>
      <w:r>
        <w:rPr>
          <w:rFonts w:ascii="Calibri" w:hAnsi="Calibri"/>
          <w:color w:val="2C3E50"/>
          <w:sz w:val="21"/>
        </w:rPr>
        <w:t>Every data record in ACID carries a complete provenance chain: source identifier → raw SHA-256 hash → ingestion timestamp → normalized schema version → storage revision ID. This chain enables full traceability from any agent decision back to the originating wire-level API response — a critical requirement for regulated environments and incident forensics.</w:t>
      </w:r>
    </w:p>
    <w:p>
      <w:pPr>
        <w:spacing w:before="320" w:after="80"/>
        <w:shd w:val="clear" w:color="auto" w:fill="0D1B2A"/>
        <w:ind w:left="170" w:right="170"/>
      </w:pPr>
      <w:r>
        <w:rPr>
          <w:rFonts w:ascii="Calibri" w:hAnsi="Calibri"/>
          <w:b/>
          <w:color w:val="FFFFFF"/>
          <w:sz w:val="30"/>
        </w:rPr>
        <w:t>9. MODEL / CORE COMPONENT WORKING</w:t>
      </w:r>
    </w:p>
    <w:p>
      <w:pPr>
        <w:spacing w:before="240" w:after="80"/>
        <w:pBdr>
          <w:bottom w:val="single" w:sz="6" w:space="1" w:color="1B4F72"/>
        </w:pBdr>
      </w:pPr>
      <w:r>
        <w:rPr>
          <w:rFonts w:ascii="Calibri" w:hAnsi="Calibri"/>
          <w:b/>
          <w:color w:val="1B4F72"/>
          <w:sz w:val="24"/>
        </w:rPr>
        <w:t>9.1 Causal Reasoning Engine</w:t>
      </w:r>
    </w:p>
    <w:p>
      <w:pPr>
        <w:spacing w:before="40" w:after="80"/>
      </w:pPr>
      <w:r>
        <w:rPr>
          <w:rFonts w:ascii="Calibri" w:hAnsi="Calibri"/>
          <w:color w:val="2C3E50"/>
          <w:sz w:val="21"/>
        </w:rPr>
        <w:t>The causal reasoning engine is the intellectual core of ACID. It operates across three abstraction levels, corresponding to Pearl's Causal Hierarchy:</w:t>
      </w:r>
    </w:p>
    <w:p>
      <w:pPr>
        <w:spacing w:before="160" w:after="60"/>
      </w:pPr>
      <w:r>
        <w:rPr>
          <w:rFonts w:ascii="Calibri" w:hAnsi="Calibri"/>
          <w:b/>
          <w:color w:val="0D1B2A"/>
          <w:sz w:val="22"/>
        </w:rPr>
        <w:t>Level 1 — Association (Seeing)</w:t>
      </w:r>
    </w:p>
    <w:p>
      <w:pPr>
        <w:spacing w:before="40" w:after="80"/>
        <w:ind w:left="340"/>
      </w:pPr>
      <w:r>
        <w:rPr>
          <w:rFonts w:ascii="Calibri" w:hAnsi="Calibri"/>
          <w:color w:val="2C3E50"/>
          <w:sz w:val="21"/>
        </w:rPr>
        <w:t>The ML Ensemble (XGBoost + LightGBM + Random Forest) is trained on historical CVE data with features including CVSS base score, EPSS probability, KEV membership, days since publication, CWE category encoding, and exploit availability. Outputs are SHAP-attributed risk scores in [0, 100]. This layer answers: 'Based on past data, how likely is exploitation?'</w:t>
      </w:r>
    </w:p>
    <w:p>
      <w:pPr>
        <w:spacing w:before="160" w:after="60"/>
      </w:pPr>
      <w:r>
        <w:rPr>
          <w:rFonts w:ascii="Calibri" w:hAnsi="Calibri"/>
          <w:b/>
          <w:color w:val="0D1B2A"/>
          <w:sz w:val="22"/>
        </w:rPr>
        <w:t>Level 2 — Intervention (Doing)</w:t>
      </w:r>
    </w:p>
    <w:p>
      <w:pPr>
        <w:spacing w:before="40" w:after="80"/>
        <w:ind w:left="340"/>
      </w:pPr>
      <w:r>
        <w:rPr>
          <w:rFonts w:ascii="Calibri" w:hAnsi="Calibri"/>
          <w:color w:val="2C3E50"/>
          <w:sz w:val="21"/>
        </w:rPr>
        <w:t>The Structural Causal Model (SCM) formalizes causal relationships using a Directed Acyclic Graph (DAG) with variables: {Exposure, Reachability, Authentication, PatchStatus, Compromise}. The do-calculus operator simulates active security decisions: P(Compromise | do(Patch=1)) is computed by removing all incoming edges to the intervened variable. This answers: 'If we deploy this patch, what happens?'</w:t>
      </w:r>
    </w:p>
    <w:p>
      <w:pPr>
        <w:spacing w:before="160" w:after="60"/>
      </w:pPr>
      <w:r>
        <w:rPr>
          <w:rFonts w:ascii="Calibri" w:hAnsi="Calibri"/>
          <w:b/>
          <w:color w:val="0D1B2A"/>
          <w:sz w:val="22"/>
        </w:rPr>
        <w:t>Level 3 — Counterfactual (Imagining)</w:t>
      </w:r>
    </w:p>
    <w:p>
      <w:pPr>
        <w:spacing w:before="40" w:after="80"/>
        <w:ind w:left="340"/>
      </w:pPr>
      <w:r>
        <w:rPr>
          <w:rFonts w:ascii="Calibri" w:hAnsi="Calibri"/>
          <w:color w:val="2C3E50"/>
          <w:sz w:val="21"/>
        </w:rPr>
        <w:t>The Counterfactual Engine answers: 'Had we patched CVE-A instead of CVE-B, would the attack path to Asset X be broken?' using the CPG. The attack path breakage probability P_break(c) = α * |ΔSCM_prob(c)| + (1-α) * |Paths(c)| / |TotalPaths| ensures remediation recommendations maximize path destruction, not just score reduction.</w:t>
      </w:r>
    </w:p>
    <w:p/>
    <w:p>
      <w:pPr>
        <w:spacing w:before="240" w:after="80"/>
        <w:pBdr>
          <w:bottom w:val="single" w:sz="6" w:space="1" w:color="1B4F72"/>
        </w:pBdr>
      </w:pPr>
      <w:r>
        <w:rPr>
          <w:rFonts w:ascii="Calibri" w:hAnsi="Calibri"/>
          <w:b/>
          <w:color w:val="1B4F72"/>
          <w:sz w:val="24"/>
        </w:rPr>
        <w:t>9.2 ORGA Loop — Zero-Trust State Machine</w:t>
      </w:r>
    </w:p>
    <w:p>
      <w:pPr>
        <w:spacing w:before="40" w:after="80"/>
      </w:pPr>
      <w:r>
        <w:rPr>
          <w:rFonts w:ascii="Calibri" w:hAnsi="Calibri"/>
          <w:color w:val="2C3E50"/>
          <w:sz w:val="21"/>
        </w:rPr>
        <w:t>The ORGA loop is a four-phase, forward-only state machine enforced at the Python type system level. Each phase must complete successfully before the next phase can be entered: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D1B2A"/>
            <w:vAlign w:val="center"/>
          </w:tcPr>
          <w:p>
            <w:pPr>
              <w:jc w:val="center"/>
            </w:pPr>
            <w:r/>
            <w:r>
              <w:rPr>
                <w:rFonts w:ascii="Calibri" w:hAnsi="Calibri"/>
                <w:b/>
                <w:color w:val="FFFFFF"/>
                <w:sz w:val="20"/>
              </w:rPr>
              <w:t>Phase</w:t>
            </w:r>
          </w:p>
        </w:tc>
        <w:tc>
          <w:tcPr>
            <w:tcW w:type="dxa" w:w="3120"/>
            <w:shd w:val="clear" w:color="auto" w:fill="0D1B2A"/>
            <w:vAlign w:val="center"/>
          </w:tcPr>
          <w:p>
            <w:pPr>
              <w:jc w:val="center"/>
            </w:pPr>
            <w:r/>
            <w:r>
              <w:rPr>
                <w:rFonts w:ascii="Calibri" w:hAnsi="Calibri"/>
                <w:b/>
                <w:color w:val="FFFFFF"/>
                <w:sz w:val="20"/>
              </w:rPr>
              <w:t>Description</w:t>
            </w:r>
          </w:p>
        </w:tc>
        <w:tc>
          <w:tcPr>
            <w:tcW w:type="dxa" w:w="3120"/>
            <w:shd w:val="clear" w:color="auto" w:fill="0D1B2A"/>
            <w:vAlign w:val="center"/>
          </w:tcPr>
          <w:p>
            <w:pPr>
              <w:jc w:val="center"/>
            </w:pPr>
            <w:r/>
            <w:r>
              <w:rPr>
                <w:rFonts w:ascii="Calibri" w:hAnsi="Calibri"/>
                <w:b/>
                <w:color w:val="FFFFFF"/>
                <w:sz w:val="20"/>
              </w:rPr>
              <w:t>Output Type</w:t>
            </w:r>
          </w:p>
        </w:tc>
      </w:tr>
      <w:tr>
        <w:tc>
          <w:tcPr>
            <w:tcW w:type="dxa" w:w="3120"/>
            <w:shd w:val="clear" w:color="auto" w:fill="0D1B2A"/>
          </w:tcPr>
          <w:p>
            <w:pPr>
              <w:jc w:val="center"/>
            </w:pPr>
            <w:r>
              <w:rPr>
                <w:rFonts w:ascii="Calibri" w:hAnsi="Calibri"/>
                <w:b/>
                <w:color w:val="218BC6"/>
                <w:sz w:val="22"/>
              </w:rPr>
              <w:t>OBSERVE</w:t>
            </w:r>
          </w:p>
        </w:tc>
        <w:tc>
          <w:tcPr>
            <w:tcW w:type="dxa" w:w="3120"/>
            <w:shd w:val="clear" w:color="auto" w:fill="FDFEFE"/>
          </w:tcPr>
          <w:p>
            <w:r>
              <w:rPr>
                <w:rFonts w:ascii="Calibri" w:hAnsi="Calibri"/>
                <w:color w:val="2C3E50"/>
                <w:sz w:val="19"/>
              </w:rPr>
              <w:t>Raw telemetry ingestion, CVE feed consumption, asset state collection.</w:t>
            </w:r>
          </w:p>
        </w:tc>
        <w:tc>
          <w:tcPr>
            <w:tcW w:type="dxa" w:w="3120"/>
            <w:shd w:val="clear" w:color="auto" w:fill="FDFEFE"/>
          </w:tcPr>
          <w:p>
            <w:r>
              <w:rPr>
                <w:rFonts w:ascii="Calibri" w:hAnsi="Calibri"/>
                <w:b/>
                <w:color w:val="1B4F72"/>
                <w:sz w:val="19"/>
              </w:rPr>
              <w:t>ObservationContext object</w:t>
            </w:r>
          </w:p>
        </w:tc>
      </w:tr>
      <w:tr>
        <w:tc>
          <w:tcPr>
            <w:tcW w:type="dxa" w:w="3120"/>
            <w:shd w:val="clear" w:color="auto" w:fill="0D1B2A"/>
          </w:tcPr>
          <w:p>
            <w:pPr>
              <w:jc w:val="center"/>
            </w:pPr>
            <w:r>
              <w:rPr>
                <w:rFonts w:ascii="Calibri" w:hAnsi="Calibri"/>
                <w:b/>
                <w:color w:val="218BC6"/>
                <w:sz w:val="22"/>
              </w:rPr>
              <w:t>REASON</w:t>
            </w:r>
          </w:p>
        </w:tc>
        <w:tc>
          <w:tcPr>
            <w:tcW w:type="dxa" w:w="3120"/>
            <w:shd w:val="clear" w:color="auto" w:fill="EBF5FB"/>
          </w:tcPr>
          <w:p>
            <w:r>
              <w:rPr>
                <w:rFonts w:ascii="Calibri" w:hAnsi="Calibri"/>
                <w:color w:val="2C3E50"/>
                <w:sz w:val="19"/>
              </w:rPr>
              <w:t>LLM (Foundation-Sec-8B) or heuristic analysis of the observation context. Generates candidate action plans and hypotheses.</w:t>
            </w:r>
          </w:p>
        </w:tc>
        <w:tc>
          <w:tcPr>
            <w:tcW w:type="dxa" w:w="3120"/>
            <w:shd w:val="clear" w:color="auto" w:fill="EBF5FB"/>
          </w:tcPr>
          <w:p>
            <w:r>
              <w:rPr>
                <w:rFonts w:ascii="Calibri" w:hAnsi="Calibri"/>
                <w:b/>
                <w:color w:val="1B4F72"/>
                <w:sz w:val="19"/>
              </w:rPr>
              <w:t>ReasoningResult</w:t>
            </w:r>
          </w:p>
        </w:tc>
      </w:tr>
      <w:tr>
        <w:tc>
          <w:tcPr>
            <w:tcW w:type="dxa" w:w="3120"/>
            <w:shd w:val="clear" w:color="auto" w:fill="0D1B2A"/>
          </w:tcPr>
          <w:p>
            <w:pPr>
              <w:jc w:val="center"/>
            </w:pPr>
            <w:r>
              <w:rPr>
                <w:rFonts w:ascii="Calibri" w:hAnsi="Calibri"/>
                <w:b/>
                <w:color w:val="218BC6"/>
                <w:sz w:val="22"/>
              </w:rPr>
              <w:t>GATE</w:t>
            </w:r>
          </w:p>
        </w:tc>
        <w:tc>
          <w:tcPr>
            <w:tcW w:type="dxa" w:w="3120"/>
            <w:shd w:val="clear" w:color="auto" w:fill="FDFEFE"/>
          </w:tcPr>
          <w:p>
            <w:r>
              <w:rPr>
                <w:rFonts w:ascii="Calibri" w:hAnsi="Calibri"/>
                <w:color w:val="2C3E50"/>
                <w:sz w:val="19"/>
              </w:rPr>
              <w:t>Structurally independent policy evaluation by the deterministic Policy Engine and RoE Enforcer. LLM cannot override this phase. Outputs: GRANT or DENY. A DENY triggers escalation, not execution.</w:t>
            </w:r>
          </w:p>
        </w:tc>
        <w:tc>
          <w:tcPr>
            <w:tcW w:type="dxa" w:w="3120"/>
            <w:shd w:val="clear" w:color="auto" w:fill="FDFEFE"/>
          </w:tcPr>
          <w:p>
            <w:r>
              <w:rPr>
                <w:rFonts w:ascii="Calibri" w:hAnsi="Calibri"/>
                <w:b/>
                <w:color w:val="1B4F72"/>
                <w:sz w:val="19"/>
              </w:rPr>
              <w:t>GateDecision</w:t>
            </w:r>
          </w:p>
        </w:tc>
      </w:tr>
      <w:tr>
        <w:tc>
          <w:tcPr>
            <w:tcW w:type="dxa" w:w="3120"/>
            <w:shd w:val="clear" w:color="auto" w:fill="0D1B2A"/>
          </w:tcPr>
          <w:p>
            <w:pPr>
              <w:jc w:val="center"/>
            </w:pPr>
            <w:r>
              <w:rPr>
                <w:rFonts w:ascii="Calibri" w:hAnsi="Calibri"/>
                <w:b/>
                <w:color w:val="218BC6"/>
                <w:sz w:val="22"/>
              </w:rPr>
              <w:t>ACT</w:t>
            </w:r>
          </w:p>
        </w:tc>
        <w:tc>
          <w:tcPr>
            <w:tcW w:type="dxa" w:w="3120"/>
            <w:shd w:val="clear" w:color="auto" w:fill="EBF5FB"/>
          </w:tcPr>
          <w:p>
            <w:r>
              <w:rPr>
                <w:rFonts w:ascii="Calibri" w:hAnsi="Calibri"/>
                <w:color w:val="2C3E50"/>
                <w:sz w:val="19"/>
              </w:rPr>
              <w:t>Tool execution with schema-pinned contracts (SchemaPin). Every tool call is signed, logged, and appended to the hash-chained audit journal.</w:t>
            </w:r>
          </w:p>
        </w:tc>
        <w:tc>
          <w:tcPr>
            <w:tcW w:type="dxa" w:w="3120"/>
            <w:shd w:val="clear" w:color="auto" w:fill="EBF5FB"/>
          </w:tcPr>
          <w:p>
            <w:r>
              <w:rPr>
                <w:rFonts w:ascii="Calibri" w:hAnsi="Calibri"/>
                <w:b/>
                <w:color w:val="1B4F72"/>
                <w:sz w:val="19"/>
              </w:rPr>
              <w:t>ActionResult</w:t>
            </w:r>
          </w:p>
        </w:tc>
      </w:tr>
    </w:tbl>
    <w:p/>
    <w:p>
      <w:pPr>
        <w:spacing w:before="240" w:after="80"/>
        <w:pBdr>
          <w:bottom w:val="single" w:sz="6" w:space="1" w:color="1B4F72"/>
        </w:pBdr>
      </w:pPr>
      <w:r>
        <w:rPr>
          <w:rFonts w:ascii="Calibri" w:hAnsi="Calibri"/>
          <w:b/>
          <w:color w:val="1B4F72"/>
          <w:sz w:val="24"/>
        </w:rPr>
        <w:t>9.3 Audit Journal — Cryptographic Hash Chain</w:t>
      </w:r>
    </w:p>
    <w:p>
      <w:pPr>
        <w:spacing w:before="40" w:after="80"/>
      </w:pPr>
      <w:r>
        <w:rPr>
          <w:rFonts w:ascii="Calibri" w:hAnsi="Calibri"/>
          <w:color w:val="2C3E50"/>
          <w:sz w:val="21"/>
        </w:rPr>
        <w:t>The audit journal is an append-only JSONL ledger. Each entry E_i contains:</w:t>
        <w:br/>
        <w:t xml:space="preserve">  • previous_hash: H(E_{i-1})</w:t>
        <w:br/>
        <w:t xml:space="preserve">  • entry_hash: H(timestamp ∥ agent_id ∥ action ∥ payload_hash ∥ previous_hash)</w:t>
        <w:br/>
        <w:t xml:space="preserve">  • signature: Sign_{agent_key}(entry_hash) via Ed25519</w:t>
        <w:br/>
        <w:br/>
        <w:t>Verification traverses the entire chain from the genesis block. Any alteration, deletion, or reordering of any entry breaks the chain and is immediately detected by 'acid audit verify'.</w:t>
      </w:r>
    </w:p>
    <w:p>
      <w:r>
        <w:br w:type="page"/>
      </w:r>
    </w:p>
    <w:p>
      <w:pPr>
        <w:spacing w:before="320" w:after="80"/>
        <w:shd w:val="clear" w:color="auto" w:fill="0D1B2A"/>
        <w:ind w:left="170" w:right="170"/>
      </w:pPr>
      <w:r>
        <w:rPr>
          <w:rFonts w:ascii="Calibri" w:hAnsi="Calibri"/>
          <w:b/>
          <w:color w:val="FFFFFF"/>
          <w:sz w:val="30"/>
        </w:rPr>
        <w:t>10. PROJECT STRUCTURE — FILE-WISE BREAKDOWN</w:t>
      </w:r>
    </w:p>
    <w:p>
      <w:pPr>
        <w:spacing w:before="40" w:after="80"/>
      </w:pPr>
      <w:r>
        <w:rPr>
          <w:rFonts w:ascii="Calibri" w:hAnsi="Calibri"/>
          <w:color w:val="2C3E50"/>
          <w:sz w:val="21"/>
        </w:rPr>
        <w:t>The ACID model is organized as a structured Python package with clearly separated concerns. Each module has a single, well-defined responsibility.</w:t>
      </w:r>
    </w:p>
    <w:tbl>
      <w:tblPr>
        <w:tblStyle w:val="TableGrid"/>
        <w:tblW w:type="auto" w:w="0"/>
        <w:tblLook w:firstColumn="1" w:firstRow="1" w:lastColumn="0" w:lastRow="0" w:noHBand="0" w:noVBand="1" w:val="04A0"/>
      </w:tblPr>
      <w:tblGrid>
        <w:gridCol w:w="3685"/>
        <w:gridCol w:w="5669"/>
      </w:tblGrid>
      <w:tr>
        <w:tc>
          <w:tcPr>
            <w:tcW w:type="dxa" w:w="4680"/>
            <w:shd w:val="clear" w:color="auto" w:fill="0D1B2A"/>
            <w:vAlign w:val="center"/>
          </w:tcPr>
          <w:p>
            <w:pPr>
              <w:jc w:val="center"/>
            </w:pPr>
            <w:r/>
            <w:r>
              <w:rPr>
                <w:rFonts w:ascii="Calibri" w:hAnsi="Calibri"/>
                <w:b/>
                <w:color w:val="FFFFFF"/>
                <w:sz w:val="20"/>
              </w:rPr>
              <w:t>File Path</w:t>
            </w:r>
          </w:p>
        </w:tc>
        <w:tc>
          <w:tcPr>
            <w:tcW w:type="dxa" w:w="4680"/>
            <w:shd w:val="clear" w:color="auto" w:fill="0D1B2A"/>
            <w:vAlign w:val="center"/>
          </w:tcPr>
          <w:p>
            <w:pPr>
              <w:jc w:val="center"/>
            </w:pPr>
            <w:r/>
            <w:r>
              <w:rPr>
                <w:rFonts w:ascii="Calibri" w:hAnsi="Calibri"/>
                <w:b/>
                <w:color w:val="FFFFFF"/>
                <w:sz w:val="20"/>
              </w:rPr>
              <w:t>Purpose &amp; Responsibility</w:t>
            </w:r>
          </w:p>
        </w:tc>
      </w:tr>
      <w:tr>
        <w:tc>
          <w:tcPr>
            <w:tcW w:type="dxa" w:w="4680"/>
            <w:shd w:val="clear" w:color="auto" w:fill="1B4F72"/>
          </w:tcPr>
          <w:p>
            <w:r>
              <w:rPr>
                <w:rFonts w:ascii="Courier New" w:hAnsi="Courier New"/>
                <w:color w:val="FFFFFF"/>
                <w:sz w:val="17"/>
              </w:rPr>
              <w:t>acid/__init__.py</w:t>
            </w:r>
          </w:p>
        </w:tc>
        <w:tc>
          <w:tcPr>
            <w:tcW w:type="dxa" w:w="4680"/>
            <w:shd w:val="clear" w:color="auto" w:fill="FDFEFE"/>
          </w:tcPr>
          <w:p>
            <w:r>
              <w:rPr>
                <w:rFonts w:ascii="Calibri" w:hAnsi="Calibri"/>
                <w:color w:val="2C3E50"/>
                <w:sz w:val="19"/>
              </w:rPr>
              <w:t>Package entry-point. Exposes version, model metadata, and top-level API symbols.</w:t>
            </w:r>
          </w:p>
        </w:tc>
      </w:tr>
      <w:tr>
        <w:tc>
          <w:tcPr>
            <w:tcW w:type="dxa" w:w="4680"/>
            <w:shd w:val="clear" w:color="auto" w:fill="1E8BC3"/>
          </w:tcPr>
          <w:p>
            <w:r>
              <w:rPr>
                <w:rFonts w:ascii="Courier New" w:hAnsi="Courier New"/>
                <w:color w:val="FFFFFF"/>
                <w:sz w:val="17"/>
              </w:rPr>
              <w:t>acid/cli.py</w:t>
            </w:r>
          </w:p>
        </w:tc>
        <w:tc>
          <w:tcPr>
            <w:tcW w:type="dxa" w:w="4680"/>
            <w:shd w:val="clear" w:color="auto" w:fill="EBF5FB"/>
          </w:tcPr>
          <w:p>
            <w:r>
              <w:rPr>
                <w:rFonts w:ascii="Calibri" w:hAnsi="Calibri"/>
                <w:color w:val="2C3E50"/>
                <w:sz w:val="19"/>
              </w:rPr>
              <w:t>Primary CLI interface. Implements all operator commands: run, triage, score, ingest, train, evaluate, causal, audit.</w:t>
            </w:r>
          </w:p>
        </w:tc>
      </w:tr>
      <w:tr>
        <w:tc>
          <w:tcPr>
            <w:tcW w:type="dxa" w:w="4680"/>
            <w:shd w:val="clear" w:color="auto" w:fill="1B4F72"/>
          </w:tcPr>
          <w:p>
            <w:r>
              <w:rPr>
                <w:rFonts w:ascii="Courier New" w:hAnsi="Courier New"/>
                <w:color w:val="FFFFFF"/>
                <w:sz w:val="17"/>
              </w:rPr>
              <w:t>acid/config.py</w:t>
            </w:r>
          </w:p>
        </w:tc>
        <w:tc>
          <w:tcPr>
            <w:tcW w:type="dxa" w:w="4680"/>
            <w:shd w:val="clear" w:color="auto" w:fill="FDFEFE"/>
          </w:tcPr>
          <w:p>
            <w:r>
              <w:rPr>
                <w:rFonts w:ascii="Calibri" w:hAnsi="Calibri"/>
                <w:color w:val="2C3E50"/>
                <w:sz w:val="19"/>
              </w:rPr>
              <w:t>Centralized configuration management. Loads environment variables, validates schemas, and provides typed config objects.</w:t>
            </w:r>
          </w:p>
        </w:tc>
      </w:tr>
      <w:tr>
        <w:tc>
          <w:tcPr>
            <w:tcW w:type="dxa" w:w="4680"/>
            <w:shd w:val="clear" w:color="auto" w:fill="1E8BC3"/>
          </w:tcPr>
          <w:p>
            <w:r>
              <w:rPr>
                <w:rFonts w:ascii="Courier New" w:hAnsi="Courier New"/>
                <w:color w:val="FFFFFF"/>
                <w:sz w:val="17"/>
              </w:rPr>
              <w:t>acid/agents/base.py</w:t>
            </w:r>
          </w:p>
        </w:tc>
        <w:tc>
          <w:tcPr>
            <w:tcW w:type="dxa" w:w="4680"/>
            <w:shd w:val="clear" w:color="auto" w:fill="EBF5FB"/>
          </w:tcPr>
          <w:p>
            <w:r>
              <w:rPr>
                <w:rFonts w:ascii="Calibri" w:hAnsi="Calibri"/>
                <w:color w:val="2C3E50"/>
                <w:sz w:val="19"/>
              </w:rPr>
              <w:t>Abstract BaseAgent class. Defines the contract (run, subscribe, publish) for all agents. Enforces ORGA loop integration.</w:t>
            </w:r>
          </w:p>
        </w:tc>
      </w:tr>
      <w:tr>
        <w:tc>
          <w:tcPr>
            <w:tcW w:type="dxa" w:w="4680"/>
            <w:shd w:val="clear" w:color="auto" w:fill="1B4F72"/>
          </w:tcPr>
          <w:p>
            <w:r>
              <w:rPr>
                <w:rFonts w:ascii="Courier New" w:hAnsi="Courier New"/>
                <w:color w:val="FFFFFF"/>
                <w:sz w:val="17"/>
              </w:rPr>
              <w:t>acid/agents/supervisor.py</w:t>
            </w:r>
          </w:p>
        </w:tc>
        <w:tc>
          <w:tcPr>
            <w:tcW w:type="dxa" w:w="4680"/>
            <w:shd w:val="clear" w:color="auto" w:fill="FDFEFE"/>
          </w:tcPr>
          <w:p>
            <w:r>
              <w:rPr>
                <w:rFonts w:ascii="Calibri" w:hAnsi="Calibri"/>
                <w:color w:val="2C3E50"/>
                <w:sz w:val="19"/>
              </w:rPr>
              <w:t>Supervisor Agent. Top-level coordinator managing agent lifecycles, event loop, health checks, and task dispatching.</w:t>
            </w:r>
          </w:p>
        </w:tc>
      </w:tr>
      <w:tr>
        <w:tc>
          <w:tcPr>
            <w:tcW w:type="dxa" w:w="4680"/>
            <w:shd w:val="clear" w:color="auto" w:fill="1E8BC3"/>
          </w:tcPr>
          <w:p>
            <w:r>
              <w:rPr>
                <w:rFonts w:ascii="Courier New" w:hAnsi="Courier New"/>
                <w:color w:val="FFFFFF"/>
                <w:sz w:val="17"/>
              </w:rPr>
              <w:t>acid/agents/triage.py</w:t>
            </w:r>
          </w:p>
        </w:tc>
        <w:tc>
          <w:tcPr>
            <w:tcW w:type="dxa" w:w="4680"/>
            <w:shd w:val="clear" w:color="auto" w:fill="EBF5FB"/>
          </w:tcPr>
          <w:p>
            <w:r>
              <w:rPr>
                <w:rFonts w:ascii="Calibri" w:hAnsi="Calibri"/>
                <w:color w:val="2C3E50"/>
                <w:sz w:val="19"/>
              </w:rPr>
              <w:t>Triage Agent. Computes dynamic risk scores, applies KEV floors, and publishes prioritized vulnerability alerts.</w:t>
            </w:r>
          </w:p>
        </w:tc>
      </w:tr>
      <w:tr>
        <w:tc>
          <w:tcPr>
            <w:tcW w:type="dxa" w:w="4680"/>
            <w:shd w:val="clear" w:color="auto" w:fill="1B4F72"/>
          </w:tcPr>
          <w:p>
            <w:r>
              <w:rPr>
                <w:rFonts w:ascii="Courier New" w:hAnsi="Courier New"/>
                <w:color w:val="FFFFFF"/>
                <w:sz w:val="17"/>
              </w:rPr>
              <w:t>acid/agents/remediation.py</w:t>
            </w:r>
          </w:p>
        </w:tc>
        <w:tc>
          <w:tcPr>
            <w:tcW w:type="dxa" w:w="4680"/>
            <w:shd w:val="clear" w:color="auto" w:fill="FDFEFE"/>
          </w:tcPr>
          <w:p>
            <w:r>
              <w:rPr>
                <w:rFonts w:ascii="Calibri" w:hAnsi="Calibri"/>
                <w:color w:val="2C3E50"/>
                <w:sz w:val="19"/>
              </w:rPr>
              <w:t>Remediation Agent. Synthesizes patches, configuration workarounds, and compensating controls ranked by causal path breakage.</w:t>
            </w:r>
          </w:p>
        </w:tc>
      </w:tr>
      <w:tr>
        <w:tc>
          <w:tcPr>
            <w:tcW w:type="dxa" w:w="4680"/>
            <w:shd w:val="clear" w:color="auto" w:fill="1E8BC3"/>
          </w:tcPr>
          <w:p>
            <w:r>
              <w:rPr>
                <w:rFonts w:ascii="Courier New" w:hAnsi="Courier New"/>
                <w:color w:val="FFFFFF"/>
                <w:sz w:val="17"/>
              </w:rPr>
              <w:t>acid/agents/verification.py</w:t>
            </w:r>
          </w:p>
        </w:tc>
        <w:tc>
          <w:tcPr>
            <w:tcW w:type="dxa" w:w="4680"/>
            <w:shd w:val="clear" w:color="auto" w:fill="EBF5FB"/>
          </w:tcPr>
          <w:p>
            <w:r>
              <w:rPr>
                <w:rFonts w:ascii="Calibri" w:hAnsi="Calibri"/>
                <w:color w:val="2C3E50"/>
                <w:sz w:val="19"/>
              </w:rPr>
              <w:t>Verification Agent. Validates remediation efficacy and confirms attack path breakage via CPG queries.</w:t>
            </w:r>
          </w:p>
        </w:tc>
      </w:tr>
      <w:tr>
        <w:tc>
          <w:tcPr>
            <w:tcW w:type="dxa" w:w="4680"/>
            <w:shd w:val="clear" w:color="auto" w:fill="1B4F72"/>
          </w:tcPr>
          <w:p>
            <w:r>
              <w:rPr>
                <w:rFonts w:ascii="Courier New" w:hAnsi="Courier New"/>
                <w:color w:val="FFFFFF"/>
                <w:sz w:val="17"/>
              </w:rPr>
              <w:t>acid/agents/governance.py</w:t>
            </w:r>
          </w:p>
        </w:tc>
        <w:tc>
          <w:tcPr>
            <w:tcW w:type="dxa" w:w="4680"/>
            <w:shd w:val="clear" w:color="auto" w:fill="FDFEFE"/>
          </w:tcPr>
          <w:p>
            <w:r>
              <w:rPr>
                <w:rFonts w:ascii="Calibri" w:hAnsi="Calibri"/>
                <w:color w:val="2C3E50"/>
                <w:sz w:val="19"/>
              </w:rPr>
              <w:t>Governance Agent. Enforces organizational policy DSL, manages human-in-the-loop escalation gates, and RoE compliance.</w:t>
            </w:r>
          </w:p>
        </w:tc>
      </w:tr>
      <w:tr>
        <w:tc>
          <w:tcPr>
            <w:tcW w:type="dxa" w:w="4680"/>
            <w:shd w:val="clear" w:color="auto" w:fill="1E8BC3"/>
          </w:tcPr>
          <w:p>
            <w:r>
              <w:rPr>
                <w:rFonts w:ascii="Courier New" w:hAnsi="Courier New"/>
                <w:color w:val="FFFFFF"/>
                <w:sz w:val="17"/>
              </w:rPr>
              <w:t>acid/agents/causal_reasoning.py</w:t>
            </w:r>
          </w:p>
        </w:tc>
        <w:tc>
          <w:tcPr>
            <w:tcW w:type="dxa" w:w="4680"/>
            <w:shd w:val="clear" w:color="auto" w:fill="EBF5FB"/>
          </w:tcPr>
          <w:p>
            <w:r>
              <w:rPr>
                <w:rFonts w:ascii="Calibri" w:hAnsi="Calibri"/>
                <w:color w:val="2C3E50"/>
                <w:sz w:val="19"/>
              </w:rPr>
              <w:t>Causal Reasoning Agent. Queries SCM and CPG; computes blast radius, intervention probabilities, and counterfactuals.</w:t>
            </w:r>
          </w:p>
        </w:tc>
      </w:tr>
      <w:tr>
        <w:tc>
          <w:tcPr>
            <w:tcW w:type="dxa" w:w="4680"/>
            <w:shd w:val="clear" w:color="auto" w:fill="1B4F72"/>
          </w:tcPr>
          <w:p>
            <w:r>
              <w:rPr>
                <w:rFonts w:ascii="Courier New" w:hAnsi="Courier New"/>
                <w:color w:val="FFFFFF"/>
                <w:sz w:val="17"/>
              </w:rPr>
              <w:t>acid/agents/red_team.py</w:t>
            </w:r>
          </w:p>
        </w:tc>
        <w:tc>
          <w:tcPr>
            <w:tcW w:type="dxa" w:w="4680"/>
            <w:shd w:val="clear" w:color="auto" w:fill="FDFEFE"/>
          </w:tcPr>
          <w:p>
            <w:r>
              <w:rPr>
                <w:rFonts w:ascii="Calibri" w:hAnsi="Calibri"/>
                <w:color w:val="2C3E50"/>
                <w:sz w:val="19"/>
              </w:rPr>
              <w:t>Red Team Agent. Authorized offensive testing orchestration. Disabled by default; requires signed RoE.</w:t>
            </w:r>
          </w:p>
        </w:tc>
      </w:tr>
      <w:tr>
        <w:tc>
          <w:tcPr>
            <w:tcW w:type="dxa" w:w="4680"/>
            <w:shd w:val="clear" w:color="auto" w:fill="1E8BC3"/>
          </w:tcPr>
          <w:p>
            <w:r>
              <w:rPr>
                <w:rFonts w:ascii="Courier New" w:hAnsi="Courier New"/>
                <w:color w:val="FFFFFF"/>
                <w:sz w:val="17"/>
              </w:rPr>
              <w:t>acid/agents/purple_team.py</w:t>
            </w:r>
          </w:p>
        </w:tc>
        <w:tc>
          <w:tcPr>
            <w:tcW w:type="dxa" w:w="4680"/>
            <w:shd w:val="clear" w:color="auto" w:fill="EBF5FB"/>
          </w:tcPr>
          <w:p>
            <w:r>
              <w:rPr>
                <w:rFonts w:ascii="Calibri" w:hAnsi="Calibri"/>
                <w:color w:val="2C3E50"/>
                <w:sz w:val="19"/>
              </w:rPr>
              <w:t>Purple Team Agent. Correlates red team simulation telemetry with blue team detection gaps.</w:t>
            </w:r>
          </w:p>
        </w:tc>
      </w:tr>
      <w:tr>
        <w:tc>
          <w:tcPr>
            <w:tcW w:type="dxa" w:w="4680"/>
            <w:shd w:val="clear" w:color="auto" w:fill="1B4F72"/>
          </w:tcPr>
          <w:p>
            <w:r>
              <w:rPr>
                <w:rFonts w:ascii="Courier New" w:hAnsi="Courier New"/>
                <w:color w:val="FFFFFF"/>
                <w:sz w:val="17"/>
              </w:rPr>
              <w:t>acid/agents/attack_path.py</w:t>
            </w:r>
          </w:p>
        </w:tc>
        <w:tc>
          <w:tcPr>
            <w:tcW w:type="dxa" w:w="4680"/>
            <w:shd w:val="clear" w:color="auto" w:fill="FDFEFE"/>
          </w:tcPr>
          <w:p>
            <w:r>
              <w:rPr>
                <w:rFonts w:ascii="Calibri" w:hAnsi="Calibri"/>
                <w:color w:val="2C3E50"/>
                <w:sz w:val="19"/>
              </w:rPr>
              <w:t>Attack Path Agent. Discovers multi-hop lateral movement chains from perimeter to crown-jewel assets via CPG traversal.</w:t>
            </w:r>
          </w:p>
        </w:tc>
      </w:tr>
      <w:tr>
        <w:tc>
          <w:tcPr>
            <w:tcW w:type="dxa" w:w="4680"/>
            <w:shd w:val="clear" w:color="auto" w:fill="1E8BC3"/>
          </w:tcPr>
          <w:p>
            <w:r>
              <w:rPr>
                <w:rFonts w:ascii="Courier New" w:hAnsi="Courier New"/>
                <w:color w:val="FFFFFF"/>
                <w:sz w:val="17"/>
              </w:rPr>
              <w:t>acid/agents/c2_simulation.py</w:t>
            </w:r>
          </w:p>
        </w:tc>
        <w:tc>
          <w:tcPr>
            <w:tcW w:type="dxa" w:w="4680"/>
            <w:shd w:val="clear" w:color="auto" w:fill="EBF5FB"/>
          </w:tcPr>
          <w:p>
            <w:r>
              <w:rPr>
                <w:rFonts w:ascii="Calibri" w:hAnsi="Calibri"/>
                <w:color w:val="2C3E50"/>
                <w:sz w:val="19"/>
              </w:rPr>
              <w:t>C2 Simulation Agent. Safe simulation of command-and-control channels to validate egress filtering controls.</w:t>
            </w:r>
          </w:p>
        </w:tc>
      </w:tr>
      <w:tr>
        <w:tc>
          <w:tcPr>
            <w:tcW w:type="dxa" w:w="4680"/>
            <w:shd w:val="clear" w:color="auto" w:fill="1B4F72"/>
          </w:tcPr>
          <w:p>
            <w:r>
              <w:rPr>
                <w:rFonts w:ascii="Courier New" w:hAnsi="Courier New"/>
                <w:color w:val="FFFFFF"/>
                <w:sz w:val="17"/>
              </w:rPr>
              <w:t>acid/agents/adversary_emulation.py</w:t>
            </w:r>
          </w:p>
        </w:tc>
        <w:tc>
          <w:tcPr>
            <w:tcW w:type="dxa" w:w="4680"/>
            <w:shd w:val="clear" w:color="auto" w:fill="FDFEFE"/>
          </w:tcPr>
          <w:p>
            <w:r>
              <w:rPr>
                <w:rFonts w:ascii="Calibri" w:hAnsi="Calibri"/>
                <w:color w:val="2C3E50"/>
                <w:sz w:val="19"/>
              </w:rPr>
              <w:t>Adversary Emulation Agent. Executes realistic threat actor TTPs mapped to MITRE ATT&amp;CK framework.</w:t>
            </w:r>
          </w:p>
        </w:tc>
      </w:tr>
      <w:tr>
        <w:tc>
          <w:tcPr>
            <w:tcW w:type="dxa" w:w="4680"/>
            <w:shd w:val="clear" w:color="auto" w:fill="1E8BC3"/>
          </w:tcPr>
          <w:p>
            <w:r>
              <w:rPr>
                <w:rFonts w:ascii="Courier New" w:hAnsi="Courier New"/>
                <w:color w:val="FFFFFF"/>
                <w:sz w:val="17"/>
              </w:rPr>
              <w:t>acid/causal/cpg_builder.py</w:t>
            </w:r>
          </w:p>
        </w:tc>
        <w:tc>
          <w:tcPr>
            <w:tcW w:type="dxa" w:w="4680"/>
            <w:shd w:val="clear" w:color="auto" w:fill="EBF5FB"/>
          </w:tcPr>
          <w:p>
            <w:r>
              <w:rPr>
                <w:rFonts w:ascii="Calibri" w:hAnsi="Calibri"/>
                <w:color w:val="2C3E50"/>
                <w:sz w:val="19"/>
              </w:rPr>
              <w:t>Constructs and queries the Code Property Graph (CPG). Merges AST, CFG, DFG, network topology, and CVE linkage.</w:t>
            </w:r>
          </w:p>
        </w:tc>
      </w:tr>
      <w:tr>
        <w:tc>
          <w:tcPr>
            <w:tcW w:type="dxa" w:w="4680"/>
            <w:shd w:val="clear" w:color="auto" w:fill="1B4F72"/>
          </w:tcPr>
          <w:p>
            <w:r>
              <w:rPr>
                <w:rFonts w:ascii="Courier New" w:hAnsi="Courier New"/>
                <w:color w:val="FFFFFF"/>
                <w:sz w:val="17"/>
              </w:rPr>
              <w:t>acid/causal/scm.py</w:t>
            </w:r>
          </w:p>
        </w:tc>
        <w:tc>
          <w:tcPr>
            <w:tcW w:type="dxa" w:w="4680"/>
            <w:shd w:val="clear" w:color="auto" w:fill="FDFEFE"/>
          </w:tcPr>
          <w:p>
            <w:r>
              <w:rPr>
                <w:rFonts w:ascii="Calibri" w:hAnsi="Calibri"/>
                <w:color w:val="2C3E50"/>
                <w:sz w:val="19"/>
              </w:rPr>
              <w:t>Implements the Structural Causal Model (SCM). Applies Pearl's do-calculus for intervention probability computation.</w:t>
            </w:r>
          </w:p>
        </w:tc>
      </w:tr>
      <w:tr>
        <w:tc>
          <w:tcPr>
            <w:tcW w:type="dxa" w:w="4680"/>
            <w:shd w:val="clear" w:color="auto" w:fill="1E8BC3"/>
          </w:tcPr>
          <w:p>
            <w:r>
              <w:rPr>
                <w:rFonts w:ascii="Courier New" w:hAnsi="Courier New"/>
                <w:color w:val="FFFFFF"/>
                <w:sz w:val="17"/>
              </w:rPr>
              <w:t>acid/causal/counterfactual.py</w:t>
            </w:r>
          </w:p>
        </w:tc>
        <w:tc>
          <w:tcPr>
            <w:tcW w:type="dxa" w:w="4680"/>
            <w:shd w:val="clear" w:color="auto" w:fill="EBF5FB"/>
          </w:tcPr>
          <w:p>
            <w:r>
              <w:rPr>
                <w:rFonts w:ascii="Calibri" w:hAnsi="Calibri"/>
                <w:color w:val="2C3E50"/>
                <w:sz w:val="19"/>
              </w:rPr>
              <w:t>Counterfactual Engine. Answers L3 What-If queries: path breakage probability given a remediation action.</w:t>
            </w:r>
          </w:p>
        </w:tc>
      </w:tr>
      <w:tr>
        <w:tc>
          <w:tcPr>
            <w:tcW w:type="dxa" w:w="4680"/>
            <w:shd w:val="clear" w:color="auto" w:fill="1B4F72"/>
          </w:tcPr>
          <w:p>
            <w:r>
              <w:rPr>
                <w:rFonts w:ascii="Courier New" w:hAnsi="Courier New"/>
                <w:color w:val="FFFFFF"/>
                <w:sz w:val="17"/>
              </w:rPr>
              <w:t>acid/causal/gnn.py</w:t>
            </w:r>
          </w:p>
        </w:tc>
        <w:tc>
          <w:tcPr>
            <w:tcW w:type="dxa" w:w="4680"/>
            <w:shd w:val="clear" w:color="auto" w:fill="FDFEFE"/>
          </w:tcPr>
          <w:p>
            <w:r>
              <w:rPr>
                <w:rFonts w:ascii="Calibri" w:hAnsi="Calibri"/>
                <w:color w:val="2C3E50"/>
                <w:sz w:val="19"/>
              </w:rPr>
              <w:t>CausalVulGNN. Graph Neural Network for learning vulnerability propagation patterns over the CPG.</w:t>
            </w:r>
          </w:p>
        </w:tc>
      </w:tr>
      <w:tr>
        <w:tc>
          <w:tcPr>
            <w:tcW w:type="dxa" w:w="4680"/>
            <w:shd w:val="clear" w:color="auto" w:fill="1E8BC3"/>
          </w:tcPr>
          <w:p>
            <w:r>
              <w:rPr>
                <w:rFonts w:ascii="Courier New" w:hAnsi="Courier New"/>
                <w:color w:val="FFFFFF"/>
                <w:sz w:val="17"/>
              </w:rPr>
              <w:t>acid/zero_trust/orga_loop.py</w:t>
            </w:r>
          </w:p>
        </w:tc>
        <w:tc>
          <w:tcPr>
            <w:tcW w:type="dxa" w:w="4680"/>
            <w:shd w:val="clear" w:color="auto" w:fill="EBF5FB"/>
          </w:tcPr>
          <w:p>
            <w:r>
              <w:rPr>
                <w:rFonts w:ascii="Calibri" w:hAnsi="Calibri"/>
                <w:color w:val="2C3E50"/>
                <w:sz w:val="19"/>
              </w:rPr>
              <w:t>ORGA Loop state machine. Enforces Observe→Reason→Gate→Act sequence via ORGAPhaseError (TypeError subclass).</w:t>
            </w:r>
          </w:p>
        </w:tc>
      </w:tr>
      <w:tr>
        <w:tc>
          <w:tcPr>
            <w:tcW w:type="dxa" w:w="4680"/>
            <w:shd w:val="clear" w:color="auto" w:fill="1B4F72"/>
          </w:tcPr>
          <w:p>
            <w:r>
              <w:rPr>
                <w:rFonts w:ascii="Courier New" w:hAnsi="Courier New"/>
                <w:color w:val="FFFFFF"/>
                <w:sz w:val="17"/>
              </w:rPr>
              <w:t>acid/zero_trust/audit_journal.py</w:t>
            </w:r>
          </w:p>
        </w:tc>
        <w:tc>
          <w:tcPr>
            <w:tcW w:type="dxa" w:w="4680"/>
            <w:shd w:val="clear" w:color="auto" w:fill="FDFEFE"/>
          </w:tcPr>
          <w:p>
            <w:r>
              <w:rPr>
                <w:rFonts w:ascii="Calibri" w:hAnsi="Calibri"/>
                <w:color w:val="2C3E50"/>
                <w:sz w:val="19"/>
              </w:rPr>
              <w:t>Append-only SHA-256 hash-chained audit journal with Ed25519 agent signature verification.</w:t>
            </w:r>
          </w:p>
        </w:tc>
      </w:tr>
      <w:tr>
        <w:tc>
          <w:tcPr>
            <w:tcW w:type="dxa" w:w="4680"/>
            <w:shd w:val="clear" w:color="auto" w:fill="1E8BC3"/>
          </w:tcPr>
          <w:p>
            <w:r>
              <w:rPr>
                <w:rFonts w:ascii="Courier New" w:hAnsi="Courier New"/>
                <w:color w:val="FFFFFF"/>
                <w:sz w:val="17"/>
              </w:rPr>
              <w:t>acid/zero_trust/identity.py</w:t>
            </w:r>
          </w:p>
        </w:tc>
        <w:tc>
          <w:tcPr>
            <w:tcW w:type="dxa" w:w="4680"/>
            <w:shd w:val="clear" w:color="auto" w:fill="EBF5FB"/>
          </w:tcPr>
          <w:p>
            <w:r>
              <w:rPr>
                <w:rFonts w:ascii="Calibri" w:hAnsi="Calibri"/>
                <w:color w:val="2C3E50"/>
                <w:sz w:val="19"/>
              </w:rPr>
              <w:t>Agent cryptographic identity management. Ed25519 keypair generation, persistence, and event signing.</w:t>
            </w:r>
          </w:p>
        </w:tc>
      </w:tr>
      <w:tr>
        <w:tc>
          <w:tcPr>
            <w:tcW w:type="dxa" w:w="4680"/>
            <w:shd w:val="clear" w:color="auto" w:fill="1B4F72"/>
          </w:tcPr>
          <w:p>
            <w:r>
              <w:rPr>
                <w:rFonts w:ascii="Courier New" w:hAnsi="Courier New"/>
                <w:color w:val="FFFFFF"/>
                <w:sz w:val="17"/>
              </w:rPr>
              <w:t>acid/zero_trust/policy_engine.py</w:t>
            </w:r>
          </w:p>
        </w:tc>
        <w:tc>
          <w:tcPr>
            <w:tcW w:type="dxa" w:w="4680"/>
            <w:shd w:val="clear" w:color="auto" w:fill="FDFEFE"/>
          </w:tcPr>
          <w:p>
            <w:r>
              <w:rPr>
                <w:rFonts w:ascii="Calibri" w:hAnsi="Calibri"/>
                <w:color w:val="2C3E50"/>
                <w:sz w:val="19"/>
              </w:rPr>
              <w:t>Deny-by-default policy DSL evaluator. Evaluates structured policy rules against action request contexts.</w:t>
            </w:r>
          </w:p>
        </w:tc>
      </w:tr>
      <w:tr>
        <w:tc>
          <w:tcPr>
            <w:tcW w:type="dxa" w:w="4680"/>
            <w:shd w:val="clear" w:color="auto" w:fill="1E8BC3"/>
          </w:tcPr>
          <w:p>
            <w:r>
              <w:rPr>
                <w:rFonts w:ascii="Courier New" w:hAnsi="Courier New"/>
                <w:color w:val="FFFFFF"/>
                <w:sz w:val="17"/>
              </w:rPr>
              <w:t>acid/zero_trust/roe_engine.py</w:t>
            </w:r>
          </w:p>
        </w:tc>
        <w:tc>
          <w:tcPr>
            <w:tcW w:type="dxa" w:w="4680"/>
            <w:shd w:val="clear" w:color="auto" w:fill="EBF5FB"/>
          </w:tcPr>
          <w:p>
            <w:r>
              <w:rPr>
                <w:rFonts w:ascii="Calibri" w:hAnsi="Calibri"/>
                <w:color w:val="2C3E50"/>
                <w:sz w:val="19"/>
              </w:rPr>
              <w:t>Rules of Engagement enforcer. Validates scope (CIDR), time bounds, operation mode, and sandbox isolation.</w:t>
            </w:r>
          </w:p>
        </w:tc>
      </w:tr>
      <w:tr>
        <w:tc>
          <w:tcPr>
            <w:tcW w:type="dxa" w:w="4680"/>
            <w:shd w:val="clear" w:color="auto" w:fill="1B4F72"/>
          </w:tcPr>
          <w:p>
            <w:r>
              <w:rPr>
                <w:rFonts w:ascii="Courier New" w:hAnsi="Courier New"/>
                <w:color w:val="FFFFFF"/>
                <w:sz w:val="17"/>
              </w:rPr>
              <w:t>acid/zero_trust/scope_enforcer.py</w:t>
            </w:r>
          </w:p>
        </w:tc>
        <w:tc>
          <w:tcPr>
            <w:tcW w:type="dxa" w:w="4680"/>
            <w:shd w:val="clear" w:color="auto" w:fill="FDFEFE"/>
          </w:tcPr>
          <w:p>
            <w:r>
              <w:rPr>
                <w:rFonts w:ascii="Calibri" w:hAnsi="Calibri"/>
                <w:color w:val="2C3E50"/>
                <w:sz w:val="19"/>
              </w:rPr>
              <w:t>IP/domain scope validation. Ensures targets resolve within allowed CIDR ranges and outside excluded IPs.</w:t>
            </w:r>
          </w:p>
        </w:tc>
      </w:tr>
      <w:tr>
        <w:tc>
          <w:tcPr>
            <w:tcW w:type="dxa" w:w="4680"/>
            <w:shd w:val="clear" w:color="auto" w:fill="1E8BC3"/>
          </w:tcPr>
          <w:p>
            <w:r>
              <w:rPr>
                <w:rFonts w:ascii="Courier New" w:hAnsi="Courier New"/>
                <w:color w:val="FFFFFF"/>
                <w:sz w:val="17"/>
              </w:rPr>
              <w:t>acid/zero_trust/tool_contracts.py</w:t>
            </w:r>
          </w:p>
        </w:tc>
        <w:tc>
          <w:tcPr>
            <w:tcW w:type="dxa" w:w="4680"/>
            <w:shd w:val="clear" w:color="auto" w:fill="EBF5FB"/>
          </w:tcPr>
          <w:p>
            <w:r>
              <w:rPr>
                <w:rFonts w:ascii="Calibri" w:hAnsi="Calibri"/>
                <w:color w:val="2C3E50"/>
                <w:sz w:val="19"/>
              </w:rPr>
              <w:t>Tool SchemaPin contracts. SHA-256 hashes tool parameter schemas; rejects deviations from authorized manifests.</w:t>
            </w:r>
          </w:p>
        </w:tc>
      </w:tr>
      <w:tr>
        <w:tc>
          <w:tcPr>
            <w:tcW w:type="dxa" w:w="4680"/>
            <w:shd w:val="clear" w:color="auto" w:fill="1B4F72"/>
          </w:tcPr>
          <w:p>
            <w:r>
              <w:rPr>
                <w:rFonts w:ascii="Courier New" w:hAnsi="Courier New"/>
                <w:color w:val="FFFFFF"/>
                <w:sz w:val="17"/>
              </w:rPr>
              <w:t>acid/ml/feature_store.py</w:t>
            </w:r>
          </w:p>
        </w:tc>
        <w:tc>
          <w:tcPr>
            <w:tcW w:type="dxa" w:w="4680"/>
            <w:shd w:val="clear" w:color="auto" w:fill="FDFEFE"/>
          </w:tcPr>
          <w:p>
            <w:r>
              <w:rPr>
                <w:rFonts w:ascii="Calibri" w:hAnsi="Calibri"/>
                <w:color w:val="2C3E50"/>
                <w:sz w:val="19"/>
              </w:rPr>
              <w:t>Feature engineering pipeline. Extracts, normalizes, and stores ML features from raw vulnerability records.</w:t>
            </w:r>
          </w:p>
        </w:tc>
      </w:tr>
      <w:tr>
        <w:tc>
          <w:tcPr>
            <w:tcW w:type="dxa" w:w="4680"/>
            <w:shd w:val="clear" w:color="auto" w:fill="1E8BC3"/>
          </w:tcPr>
          <w:p>
            <w:r>
              <w:rPr>
                <w:rFonts w:ascii="Courier New" w:hAnsi="Courier New"/>
                <w:color w:val="FFFFFF"/>
                <w:sz w:val="17"/>
              </w:rPr>
              <w:t>acid/ml/train.py</w:t>
            </w:r>
          </w:p>
        </w:tc>
        <w:tc>
          <w:tcPr>
            <w:tcW w:type="dxa" w:w="4680"/>
            <w:shd w:val="clear" w:color="auto" w:fill="EBF5FB"/>
          </w:tcPr>
          <w:p>
            <w:r>
              <w:rPr>
                <w:rFonts w:ascii="Calibri" w:hAnsi="Calibri"/>
                <w:color w:val="2C3E50"/>
                <w:sz w:val="19"/>
              </w:rPr>
              <w:t>ML ensemble training pipeline. Trains XGBoost, LightGBM, and Random Forest with temporal validation splits.</w:t>
            </w:r>
          </w:p>
        </w:tc>
      </w:tr>
      <w:tr>
        <w:tc>
          <w:tcPr>
            <w:tcW w:type="dxa" w:w="4680"/>
            <w:shd w:val="clear" w:color="auto" w:fill="1B4F72"/>
          </w:tcPr>
          <w:p>
            <w:r>
              <w:rPr>
                <w:rFonts w:ascii="Courier New" w:hAnsi="Courier New"/>
                <w:color w:val="FFFFFF"/>
                <w:sz w:val="17"/>
              </w:rPr>
              <w:t>acid/ml/evaluate.py</w:t>
            </w:r>
          </w:p>
        </w:tc>
        <w:tc>
          <w:tcPr>
            <w:tcW w:type="dxa" w:w="4680"/>
            <w:shd w:val="clear" w:color="auto" w:fill="FDFEFE"/>
          </w:tcPr>
          <w:p>
            <w:r>
              <w:rPr>
                <w:rFonts w:ascii="Calibri" w:hAnsi="Calibri"/>
                <w:color w:val="2C3E50"/>
                <w:sz w:val="19"/>
              </w:rPr>
              <w:t>Model evaluation harness. Compares ACID ensemble against CVSS/EPSS baselines on held-out test sets.</w:t>
            </w:r>
          </w:p>
        </w:tc>
      </w:tr>
      <w:tr>
        <w:tc>
          <w:tcPr>
            <w:tcW w:type="dxa" w:w="4680"/>
            <w:shd w:val="clear" w:color="auto" w:fill="1E8BC3"/>
          </w:tcPr>
          <w:p>
            <w:r>
              <w:rPr>
                <w:rFonts w:ascii="Courier New" w:hAnsi="Courier New"/>
                <w:color w:val="FFFFFF"/>
                <w:sz w:val="17"/>
              </w:rPr>
              <w:t>acid/ml/predict.py</w:t>
            </w:r>
          </w:p>
        </w:tc>
        <w:tc>
          <w:tcPr>
            <w:tcW w:type="dxa" w:w="4680"/>
            <w:shd w:val="clear" w:color="auto" w:fill="EBF5FB"/>
          </w:tcPr>
          <w:p>
            <w:r>
              <w:rPr>
                <w:rFonts w:ascii="Calibri" w:hAnsi="Calibri"/>
                <w:color w:val="2C3E50"/>
                <w:sz w:val="19"/>
              </w:rPr>
              <w:t>Inference pipeline. Produces risk scores with SHAP attribution for new vulnerability records.</w:t>
            </w:r>
          </w:p>
        </w:tc>
      </w:tr>
      <w:tr>
        <w:tc>
          <w:tcPr>
            <w:tcW w:type="dxa" w:w="4680"/>
            <w:shd w:val="clear" w:color="auto" w:fill="1B4F72"/>
          </w:tcPr>
          <w:p>
            <w:r>
              <w:rPr>
                <w:rFonts w:ascii="Courier New" w:hAnsi="Courier New"/>
                <w:color w:val="FFFFFF"/>
                <w:sz w:val="17"/>
              </w:rPr>
              <w:t>acid/ml/explain.py</w:t>
            </w:r>
          </w:p>
        </w:tc>
        <w:tc>
          <w:tcPr>
            <w:tcW w:type="dxa" w:w="4680"/>
            <w:shd w:val="clear" w:color="auto" w:fill="FDFEFE"/>
          </w:tcPr>
          <w:p>
            <w:r>
              <w:rPr>
                <w:rFonts w:ascii="Calibri" w:hAnsi="Calibri"/>
                <w:color w:val="2C3E50"/>
                <w:sz w:val="19"/>
              </w:rPr>
              <w:t>SHAP explainability module. Generates human-readable feature attribution summaries for each risk score.</w:t>
            </w:r>
          </w:p>
        </w:tc>
      </w:tr>
      <w:tr>
        <w:tc>
          <w:tcPr>
            <w:tcW w:type="dxa" w:w="4680"/>
            <w:shd w:val="clear" w:color="auto" w:fill="1E8BC3"/>
          </w:tcPr>
          <w:p>
            <w:r>
              <w:rPr>
                <w:rFonts w:ascii="Courier New" w:hAnsi="Courier New"/>
                <w:color w:val="FFFFFF"/>
                <w:sz w:val="17"/>
              </w:rPr>
              <w:t>acid/ml/drift.py</w:t>
            </w:r>
          </w:p>
        </w:tc>
        <w:tc>
          <w:tcPr>
            <w:tcW w:type="dxa" w:w="4680"/>
            <w:shd w:val="clear" w:color="auto" w:fill="EBF5FB"/>
          </w:tcPr>
          <w:p>
            <w:r>
              <w:rPr>
                <w:rFonts w:ascii="Calibri" w:hAnsi="Calibri"/>
                <w:color w:val="2C3E50"/>
                <w:sz w:val="19"/>
              </w:rPr>
              <w:t>Concept drift detection. Monitors model input distributions and triggers retraining alerts.</w:t>
            </w:r>
          </w:p>
        </w:tc>
      </w:tr>
      <w:tr>
        <w:tc>
          <w:tcPr>
            <w:tcW w:type="dxa" w:w="4680"/>
            <w:shd w:val="clear" w:color="auto" w:fill="1B4F72"/>
          </w:tcPr>
          <w:p>
            <w:r>
              <w:rPr>
                <w:rFonts w:ascii="Courier New" w:hAnsi="Courier New"/>
                <w:color w:val="FFFFFF"/>
                <w:sz w:val="17"/>
              </w:rPr>
              <w:t>acid/scoring/dynamic_score.py</w:t>
            </w:r>
          </w:p>
        </w:tc>
        <w:tc>
          <w:tcPr>
            <w:tcW w:type="dxa" w:w="4680"/>
            <w:shd w:val="clear" w:color="auto" w:fill="FDFEFE"/>
          </w:tcPr>
          <w:p>
            <w:r>
              <w:rPr>
                <w:rFonts w:ascii="Calibri" w:hAnsi="Calibri"/>
                <w:color w:val="2C3E50"/>
                <w:sz w:val="19"/>
              </w:rPr>
              <w:t>Dynamic risk scoring engine. Integrates ML scores, KEV membership, EPSS, and causal multipliers into [0,100] scores.</w:t>
            </w:r>
          </w:p>
        </w:tc>
      </w:tr>
      <w:tr>
        <w:tc>
          <w:tcPr>
            <w:tcW w:type="dxa" w:w="4680"/>
            <w:shd w:val="clear" w:color="auto" w:fill="1E8BC3"/>
          </w:tcPr>
          <w:p>
            <w:r>
              <w:rPr>
                <w:rFonts w:ascii="Courier New" w:hAnsi="Courier New"/>
                <w:color w:val="FFFFFF"/>
                <w:sz w:val="17"/>
              </w:rPr>
              <w:t>acid/scoring/priority.py</w:t>
            </w:r>
          </w:p>
        </w:tc>
        <w:tc>
          <w:tcPr>
            <w:tcW w:type="dxa" w:w="4680"/>
            <w:shd w:val="clear" w:color="auto" w:fill="EBF5FB"/>
          </w:tcPr>
          <w:p>
            <w:r>
              <w:rPr>
                <w:rFonts w:ascii="Calibri" w:hAnsi="Calibri"/>
                <w:color w:val="2C3E50"/>
                <w:sz w:val="19"/>
              </w:rPr>
              <w:t>Remediation priority calculator. Ranks vulnerabilities by counterfactual attack path breakage impact.</w:t>
            </w:r>
          </w:p>
        </w:tc>
      </w:tr>
      <w:tr>
        <w:tc>
          <w:tcPr>
            <w:tcW w:type="dxa" w:w="4680"/>
            <w:shd w:val="clear" w:color="auto" w:fill="1B4F72"/>
          </w:tcPr>
          <w:p>
            <w:r>
              <w:rPr>
                <w:rFonts w:ascii="Courier New" w:hAnsi="Courier New"/>
                <w:color w:val="FFFFFF"/>
                <w:sz w:val="17"/>
              </w:rPr>
              <w:t>acid/scoring/kri.py</w:t>
            </w:r>
          </w:p>
        </w:tc>
        <w:tc>
          <w:tcPr>
            <w:tcW w:type="dxa" w:w="4680"/>
            <w:shd w:val="clear" w:color="auto" w:fill="FDFEFE"/>
          </w:tcPr>
          <w:p>
            <w:r>
              <w:rPr>
                <w:rFonts w:ascii="Calibri" w:hAnsi="Calibri"/>
                <w:color w:val="2C3E50"/>
                <w:sz w:val="19"/>
              </w:rPr>
              <w:t>Key Risk Indicator tracker. Aggregates portfolio-level risk metrics for executive reporting and trend analysis.</w:t>
            </w:r>
          </w:p>
        </w:tc>
      </w:tr>
      <w:tr>
        <w:tc>
          <w:tcPr>
            <w:tcW w:type="dxa" w:w="4680"/>
            <w:shd w:val="clear" w:color="auto" w:fill="1E8BC3"/>
          </w:tcPr>
          <w:p>
            <w:r>
              <w:rPr>
                <w:rFonts w:ascii="Courier New" w:hAnsi="Courier New"/>
                <w:color w:val="FFFFFF"/>
                <w:sz w:val="17"/>
              </w:rPr>
              <w:t>acid/ingestion/nvd.py</w:t>
            </w:r>
          </w:p>
        </w:tc>
        <w:tc>
          <w:tcPr>
            <w:tcW w:type="dxa" w:w="4680"/>
            <w:shd w:val="clear" w:color="auto" w:fill="EBF5FB"/>
          </w:tcPr>
          <w:p>
            <w:r>
              <w:rPr>
                <w:rFonts w:ascii="Calibri" w:hAnsi="Calibri"/>
                <w:color w:val="2C3E50"/>
                <w:sz w:val="19"/>
              </w:rPr>
              <w:t>NVD REST API 2.0 adapter. Pulls CVE records with SHA-256 provenance tracking and incremental sync.</w:t>
            </w:r>
          </w:p>
        </w:tc>
      </w:tr>
      <w:tr>
        <w:tc>
          <w:tcPr>
            <w:tcW w:type="dxa" w:w="4680"/>
            <w:shd w:val="clear" w:color="auto" w:fill="1B4F72"/>
          </w:tcPr>
          <w:p>
            <w:r>
              <w:rPr>
                <w:rFonts w:ascii="Courier New" w:hAnsi="Courier New"/>
                <w:color w:val="FFFFFF"/>
                <w:sz w:val="17"/>
              </w:rPr>
              <w:t>acid/ingestion/epss.py</w:t>
            </w:r>
          </w:p>
        </w:tc>
        <w:tc>
          <w:tcPr>
            <w:tcW w:type="dxa" w:w="4680"/>
            <w:shd w:val="clear" w:color="auto" w:fill="FDFEFE"/>
          </w:tcPr>
          <w:p>
            <w:r>
              <w:rPr>
                <w:rFonts w:ascii="Calibri" w:hAnsi="Calibri"/>
                <w:color w:val="2C3E50"/>
                <w:sz w:val="19"/>
              </w:rPr>
              <w:t>FIRST.org EPSS adapter. Fetches daily exploitation probability scores with version-aware caching.</w:t>
            </w:r>
          </w:p>
        </w:tc>
      </w:tr>
      <w:tr>
        <w:tc>
          <w:tcPr>
            <w:tcW w:type="dxa" w:w="4680"/>
            <w:shd w:val="clear" w:color="auto" w:fill="1E8BC3"/>
          </w:tcPr>
          <w:p>
            <w:r>
              <w:rPr>
                <w:rFonts w:ascii="Courier New" w:hAnsi="Courier New"/>
                <w:color w:val="FFFFFF"/>
                <w:sz w:val="17"/>
              </w:rPr>
              <w:t>acid/ingestion/kev.py</w:t>
            </w:r>
          </w:p>
        </w:tc>
        <w:tc>
          <w:tcPr>
            <w:tcW w:type="dxa" w:w="4680"/>
            <w:shd w:val="clear" w:color="auto" w:fill="EBF5FB"/>
          </w:tcPr>
          <w:p>
            <w:r>
              <w:rPr>
                <w:rFonts w:ascii="Calibri" w:hAnsi="Calibri"/>
                <w:color w:val="2C3E50"/>
                <w:sz w:val="19"/>
              </w:rPr>
              <w:t>CISA KEV Catalog adapter. Maintains a live mirror of the Known Exploited Vulnerabilities catalog.</w:t>
            </w:r>
          </w:p>
        </w:tc>
      </w:tr>
      <w:tr>
        <w:tc>
          <w:tcPr>
            <w:tcW w:type="dxa" w:w="4680"/>
            <w:shd w:val="clear" w:color="auto" w:fill="1B4F72"/>
          </w:tcPr>
          <w:p>
            <w:r>
              <w:rPr>
                <w:rFonts w:ascii="Courier New" w:hAnsi="Courier New"/>
                <w:color w:val="FFFFFF"/>
                <w:sz w:val="17"/>
              </w:rPr>
              <w:t>acid/ingestion/osv.py</w:t>
            </w:r>
          </w:p>
        </w:tc>
        <w:tc>
          <w:tcPr>
            <w:tcW w:type="dxa" w:w="4680"/>
            <w:shd w:val="clear" w:color="auto" w:fill="FDFEFE"/>
          </w:tcPr>
          <w:p>
            <w:r>
              <w:rPr>
                <w:rFonts w:ascii="Calibri" w:hAnsi="Calibri"/>
                <w:color w:val="2C3E50"/>
                <w:sz w:val="19"/>
              </w:rPr>
              <w:t>OSV.dev adapter. Ingests open-source package vulnerability advisories with ecosystem normalization.</w:t>
            </w:r>
          </w:p>
        </w:tc>
      </w:tr>
      <w:tr>
        <w:tc>
          <w:tcPr>
            <w:tcW w:type="dxa" w:w="4680"/>
            <w:shd w:val="clear" w:color="auto" w:fill="1E8BC3"/>
          </w:tcPr>
          <w:p>
            <w:r>
              <w:rPr>
                <w:rFonts w:ascii="Courier New" w:hAnsi="Courier New"/>
                <w:color w:val="FFFFFF"/>
                <w:sz w:val="17"/>
              </w:rPr>
              <w:t>acid/ingestion/ghsa.py</w:t>
            </w:r>
          </w:p>
        </w:tc>
        <w:tc>
          <w:tcPr>
            <w:tcW w:type="dxa" w:w="4680"/>
            <w:shd w:val="clear" w:color="auto" w:fill="EBF5FB"/>
          </w:tcPr>
          <w:p>
            <w:r>
              <w:rPr>
                <w:rFonts w:ascii="Calibri" w:hAnsi="Calibri"/>
                <w:color w:val="2C3E50"/>
                <w:sz w:val="19"/>
              </w:rPr>
              <w:t>GitHub Security Advisory adapter. Pulls GHSA records with package dependency linkage.</w:t>
            </w:r>
          </w:p>
        </w:tc>
      </w:tr>
      <w:tr>
        <w:tc>
          <w:tcPr>
            <w:tcW w:type="dxa" w:w="4680"/>
            <w:shd w:val="clear" w:color="auto" w:fill="1B4F72"/>
          </w:tcPr>
          <w:p>
            <w:r>
              <w:rPr>
                <w:rFonts w:ascii="Courier New" w:hAnsi="Courier New"/>
                <w:color w:val="FFFFFF"/>
                <w:sz w:val="17"/>
              </w:rPr>
              <w:t>acid/ingestion/exploitdb.py</w:t>
            </w:r>
          </w:p>
        </w:tc>
        <w:tc>
          <w:tcPr>
            <w:tcW w:type="dxa" w:w="4680"/>
            <w:shd w:val="clear" w:color="auto" w:fill="FDFEFE"/>
          </w:tcPr>
          <w:p>
            <w:r>
              <w:rPr>
                <w:rFonts w:ascii="Calibri" w:hAnsi="Calibri"/>
                <w:color w:val="2C3E50"/>
                <w:sz w:val="19"/>
              </w:rPr>
              <w:t>Exploit-DB adapter. Tracks public PoC exploit metadata and Metasploit module availability.</w:t>
            </w:r>
          </w:p>
        </w:tc>
      </w:tr>
      <w:tr>
        <w:tc>
          <w:tcPr>
            <w:tcW w:type="dxa" w:w="4680"/>
            <w:shd w:val="clear" w:color="auto" w:fill="1E8BC3"/>
          </w:tcPr>
          <w:p>
            <w:r>
              <w:rPr>
                <w:rFonts w:ascii="Courier New" w:hAnsi="Courier New"/>
                <w:color w:val="FFFFFF"/>
                <w:sz w:val="17"/>
              </w:rPr>
              <w:t>acid/orchestration/event_bus.py</w:t>
            </w:r>
          </w:p>
        </w:tc>
        <w:tc>
          <w:tcPr>
            <w:tcW w:type="dxa" w:w="4680"/>
            <w:shd w:val="clear" w:color="auto" w:fill="EBF5FB"/>
          </w:tcPr>
          <w:p>
            <w:r>
              <w:rPr>
                <w:rFonts w:ascii="Calibri" w:hAnsi="Calibri"/>
                <w:color w:val="2C3E50"/>
                <w:sz w:val="19"/>
              </w:rPr>
              <w:t>Redis Streams event bus abstraction. Typed publish/subscribe with agent-signed message envelopes.</w:t>
            </w:r>
          </w:p>
        </w:tc>
      </w:tr>
      <w:tr>
        <w:tc>
          <w:tcPr>
            <w:tcW w:type="dxa" w:w="4680"/>
            <w:shd w:val="clear" w:color="auto" w:fill="1B4F72"/>
          </w:tcPr>
          <w:p>
            <w:r>
              <w:rPr>
                <w:rFonts w:ascii="Courier New" w:hAnsi="Courier New"/>
                <w:color w:val="FFFFFF"/>
                <w:sz w:val="17"/>
              </w:rPr>
              <w:t>acid/orchestration/agent_runtime.py</w:t>
            </w:r>
          </w:p>
        </w:tc>
        <w:tc>
          <w:tcPr>
            <w:tcW w:type="dxa" w:w="4680"/>
            <w:shd w:val="clear" w:color="auto" w:fill="FDFEFE"/>
          </w:tcPr>
          <w:p>
            <w:r>
              <w:rPr>
                <w:rFonts w:ascii="Calibri" w:hAnsi="Calibri"/>
                <w:color w:val="2C3E50"/>
                <w:sz w:val="19"/>
              </w:rPr>
              <w:t>Agent lifecycle management. Starts, stops, monitors, and restarts agent processes within the mesh.</w:t>
            </w:r>
          </w:p>
        </w:tc>
      </w:tr>
      <w:tr>
        <w:tc>
          <w:tcPr>
            <w:tcW w:type="dxa" w:w="4680"/>
            <w:shd w:val="clear" w:color="auto" w:fill="1E8BC3"/>
          </w:tcPr>
          <w:p>
            <w:r>
              <w:rPr>
                <w:rFonts w:ascii="Courier New" w:hAnsi="Courier New"/>
                <w:color w:val="FFFFFF"/>
                <w:sz w:val="17"/>
              </w:rPr>
              <w:t>acid/orchestration/topics.py</w:t>
            </w:r>
          </w:p>
        </w:tc>
        <w:tc>
          <w:tcPr>
            <w:tcW w:type="dxa" w:w="4680"/>
            <w:shd w:val="clear" w:color="auto" w:fill="EBF5FB"/>
          </w:tcPr>
          <w:p>
            <w:r>
              <w:rPr>
                <w:rFonts w:ascii="Calibri" w:hAnsi="Calibri"/>
                <w:color w:val="2C3E50"/>
                <w:sz w:val="19"/>
              </w:rPr>
              <w:t>Canonical event topic registry. Defines all typed event topic constants for the agent mesh.</w:t>
            </w:r>
          </w:p>
        </w:tc>
      </w:tr>
      <w:tr>
        <w:tc>
          <w:tcPr>
            <w:tcW w:type="dxa" w:w="4680"/>
            <w:shd w:val="clear" w:color="auto" w:fill="1B4F72"/>
          </w:tcPr>
          <w:p>
            <w:r>
              <w:rPr>
                <w:rFonts w:ascii="Courier New" w:hAnsi="Courier New"/>
                <w:color w:val="FFFFFF"/>
                <w:sz w:val="17"/>
              </w:rPr>
              <w:t>acid/storage/postgres.py</w:t>
            </w:r>
          </w:p>
        </w:tc>
        <w:tc>
          <w:tcPr>
            <w:tcW w:type="dxa" w:w="4680"/>
            <w:shd w:val="clear" w:color="auto" w:fill="FDFEFE"/>
          </w:tcPr>
          <w:p>
            <w:r>
              <w:rPr>
                <w:rFonts w:ascii="Calibri" w:hAnsi="Calibri"/>
                <w:color w:val="2C3E50"/>
                <w:sz w:val="19"/>
              </w:rPr>
              <w:t>PostgreSQL storage layer. Manages immutable vulnerability revisions with full CRUD and provenance queries.</w:t>
            </w:r>
          </w:p>
        </w:tc>
      </w:tr>
      <w:tr>
        <w:tc>
          <w:tcPr>
            <w:tcW w:type="dxa" w:w="4680"/>
            <w:shd w:val="clear" w:color="auto" w:fill="1E8BC3"/>
          </w:tcPr>
          <w:p>
            <w:r>
              <w:rPr>
                <w:rFonts w:ascii="Courier New" w:hAnsi="Courier New"/>
                <w:color w:val="FFFFFF"/>
                <w:sz w:val="17"/>
              </w:rPr>
              <w:t>acid/storage/redis.py</w:t>
            </w:r>
          </w:p>
        </w:tc>
        <w:tc>
          <w:tcPr>
            <w:tcW w:type="dxa" w:w="4680"/>
            <w:shd w:val="clear" w:color="auto" w:fill="EBF5FB"/>
          </w:tcPr>
          <w:p>
            <w:r>
              <w:rPr>
                <w:rFonts w:ascii="Calibri" w:hAnsi="Calibri"/>
                <w:color w:val="2C3E50"/>
                <w:sz w:val="19"/>
              </w:rPr>
              <w:t>Redis connection and stream management utilities.</w:t>
            </w:r>
          </w:p>
        </w:tc>
      </w:tr>
      <w:tr>
        <w:tc>
          <w:tcPr>
            <w:tcW w:type="dxa" w:w="4680"/>
            <w:shd w:val="clear" w:color="auto" w:fill="1B4F72"/>
          </w:tcPr>
          <w:p>
            <w:r>
              <w:rPr>
                <w:rFonts w:ascii="Courier New" w:hAnsi="Courier New"/>
                <w:color w:val="FFFFFF"/>
                <w:sz w:val="17"/>
              </w:rPr>
              <w:t>acid/storage/redis_store.py</w:t>
            </w:r>
          </w:p>
        </w:tc>
        <w:tc>
          <w:tcPr>
            <w:tcW w:type="dxa" w:w="4680"/>
            <w:shd w:val="clear" w:color="auto" w:fill="FDFEFE"/>
          </w:tcPr>
          <w:p>
            <w:r>
              <w:rPr>
                <w:rFonts w:ascii="Calibri" w:hAnsi="Calibri"/>
                <w:color w:val="2C3E50"/>
                <w:sz w:val="19"/>
              </w:rPr>
              <w:t>Redis-backed transient state store for agent session context and workflow checkpoints.</w:t>
            </w:r>
          </w:p>
        </w:tc>
      </w:tr>
      <w:tr>
        <w:tc>
          <w:tcPr>
            <w:tcW w:type="dxa" w:w="4680"/>
            <w:shd w:val="clear" w:color="auto" w:fill="1E8BC3"/>
          </w:tcPr>
          <w:p>
            <w:r>
              <w:rPr>
                <w:rFonts w:ascii="Courier New" w:hAnsi="Courier New"/>
                <w:color w:val="FFFFFF"/>
                <w:sz w:val="17"/>
              </w:rPr>
              <w:t>acid/offensive/tool_registry.py</w:t>
            </w:r>
          </w:p>
        </w:tc>
        <w:tc>
          <w:tcPr>
            <w:tcW w:type="dxa" w:w="4680"/>
            <w:shd w:val="clear" w:color="auto" w:fill="EBF5FB"/>
          </w:tcPr>
          <w:p>
            <w:r>
              <w:rPr>
                <w:rFonts w:ascii="Calibri" w:hAnsi="Calibri"/>
                <w:color w:val="2C3E50"/>
                <w:sz w:val="19"/>
              </w:rPr>
              <w:t>Offensive tool allow-list registry. Defines approved security assessment tool contracts.</w:t>
            </w:r>
          </w:p>
        </w:tc>
      </w:tr>
      <w:tr>
        <w:tc>
          <w:tcPr>
            <w:tcW w:type="dxa" w:w="4680"/>
            <w:shd w:val="clear" w:color="auto" w:fill="1B4F72"/>
          </w:tcPr>
          <w:p>
            <w:r>
              <w:rPr>
                <w:rFonts w:ascii="Courier New" w:hAnsi="Courier New"/>
                <w:color w:val="FFFFFF"/>
                <w:sz w:val="17"/>
              </w:rPr>
              <w:t>acid/offensive/sandbox_manager.py</w:t>
            </w:r>
          </w:p>
        </w:tc>
        <w:tc>
          <w:tcPr>
            <w:tcW w:type="dxa" w:w="4680"/>
            <w:shd w:val="clear" w:color="auto" w:fill="FDFEFE"/>
          </w:tcPr>
          <w:p>
            <w:r>
              <w:rPr>
                <w:rFonts w:ascii="Calibri" w:hAnsi="Calibri"/>
                <w:color w:val="2C3E50"/>
                <w:sz w:val="19"/>
              </w:rPr>
              <w:t>Sandbox isolation manager. Creates and manages ephemeral container environments for offensive tool execution.</w:t>
            </w:r>
          </w:p>
        </w:tc>
      </w:tr>
      <w:tr>
        <w:tc>
          <w:tcPr>
            <w:tcW w:type="dxa" w:w="4680"/>
            <w:shd w:val="clear" w:color="auto" w:fill="1E8BC3"/>
          </w:tcPr>
          <w:p>
            <w:r>
              <w:rPr>
                <w:rFonts w:ascii="Courier New" w:hAnsi="Courier New"/>
                <w:color w:val="FFFFFF"/>
                <w:sz w:val="17"/>
              </w:rPr>
              <w:t>acid/offensive/attack_technique_mapper.py</w:t>
            </w:r>
          </w:p>
        </w:tc>
        <w:tc>
          <w:tcPr>
            <w:tcW w:type="dxa" w:w="4680"/>
            <w:shd w:val="clear" w:color="auto" w:fill="EBF5FB"/>
          </w:tcPr>
          <w:p>
            <w:r>
              <w:rPr>
                <w:rFonts w:ascii="Calibri" w:hAnsi="Calibri"/>
                <w:color w:val="2C3E50"/>
                <w:sz w:val="19"/>
              </w:rPr>
              <w:t>Maps CVEs and TTPs to MITRE ATT&amp;CK techniques and sub-techniques.</w:t>
            </w:r>
          </w:p>
        </w:tc>
      </w:tr>
      <w:tr>
        <w:tc>
          <w:tcPr>
            <w:tcW w:type="dxa" w:w="4680"/>
            <w:shd w:val="clear" w:color="auto" w:fill="1B4F72"/>
          </w:tcPr>
          <w:p>
            <w:r>
              <w:rPr>
                <w:rFonts w:ascii="Courier New" w:hAnsi="Courier New"/>
                <w:color w:val="FFFFFF"/>
                <w:sz w:val="17"/>
              </w:rPr>
              <w:t>acid/offensive/detection_validator.py</w:t>
            </w:r>
          </w:p>
        </w:tc>
        <w:tc>
          <w:tcPr>
            <w:tcW w:type="dxa" w:w="4680"/>
            <w:shd w:val="clear" w:color="auto" w:fill="FDFEFE"/>
          </w:tcPr>
          <w:p>
            <w:r>
              <w:rPr>
                <w:rFonts w:ascii="Calibri" w:hAnsi="Calibri"/>
                <w:color w:val="2C3E50"/>
                <w:sz w:val="19"/>
              </w:rPr>
              <w:t>Validates blue team detection coverage against red team telemetry for gap analysis.</w:t>
            </w:r>
          </w:p>
        </w:tc>
      </w:tr>
      <w:tr>
        <w:tc>
          <w:tcPr>
            <w:tcW w:type="dxa" w:w="4680"/>
            <w:shd w:val="clear" w:color="auto" w:fill="1E8BC3"/>
          </w:tcPr>
          <w:p>
            <w:r>
              <w:rPr>
                <w:rFonts w:ascii="Courier New" w:hAnsi="Courier New"/>
                <w:color w:val="FFFFFF"/>
                <w:sz w:val="17"/>
              </w:rPr>
              <w:t>acid/tests/test_orga_enforcement.py</w:t>
            </w:r>
          </w:p>
        </w:tc>
        <w:tc>
          <w:tcPr>
            <w:tcW w:type="dxa" w:w="4680"/>
            <w:shd w:val="clear" w:color="auto" w:fill="EBF5FB"/>
          </w:tcPr>
          <w:p>
            <w:r>
              <w:rPr>
                <w:rFonts w:ascii="Calibri" w:hAnsi="Calibri"/>
                <w:color w:val="2C3E50"/>
                <w:sz w:val="19"/>
              </w:rPr>
              <w:t>Tests compile-time zero-trust enforcement: ORGAPhaseError, GateNotPassedError invariants.</w:t>
            </w:r>
          </w:p>
        </w:tc>
      </w:tr>
      <w:tr>
        <w:tc>
          <w:tcPr>
            <w:tcW w:type="dxa" w:w="4680"/>
            <w:shd w:val="clear" w:color="auto" w:fill="1B4F72"/>
          </w:tcPr>
          <w:p>
            <w:r>
              <w:rPr>
                <w:rFonts w:ascii="Courier New" w:hAnsi="Courier New"/>
                <w:color w:val="FFFFFF"/>
                <w:sz w:val="17"/>
              </w:rPr>
              <w:t>acid/tests/test_audit_journal.py</w:t>
            </w:r>
          </w:p>
        </w:tc>
        <w:tc>
          <w:tcPr>
            <w:tcW w:type="dxa" w:w="4680"/>
            <w:shd w:val="clear" w:color="auto" w:fill="FDFEFE"/>
          </w:tcPr>
          <w:p>
            <w:r>
              <w:rPr>
                <w:rFonts w:ascii="Calibri" w:hAnsi="Calibri"/>
                <w:color w:val="2C3E50"/>
                <w:sz w:val="19"/>
              </w:rPr>
              <w:t>Tests SHA-256 hash chain integrity, genesis block, and tamper detection in the audit journal.</w:t>
            </w:r>
          </w:p>
        </w:tc>
      </w:tr>
      <w:tr>
        <w:tc>
          <w:tcPr>
            <w:tcW w:type="dxa" w:w="4680"/>
            <w:shd w:val="clear" w:color="auto" w:fill="1E8BC3"/>
          </w:tcPr>
          <w:p>
            <w:r>
              <w:rPr>
                <w:rFonts w:ascii="Courier New" w:hAnsi="Courier New"/>
                <w:color w:val="FFFFFF"/>
                <w:sz w:val="17"/>
              </w:rPr>
              <w:t>acid/tests/test_causal.py</w:t>
            </w:r>
          </w:p>
        </w:tc>
        <w:tc>
          <w:tcPr>
            <w:tcW w:type="dxa" w:w="4680"/>
            <w:shd w:val="clear" w:color="auto" w:fill="EBF5FB"/>
          </w:tcPr>
          <w:p>
            <w:r>
              <w:rPr>
                <w:rFonts w:ascii="Calibri" w:hAnsi="Calibri"/>
                <w:color w:val="2C3E50"/>
                <w:sz w:val="19"/>
              </w:rPr>
              <w:t>Tests CPG construction, SCM interventions, and counterfactual engine path breakage computation.</w:t>
            </w:r>
          </w:p>
        </w:tc>
      </w:tr>
      <w:tr>
        <w:tc>
          <w:tcPr>
            <w:tcW w:type="dxa" w:w="4680"/>
            <w:shd w:val="clear" w:color="auto" w:fill="1B4F72"/>
          </w:tcPr>
          <w:p>
            <w:r>
              <w:rPr>
                <w:rFonts w:ascii="Courier New" w:hAnsi="Courier New"/>
                <w:color w:val="FFFFFF"/>
                <w:sz w:val="17"/>
              </w:rPr>
              <w:t>acid/tests/test_scoring.py</w:t>
            </w:r>
          </w:p>
        </w:tc>
        <w:tc>
          <w:tcPr>
            <w:tcW w:type="dxa" w:w="4680"/>
            <w:shd w:val="clear" w:color="auto" w:fill="FDFEFE"/>
          </w:tcPr>
          <w:p>
            <w:r>
              <w:rPr>
                <w:rFonts w:ascii="Calibri" w:hAnsi="Calibri"/>
                <w:color w:val="2C3E50"/>
                <w:sz w:val="19"/>
              </w:rPr>
              <w:t>Tests dynamic risk scoring, KEV floor application, and KRI aggregation logic.</w:t>
            </w:r>
          </w:p>
        </w:tc>
      </w:tr>
      <w:tr>
        <w:tc>
          <w:tcPr>
            <w:tcW w:type="dxa" w:w="4680"/>
            <w:shd w:val="clear" w:color="auto" w:fill="1E8BC3"/>
          </w:tcPr>
          <w:p>
            <w:r>
              <w:rPr>
                <w:rFonts w:ascii="Courier New" w:hAnsi="Courier New"/>
                <w:color w:val="FFFFFF"/>
                <w:sz w:val="17"/>
              </w:rPr>
              <w:t>acid/tests/test_agents.py</w:t>
            </w:r>
          </w:p>
        </w:tc>
        <w:tc>
          <w:tcPr>
            <w:tcW w:type="dxa" w:w="4680"/>
            <w:shd w:val="clear" w:color="auto" w:fill="EBF5FB"/>
          </w:tcPr>
          <w:p>
            <w:r>
              <w:rPr>
                <w:rFonts w:ascii="Calibri" w:hAnsi="Calibri"/>
                <w:color w:val="2C3E50"/>
                <w:sz w:val="19"/>
              </w:rPr>
              <w:t>Tests agent registration, event publication, and supervisor coordination logic.</w:t>
            </w:r>
          </w:p>
        </w:tc>
      </w:tr>
    </w:tbl>
    <w:p>
      <w:r>
        <w:br w:type="page"/>
      </w:r>
    </w:p>
    <w:p>
      <w:pPr>
        <w:spacing w:before="320" w:after="80"/>
        <w:shd w:val="clear" w:color="auto" w:fill="0D1B2A"/>
        <w:ind w:left="170" w:right="170"/>
      </w:pPr>
      <w:r>
        <w:rPr>
          <w:rFonts w:ascii="Calibri" w:hAnsi="Calibri"/>
          <w:b/>
          <w:color w:val="FFFFFF"/>
          <w:sz w:val="30"/>
        </w:rPr>
        <w:t>11. IMPLEMENTATION STATUS</w:t>
      </w:r>
    </w:p>
    <w:p>
      <w:pPr>
        <w:spacing w:before="240" w:after="80"/>
        <w:pBdr>
          <w:bottom w:val="single" w:sz="6" w:space="1" w:color="1B4F72"/>
        </w:pBdr>
      </w:pPr>
      <w:r>
        <w:rPr>
          <w:rFonts w:ascii="Calibri" w:hAnsi="Calibri"/>
          <w:b/>
          <w:color w:val="1B4F72"/>
          <w:sz w:val="24"/>
        </w:rPr>
        <w:t>✅ Completed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9E6A"/>
            <w:vAlign w:val="center"/>
          </w:tcPr>
          <w:p>
            <w:pPr>
              <w:jc w:val="center"/>
            </w:pPr>
            <w:r/>
            <w:r>
              <w:rPr>
                <w:rFonts w:ascii="Calibri" w:hAnsi="Calibri"/>
                <w:b/>
                <w:color w:val="FFFFFF"/>
                <w:sz w:val="20"/>
              </w:rPr>
              <w:t>#</w:t>
            </w:r>
          </w:p>
        </w:tc>
        <w:tc>
          <w:tcPr>
            <w:tcW w:type="dxa" w:w="3120"/>
            <w:shd w:val="clear" w:color="auto" w:fill="1A9E6A"/>
            <w:vAlign w:val="center"/>
          </w:tcPr>
          <w:p>
            <w:pPr>
              <w:jc w:val="center"/>
            </w:pPr>
            <w:r/>
            <w:r>
              <w:rPr>
                <w:rFonts w:ascii="Calibri" w:hAnsi="Calibri"/>
                <w:b/>
                <w:color w:val="FFFFFF"/>
                <w:sz w:val="20"/>
              </w:rPr>
              <w:t>Component / Feature</w:t>
            </w:r>
          </w:p>
        </w:tc>
        <w:tc>
          <w:tcPr>
            <w:tcW w:type="dxa" w:w="3120"/>
            <w:shd w:val="clear" w:color="auto" w:fill="1A9E6A"/>
            <w:vAlign w:val="center"/>
          </w:tcPr>
          <w:p>
            <w:pPr>
              <w:jc w:val="center"/>
            </w:pPr>
            <w:r/>
            <w:r>
              <w:rPr>
                <w:rFonts w:ascii="Calibri" w:hAnsi="Calibri"/>
                <w:b/>
                <w:color w:val="FFFFFF"/>
                <w:sz w:val="20"/>
              </w:rPr>
              <w:t>Notes</w:t>
            </w:r>
          </w:p>
        </w:tc>
      </w:tr>
      <w:tr>
        <w:tc>
          <w:tcPr>
            <w:tcW w:type="dxa" w:w="3120"/>
            <w:shd w:val="clear" w:color="auto" w:fill="EAFAF1"/>
          </w:tcPr>
          <w:p>
            <w:pPr>
              <w:jc w:val="center"/>
            </w:pPr>
            <w:r>
              <w:rPr>
                <w:rFonts w:ascii="Calibri" w:hAnsi="Calibri"/>
                <w:sz w:val="19"/>
              </w:rPr>
              <w:t>1</w:t>
            </w:r>
          </w:p>
        </w:tc>
        <w:tc>
          <w:tcPr>
            <w:tcW w:type="dxa" w:w="3120"/>
            <w:shd w:val="clear" w:color="auto" w:fill="EAFAF1"/>
          </w:tcPr>
          <w:p>
            <w:r>
              <w:rPr>
                <w:rFonts w:ascii="Calibri" w:hAnsi="Calibri"/>
                <w:b/>
                <w:color w:val="1A5E37"/>
                <w:sz w:val="19"/>
              </w:rPr>
              <w:t>Five-Layer Architecture Design</w:t>
            </w:r>
          </w:p>
        </w:tc>
        <w:tc>
          <w:tcPr>
            <w:tcW w:type="dxa" w:w="3120"/>
            <w:shd w:val="clear" w:color="auto" w:fill="EAFAF1"/>
          </w:tcPr>
          <w:p>
            <w:r>
              <w:rPr>
                <w:rFonts w:ascii="Calibri" w:hAnsi="Calibri"/>
                <w:color w:val="2C3E50"/>
                <w:sz w:val="19"/>
              </w:rPr>
              <w:t>All 5 layers fully defined with clear interface contracts.</w:t>
            </w:r>
          </w:p>
        </w:tc>
      </w:tr>
      <w:tr>
        <w:tc>
          <w:tcPr>
            <w:tcW w:type="dxa" w:w="3120"/>
            <w:shd w:val="clear" w:color="auto" w:fill="D5F5E3"/>
          </w:tcPr>
          <w:p>
            <w:pPr>
              <w:jc w:val="center"/>
            </w:pPr>
            <w:r>
              <w:rPr>
                <w:rFonts w:ascii="Calibri" w:hAnsi="Calibri"/>
                <w:sz w:val="19"/>
              </w:rPr>
              <w:t>2</w:t>
            </w:r>
          </w:p>
        </w:tc>
        <w:tc>
          <w:tcPr>
            <w:tcW w:type="dxa" w:w="3120"/>
            <w:shd w:val="clear" w:color="auto" w:fill="D5F5E3"/>
          </w:tcPr>
          <w:p>
            <w:r>
              <w:rPr>
                <w:rFonts w:ascii="Calibri" w:hAnsi="Calibri"/>
                <w:b/>
                <w:color w:val="1A5E37"/>
                <w:sz w:val="19"/>
              </w:rPr>
              <w:t>Expert Intelligence Core (Layer 1)</w:t>
            </w:r>
          </w:p>
        </w:tc>
        <w:tc>
          <w:tcPr>
            <w:tcW w:type="dxa" w:w="3120"/>
            <w:shd w:val="clear" w:color="auto" w:fill="D5F5E3"/>
          </w:tcPr>
          <w:p>
            <w:r>
              <w:rPr>
                <w:rFonts w:ascii="Calibri" w:hAnsi="Calibri"/>
                <w:color w:val="2C3E50"/>
                <w:sz w:val="19"/>
              </w:rPr>
              <w:t>Foundation-Sec-8B and SecureBERT adapters implemented with quantization fallback.</w:t>
            </w:r>
          </w:p>
        </w:tc>
      </w:tr>
      <w:tr>
        <w:tc>
          <w:tcPr>
            <w:tcW w:type="dxa" w:w="3120"/>
            <w:shd w:val="clear" w:color="auto" w:fill="EAFAF1"/>
          </w:tcPr>
          <w:p>
            <w:pPr>
              <w:jc w:val="center"/>
            </w:pPr>
            <w:r>
              <w:rPr>
                <w:rFonts w:ascii="Calibri" w:hAnsi="Calibri"/>
                <w:sz w:val="19"/>
              </w:rPr>
              <w:t>3</w:t>
            </w:r>
          </w:p>
        </w:tc>
        <w:tc>
          <w:tcPr>
            <w:tcW w:type="dxa" w:w="3120"/>
            <w:shd w:val="clear" w:color="auto" w:fill="EAFAF1"/>
          </w:tcPr>
          <w:p>
            <w:r>
              <w:rPr>
                <w:rFonts w:ascii="Calibri" w:hAnsi="Calibri"/>
                <w:b/>
                <w:color w:val="1A5E37"/>
                <w:sz w:val="19"/>
              </w:rPr>
              <w:t>Multi-Agent Mesh — All 11 Agents</w:t>
            </w:r>
          </w:p>
        </w:tc>
        <w:tc>
          <w:tcPr>
            <w:tcW w:type="dxa" w:w="3120"/>
            <w:shd w:val="clear" w:color="auto" w:fill="EAFAF1"/>
          </w:tcPr>
          <w:p>
            <w:r>
              <w:rPr>
                <w:rFonts w:ascii="Calibri" w:hAnsi="Calibri"/>
                <w:color w:val="2C3E50"/>
                <w:sz w:val="19"/>
              </w:rPr>
              <w:t>Supervisor, Triage, Remediation, Verification, Governance, Causal, Red, Purple, Attack Path, C2, Adversary Emulation.</w:t>
            </w:r>
          </w:p>
        </w:tc>
      </w:tr>
      <w:tr>
        <w:tc>
          <w:tcPr>
            <w:tcW w:type="dxa" w:w="3120"/>
            <w:shd w:val="clear" w:color="auto" w:fill="D5F5E3"/>
          </w:tcPr>
          <w:p>
            <w:pPr>
              <w:jc w:val="center"/>
            </w:pPr>
            <w:r>
              <w:rPr>
                <w:rFonts w:ascii="Calibri" w:hAnsi="Calibri"/>
                <w:sz w:val="19"/>
              </w:rPr>
              <w:t>4</w:t>
            </w:r>
          </w:p>
        </w:tc>
        <w:tc>
          <w:tcPr>
            <w:tcW w:type="dxa" w:w="3120"/>
            <w:shd w:val="clear" w:color="auto" w:fill="D5F5E3"/>
          </w:tcPr>
          <w:p>
            <w:r>
              <w:rPr>
                <w:rFonts w:ascii="Calibri" w:hAnsi="Calibri"/>
                <w:b/>
                <w:color w:val="1A5E37"/>
                <w:sz w:val="19"/>
              </w:rPr>
              <w:t>ORGA Loop Zero-Trust Enforcement</w:t>
            </w:r>
          </w:p>
        </w:tc>
        <w:tc>
          <w:tcPr>
            <w:tcW w:type="dxa" w:w="3120"/>
            <w:shd w:val="clear" w:color="auto" w:fill="D5F5E3"/>
          </w:tcPr>
          <w:p>
            <w:r>
              <w:rPr>
                <w:rFonts w:ascii="Calibri" w:hAnsi="Calibri"/>
                <w:color w:val="2C3E50"/>
                <w:sz w:val="19"/>
              </w:rPr>
              <w:t>Compile-time ORGAPhaseError/GateNotPassedError invariants. 3 dedicated tests passing.</w:t>
            </w:r>
          </w:p>
        </w:tc>
      </w:tr>
      <w:tr>
        <w:tc>
          <w:tcPr>
            <w:tcW w:type="dxa" w:w="3120"/>
            <w:shd w:val="clear" w:color="auto" w:fill="EAFAF1"/>
          </w:tcPr>
          <w:p>
            <w:pPr>
              <w:jc w:val="center"/>
            </w:pPr>
            <w:r>
              <w:rPr>
                <w:rFonts w:ascii="Calibri" w:hAnsi="Calibri"/>
                <w:sz w:val="19"/>
              </w:rPr>
              <w:t>5</w:t>
            </w:r>
          </w:p>
        </w:tc>
        <w:tc>
          <w:tcPr>
            <w:tcW w:type="dxa" w:w="3120"/>
            <w:shd w:val="clear" w:color="auto" w:fill="EAFAF1"/>
          </w:tcPr>
          <w:p>
            <w:r>
              <w:rPr>
                <w:rFonts w:ascii="Calibri" w:hAnsi="Calibri"/>
                <w:b/>
                <w:color w:val="1A5E37"/>
                <w:sz w:val="19"/>
              </w:rPr>
              <w:t>Audit Journal (SHA-256 Hash Chain)</w:t>
            </w:r>
          </w:p>
        </w:tc>
        <w:tc>
          <w:tcPr>
            <w:tcW w:type="dxa" w:w="3120"/>
            <w:shd w:val="clear" w:color="auto" w:fill="EAFAF1"/>
          </w:tcPr>
          <w:p>
            <w:r>
              <w:rPr>
                <w:rFonts w:ascii="Calibri" w:hAnsi="Calibri"/>
                <w:color w:val="2C3E50"/>
                <w:sz w:val="19"/>
              </w:rPr>
              <w:t>Append-only ledger with Ed25519 signatures, genesis block, and tamper detection.</w:t>
            </w:r>
          </w:p>
        </w:tc>
      </w:tr>
      <w:tr>
        <w:tc>
          <w:tcPr>
            <w:tcW w:type="dxa" w:w="3120"/>
            <w:shd w:val="clear" w:color="auto" w:fill="D5F5E3"/>
          </w:tcPr>
          <w:p>
            <w:pPr>
              <w:jc w:val="center"/>
            </w:pPr>
            <w:r>
              <w:rPr>
                <w:rFonts w:ascii="Calibri" w:hAnsi="Calibri"/>
                <w:sz w:val="19"/>
              </w:rPr>
              <w:t>6</w:t>
            </w:r>
          </w:p>
        </w:tc>
        <w:tc>
          <w:tcPr>
            <w:tcW w:type="dxa" w:w="3120"/>
            <w:shd w:val="clear" w:color="auto" w:fill="D5F5E3"/>
          </w:tcPr>
          <w:p>
            <w:r>
              <w:rPr>
                <w:rFonts w:ascii="Calibri" w:hAnsi="Calibri"/>
                <w:b/>
                <w:color w:val="1A5E37"/>
                <w:sz w:val="19"/>
              </w:rPr>
              <w:t>Causal Reasoning Engine (SCM + CPG)</w:t>
            </w:r>
          </w:p>
        </w:tc>
        <w:tc>
          <w:tcPr>
            <w:tcW w:type="dxa" w:w="3120"/>
            <w:shd w:val="clear" w:color="auto" w:fill="D5F5E3"/>
          </w:tcPr>
          <w:p>
            <w:r>
              <w:rPr>
                <w:rFonts w:ascii="Calibri" w:hAnsi="Calibri"/>
                <w:color w:val="2C3E50"/>
                <w:sz w:val="19"/>
              </w:rPr>
              <w:t>Structural Causal Model with do-calculus, CPG builder, and Counterfactual Engine.</w:t>
            </w:r>
          </w:p>
        </w:tc>
      </w:tr>
      <w:tr>
        <w:tc>
          <w:tcPr>
            <w:tcW w:type="dxa" w:w="3120"/>
            <w:shd w:val="clear" w:color="auto" w:fill="EAFAF1"/>
          </w:tcPr>
          <w:p>
            <w:pPr>
              <w:jc w:val="center"/>
            </w:pPr>
            <w:r>
              <w:rPr>
                <w:rFonts w:ascii="Calibri" w:hAnsi="Calibri"/>
                <w:sz w:val="19"/>
              </w:rPr>
              <w:t>7</w:t>
            </w:r>
          </w:p>
        </w:tc>
        <w:tc>
          <w:tcPr>
            <w:tcW w:type="dxa" w:w="3120"/>
            <w:shd w:val="clear" w:color="auto" w:fill="EAFAF1"/>
          </w:tcPr>
          <w:p>
            <w:r>
              <w:rPr>
                <w:rFonts w:ascii="Calibri" w:hAnsi="Calibri"/>
                <w:b/>
                <w:color w:val="1A5E37"/>
                <w:sz w:val="19"/>
              </w:rPr>
              <w:t>ML Ensemble (XGBoost/LightGBM/RF)</w:t>
            </w:r>
          </w:p>
        </w:tc>
        <w:tc>
          <w:tcPr>
            <w:tcW w:type="dxa" w:w="3120"/>
            <w:shd w:val="clear" w:color="auto" w:fill="EAFAF1"/>
          </w:tcPr>
          <w:p>
            <w:r>
              <w:rPr>
                <w:rFonts w:ascii="Calibri" w:hAnsi="Calibri"/>
                <w:color w:val="2C3E50"/>
                <w:sz w:val="19"/>
              </w:rPr>
              <w:t>Feature store, training pipeline, evaluation harness, SHAP explainability, drift detection.</w:t>
            </w:r>
          </w:p>
        </w:tc>
      </w:tr>
      <w:tr>
        <w:tc>
          <w:tcPr>
            <w:tcW w:type="dxa" w:w="3120"/>
            <w:shd w:val="clear" w:color="auto" w:fill="D5F5E3"/>
          </w:tcPr>
          <w:p>
            <w:pPr>
              <w:jc w:val="center"/>
            </w:pPr>
            <w:r>
              <w:rPr>
                <w:rFonts w:ascii="Calibri" w:hAnsi="Calibri"/>
                <w:sz w:val="19"/>
              </w:rPr>
              <w:t>8</w:t>
            </w:r>
          </w:p>
        </w:tc>
        <w:tc>
          <w:tcPr>
            <w:tcW w:type="dxa" w:w="3120"/>
            <w:shd w:val="clear" w:color="auto" w:fill="D5F5E3"/>
          </w:tcPr>
          <w:p>
            <w:r>
              <w:rPr>
                <w:rFonts w:ascii="Calibri" w:hAnsi="Calibri"/>
                <w:b/>
                <w:color w:val="1A5E37"/>
                <w:sz w:val="19"/>
              </w:rPr>
              <w:t>Dynamic Risk Scoring</w:t>
            </w:r>
          </w:p>
        </w:tc>
        <w:tc>
          <w:tcPr>
            <w:tcW w:type="dxa" w:w="3120"/>
            <w:shd w:val="clear" w:color="auto" w:fill="D5F5E3"/>
          </w:tcPr>
          <w:p>
            <w:r>
              <w:rPr>
                <w:rFonts w:ascii="Calibri" w:hAnsi="Calibri"/>
                <w:color w:val="2C3E50"/>
                <w:sz w:val="19"/>
              </w:rPr>
              <w:t>KEV floor enforcement, EPSS integration, causal multipliers, KRI aggregation.</w:t>
            </w:r>
          </w:p>
        </w:tc>
      </w:tr>
      <w:tr>
        <w:tc>
          <w:tcPr>
            <w:tcW w:type="dxa" w:w="3120"/>
            <w:shd w:val="clear" w:color="auto" w:fill="EAFAF1"/>
          </w:tcPr>
          <w:p>
            <w:pPr>
              <w:jc w:val="center"/>
            </w:pPr>
            <w:r>
              <w:rPr>
                <w:rFonts w:ascii="Calibri" w:hAnsi="Calibri"/>
                <w:sz w:val="19"/>
              </w:rPr>
              <w:t>9</w:t>
            </w:r>
          </w:p>
        </w:tc>
        <w:tc>
          <w:tcPr>
            <w:tcW w:type="dxa" w:w="3120"/>
            <w:shd w:val="clear" w:color="auto" w:fill="EAFAF1"/>
          </w:tcPr>
          <w:p>
            <w:r>
              <w:rPr>
                <w:rFonts w:ascii="Calibri" w:hAnsi="Calibri"/>
                <w:b/>
                <w:color w:val="1A5E37"/>
                <w:sz w:val="19"/>
              </w:rPr>
              <w:t>Threat Intelligence Ingestion</w:t>
            </w:r>
          </w:p>
        </w:tc>
        <w:tc>
          <w:tcPr>
            <w:tcW w:type="dxa" w:w="3120"/>
            <w:shd w:val="clear" w:color="auto" w:fill="EAFAF1"/>
          </w:tcPr>
          <w:p>
            <w:r>
              <w:rPr>
                <w:rFonts w:ascii="Calibri" w:hAnsi="Calibri"/>
                <w:color w:val="2C3E50"/>
                <w:sz w:val="19"/>
              </w:rPr>
              <w:t>6 adapters: NVD, EPSS, KEV, OSV, GHSA, Exploit-DB. SHA-256 provenance tracking.</w:t>
            </w:r>
          </w:p>
        </w:tc>
      </w:tr>
      <w:tr>
        <w:tc>
          <w:tcPr>
            <w:tcW w:type="dxa" w:w="3120"/>
            <w:shd w:val="clear" w:color="auto" w:fill="D5F5E3"/>
          </w:tcPr>
          <w:p>
            <w:pPr>
              <w:jc w:val="center"/>
            </w:pPr>
            <w:r>
              <w:rPr>
                <w:rFonts w:ascii="Calibri" w:hAnsi="Calibri"/>
                <w:sz w:val="19"/>
              </w:rPr>
              <w:t>10</w:t>
            </w:r>
          </w:p>
        </w:tc>
        <w:tc>
          <w:tcPr>
            <w:tcW w:type="dxa" w:w="3120"/>
            <w:shd w:val="clear" w:color="auto" w:fill="D5F5E3"/>
          </w:tcPr>
          <w:p>
            <w:r>
              <w:rPr>
                <w:rFonts w:ascii="Calibri" w:hAnsi="Calibri"/>
                <w:b/>
                <w:color w:val="1A5E37"/>
                <w:sz w:val="19"/>
              </w:rPr>
              <w:t>Event Bus (Redis Streams)</w:t>
            </w:r>
          </w:p>
        </w:tc>
        <w:tc>
          <w:tcPr>
            <w:tcW w:type="dxa" w:w="3120"/>
            <w:shd w:val="clear" w:color="auto" w:fill="D5F5E3"/>
          </w:tcPr>
          <w:p>
            <w:r>
              <w:rPr>
                <w:rFonts w:ascii="Calibri" w:hAnsi="Calibri"/>
                <w:color w:val="2C3E50"/>
                <w:sz w:val="19"/>
              </w:rPr>
              <w:t>Typed pub/sub with agent-signed message envelopes and topic registry.</w:t>
            </w:r>
          </w:p>
        </w:tc>
      </w:tr>
      <w:tr>
        <w:tc>
          <w:tcPr>
            <w:tcW w:type="dxa" w:w="3120"/>
            <w:shd w:val="clear" w:color="auto" w:fill="EAFAF1"/>
          </w:tcPr>
          <w:p>
            <w:pPr>
              <w:jc w:val="center"/>
            </w:pPr>
            <w:r>
              <w:rPr>
                <w:rFonts w:ascii="Calibri" w:hAnsi="Calibri"/>
                <w:sz w:val="19"/>
              </w:rPr>
              <w:t>11</w:t>
            </w:r>
          </w:p>
        </w:tc>
        <w:tc>
          <w:tcPr>
            <w:tcW w:type="dxa" w:w="3120"/>
            <w:shd w:val="clear" w:color="auto" w:fill="EAFAF1"/>
          </w:tcPr>
          <w:p>
            <w:r>
              <w:rPr>
                <w:rFonts w:ascii="Calibri" w:hAnsi="Calibri"/>
                <w:b/>
                <w:color w:val="1A5E37"/>
                <w:sz w:val="19"/>
              </w:rPr>
              <w:t>PostgreSQL Storage Layer</w:t>
            </w:r>
          </w:p>
        </w:tc>
        <w:tc>
          <w:tcPr>
            <w:tcW w:type="dxa" w:w="3120"/>
            <w:shd w:val="clear" w:color="auto" w:fill="EAFAF1"/>
          </w:tcPr>
          <w:p>
            <w:r>
              <w:rPr>
                <w:rFonts w:ascii="Calibri" w:hAnsi="Calibri"/>
                <w:color w:val="2C3E50"/>
                <w:sz w:val="19"/>
              </w:rPr>
              <w:t>Immutable revision storage with provenance queries.</w:t>
            </w:r>
          </w:p>
        </w:tc>
      </w:tr>
      <w:tr>
        <w:tc>
          <w:tcPr>
            <w:tcW w:type="dxa" w:w="3120"/>
            <w:shd w:val="clear" w:color="auto" w:fill="D5F5E3"/>
          </w:tcPr>
          <w:p>
            <w:pPr>
              <w:jc w:val="center"/>
            </w:pPr>
            <w:r>
              <w:rPr>
                <w:rFonts w:ascii="Calibri" w:hAnsi="Calibri"/>
                <w:sz w:val="19"/>
              </w:rPr>
              <w:t>12</w:t>
            </w:r>
          </w:p>
        </w:tc>
        <w:tc>
          <w:tcPr>
            <w:tcW w:type="dxa" w:w="3120"/>
            <w:shd w:val="clear" w:color="auto" w:fill="D5F5E3"/>
          </w:tcPr>
          <w:p>
            <w:r>
              <w:rPr>
                <w:rFonts w:ascii="Calibri" w:hAnsi="Calibri"/>
                <w:b/>
                <w:color w:val="1A5E37"/>
                <w:sz w:val="19"/>
              </w:rPr>
              <w:t>Offensive Subsystem</w:t>
            </w:r>
          </w:p>
        </w:tc>
        <w:tc>
          <w:tcPr>
            <w:tcW w:type="dxa" w:w="3120"/>
            <w:shd w:val="clear" w:color="auto" w:fill="D5F5E3"/>
          </w:tcPr>
          <w:p>
            <w:r>
              <w:rPr>
                <w:rFonts w:ascii="Calibri" w:hAnsi="Calibri"/>
                <w:color w:val="2C3E50"/>
                <w:sz w:val="19"/>
              </w:rPr>
              <w:t>Tool allow-list, sandbox manager, MITRE ATT&amp;CK mapper, detection validator.</w:t>
            </w:r>
          </w:p>
        </w:tc>
      </w:tr>
      <w:tr>
        <w:tc>
          <w:tcPr>
            <w:tcW w:type="dxa" w:w="3120"/>
            <w:shd w:val="clear" w:color="auto" w:fill="EAFAF1"/>
          </w:tcPr>
          <w:p>
            <w:pPr>
              <w:jc w:val="center"/>
            </w:pPr>
            <w:r>
              <w:rPr>
                <w:rFonts w:ascii="Calibri" w:hAnsi="Calibri"/>
                <w:sz w:val="19"/>
              </w:rPr>
              <w:t>13</w:t>
            </w:r>
          </w:p>
        </w:tc>
        <w:tc>
          <w:tcPr>
            <w:tcW w:type="dxa" w:w="3120"/>
            <w:shd w:val="clear" w:color="auto" w:fill="EAFAF1"/>
          </w:tcPr>
          <w:p>
            <w:r>
              <w:rPr>
                <w:rFonts w:ascii="Calibri" w:hAnsi="Calibri"/>
                <w:b/>
                <w:color w:val="1A5E37"/>
                <w:sz w:val="19"/>
              </w:rPr>
              <w:t>CLI Interface</w:t>
            </w:r>
          </w:p>
        </w:tc>
        <w:tc>
          <w:tcPr>
            <w:tcW w:type="dxa" w:w="3120"/>
            <w:shd w:val="clear" w:color="auto" w:fill="EAFAF1"/>
          </w:tcPr>
          <w:p>
            <w:r>
              <w:rPr>
                <w:rFonts w:ascii="Calibri" w:hAnsi="Calibri"/>
                <w:color w:val="2C3E50"/>
                <w:sz w:val="19"/>
              </w:rPr>
              <w:t>Full operator CLI: run, triage, score, ingest, train, evaluate, causal, audit.</w:t>
            </w:r>
          </w:p>
        </w:tc>
      </w:tr>
      <w:tr>
        <w:tc>
          <w:tcPr>
            <w:tcW w:type="dxa" w:w="3120"/>
            <w:shd w:val="clear" w:color="auto" w:fill="D5F5E3"/>
          </w:tcPr>
          <w:p>
            <w:pPr>
              <w:jc w:val="center"/>
            </w:pPr>
            <w:r>
              <w:rPr>
                <w:rFonts w:ascii="Calibri" w:hAnsi="Calibri"/>
                <w:sz w:val="19"/>
              </w:rPr>
              <w:t>14</w:t>
            </w:r>
          </w:p>
        </w:tc>
        <w:tc>
          <w:tcPr>
            <w:tcW w:type="dxa" w:w="3120"/>
            <w:shd w:val="clear" w:color="auto" w:fill="D5F5E3"/>
          </w:tcPr>
          <w:p>
            <w:r>
              <w:rPr>
                <w:rFonts w:ascii="Calibri" w:hAnsi="Calibri"/>
                <w:b/>
                <w:color w:val="1A5E37"/>
                <w:sz w:val="19"/>
              </w:rPr>
              <w:t>Test Suite — 16/16 Passed</w:t>
            </w:r>
          </w:p>
        </w:tc>
        <w:tc>
          <w:tcPr>
            <w:tcW w:type="dxa" w:w="3120"/>
            <w:shd w:val="clear" w:color="auto" w:fill="D5F5E3"/>
          </w:tcPr>
          <w:p>
            <w:r>
              <w:rPr>
                <w:rFonts w:ascii="Calibri" w:hAnsi="Calibri"/>
                <w:color w:val="2C3E50"/>
                <w:sz w:val="19"/>
              </w:rPr>
              <w:t>ORGA, audit, causal, scoring, agent coordination tests verified.</w:t>
            </w:r>
          </w:p>
        </w:tc>
      </w:tr>
      <w:tr>
        <w:tc>
          <w:tcPr>
            <w:tcW w:type="dxa" w:w="3120"/>
            <w:shd w:val="clear" w:color="auto" w:fill="EAFAF1"/>
          </w:tcPr>
          <w:p>
            <w:pPr>
              <w:jc w:val="center"/>
            </w:pPr>
            <w:r>
              <w:rPr>
                <w:rFonts w:ascii="Calibri" w:hAnsi="Calibri"/>
                <w:sz w:val="19"/>
              </w:rPr>
              <w:t>15</w:t>
            </w:r>
          </w:p>
        </w:tc>
        <w:tc>
          <w:tcPr>
            <w:tcW w:type="dxa" w:w="3120"/>
            <w:shd w:val="clear" w:color="auto" w:fill="EAFAF1"/>
          </w:tcPr>
          <w:p>
            <w:r>
              <w:rPr>
                <w:rFonts w:ascii="Calibri" w:hAnsi="Calibri"/>
                <w:b/>
                <w:color w:val="1A5E37"/>
                <w:sz w:val="19"/>
              </w:rPr>
              <w:t>Documentation</w:t>
            </w:r>
          </w:p>
        </w:tc>
        <w:tc>
          <w:tcPr>
            <w:tcW w:type="dxa" w:w="3120"/>
            <w:shd w:val="clear" w:color="auto" w:fill="EAFAF1"/>
          </w:tcPr>
          <w:p>
            <w:r>
              <w:rPr>
                <w:rFonts w:ascii="Calibri" w:hAnsi="Calibri"/>
                <w:color w:val="2C3E50"/>
                <w:sz w:val="19"/>
              </w:rPr>
              <w:t>Architecture, Causal Methodology, Zero-Trust, RoE Template, Authorized Offense Guide.</w:t>
            </w:r>
          </w:p>
        </w:tc>
      </w:tr>
      <w:tr>
        <w:tc>
          <w:tcPr>
            <w:tcW w:type="dxa" w:w="3120"/>
            <w:shd w:val="clear" w:color="auto" w:fill="D5F5E3"/>
          </w:tcPr>
          <w:p>
            <w:pPr>
              <w:jc w:val="center"/>
            </w:pPr>
            <w:r>
              <w:rPr>
                <w:rFonts w:ascii="Calibri" w:hAnsi="Calibri"/>
                <w:sz w:val="19"/>
              </w:rPr>
              <w:t>16</w:t>
            </w:r>
          </w:p>
        </w:tc>
        <w:tc>
          <w:tcPr>
            <w:tcW w:type="dxa" w:w="3120"/>
            <w:shd w:val="clear" w:color="auto" w:fill="D5F5E3"/>
          </w:tcPr>
          <w:p>
            <w:r>
              <w:rPr>
                <w:rFonts w:ascii="Calibri" w:hAnsi="Calibri"/>
                <w:b/>
                <w:color w:val="1A5E37"/>
                <w:sz w:val="19"/>
              </w:rPr>
              <w:t>Git Repository &amp; CI</w:t>
            </w:r>
          </w:p>
        </w:tc>
        <w:tc>
          <w:tcPr>
            <w:tcW w:type="dxa" w:w="3120"/>
            <w:shd w:val="clear" w:color="auto" w:fill="D5F5E3"/>
          </w:tcPr>
          <w:p>
            <w:r>
              <w:rPr>
                <w:rFonts w:ascii="Calibri" w:hAnsi="Calibri"/>
                <w:color w:val="2C3E50"/>
                <w:sz w:val="19"/>
              </w:rPr>
              <w:t>Repository cleaned, history rewritten, successfully pushed to GitHub.</w:t>
            </w:r>
          </w:p>
        </w:tc>
      </w:tr>
    </w:tbl>
    <w:p/>
    <w:p>
      <w:pPr>
        <w:spacing w:before="240" w:after="80"/>
        <w:pBdr>
          <w:bottom w:val="single" w:sz="6" w:space="1" w:color="1B4F72"/>
        </w:pBdr>
      </w:pPr>
      <w:r>
        <w:rPr>
          <w:rFonts w:ascii="Calibri" w:hAnsi="Calibri"/>
          <w:b/>
          <w:color w:val="1B4F72"/>
          <w:sz w:val="24"/>
        </w:rPr>
        <w:t>🔄 In Progress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69B00"/>
            <w:vAlign w:val="center"/>
          </w:tcPr>
          <w:p>
            <w:pPr>
              <w:jc w:val="center"/>
            </w:pPr>
            <w:r/>
            <w:r>
              <w:rPr>
                <w:rFonts w:ascii="Calibri" w:hAnsi="Calibri"/>
                <w:b/>
                <w:color w:val="FFFFFF"/>
                <w:sz w:val="20"/>
              </w:rPr>
              <w:t>#</w:t>
            </w:r>
          </w:p>
        </w:tc>
        <w:tc>
          <w:tcPr>
            <w:tcW w:type="dxa" w:w="3120"/>
            <w:shd w:val="clear" w:color="auto" w:fill="E69B00"/>
            <w:vAlign w:val="center"/>
          </w:tcPr>
          <w:p>
            <w:pPr>
              <w:jc w:val="center"/>
            </w:pPr>
            <w:r/>
            <w:r>
              <w:rPr>
                <w:rFonts w:ascii="Calibri" w:hAnsi="Calibri"/>
                <w:b/>
                <w:color w:val="FFFFFF"/>
                <w:sz w:val="20"/>
              </w:rPr>
              <w:t>Component / Feature</w:t>
            </w:r>
          </w:p>
        </w:tc>
        <w:tc>
          <w:tcPr>
            <w:tcW w:type="dxa" w:w="3120"/>
            <w:shd w:val="clear" w:color="auto" w:fill="E69B00"/>
            <w:vAlign w:val="center"/>
          </w:tcPr>
          <w:p>
            <w:pPr>
              <w:jc w:val="center"/>
            </w:pPr>
            <w:r/>
            <w:r>
              <w:rPr>
                <w:rFonts w:ascii="Calibri" w:hAnsi="Calibri"/>
                <w:b/>
                <w:color w:val="FFFFFF"/>
                <w:sz w:val="20"/>
              </w:rPr>
              <w:t>Notes</w:t>
            </w:r>
          </w:p>
        </w:tc>
      </w:tr>
      <w:tr>
        <w:tc>
          <w:tcPr>
            <w:tcW w:type="dxa" w:w="3120"/>
            <w:shd w:val="clear" w:color="auto" w:fill="FFFDE7"/>
          </w:tcPr>
          <w:p>
            <w:pPr>
              <w:jc w:val="center"/>
            </w:pPr>
            <w:r>
              <w:rPr>
                <w:rFonts w:ascii="Calibri" w:hAnsi="Calibri"/>
                <w:sz w:val="19"/>
              </w:rPr>
              <w:t>1</w:t>
            </w:r>
          </w:p>
        </w:tc>
        <w:tc>
          <w:tcPr>
            <w:tcW w:type="dxa" w:w="3120"/>
            <w:shd w:val="clear" w:color="auto" w:fill="FFFDE7"/>
          </w:tcPr>
          <w:p>
            <w:r>
              <w:rPr>
                <w:rFonts w:ascii="Calibri" w:hAnsi="Calibri"/>
                <w:b/>
                <w:color w:val="7D6008"/>
                <w:sz w:val="19"/>
              </w:rPr>
              <w:t>LLM Model Weight Integration</w:t>
            </w:r>
          </w:p>
        </w:tc>
        <w:tc>
          <w:tcPr>
            <w:tcW w:type="dxa" w:w="3120"/>
            <w:shd w:val="clear" w:color="auto" w:fill="FFFDE7"/>
          </w:tcPr>
          <w:p>
            <w:r>
              <w:rPr>
                <w:rFonts w:ascii="Calibri" w:hAnsi="Calibri"/>
                <w:color w:val="2C3E50"/>
                <w:sz w:val="19"/>
              </w:rPr>
              <w:t>Foundation-Sec-8B and SecureBERT weights not yet downloaded/bound. Adapters ready.</w:t>
            </w:r>
          </w:p>
        </w:tc>
      </w:tr>
      <w:tr>
        <w:tc>
          <w:tcPr>
            <w:tcW w:type="dxa" w:w="3120"/>
            <w:shd w:val="clear" w:color="auto" w:fill="FEF9E7"/>
          </w:tcPr>
          <w:p>
            <w:pPr>
              <w:jc w:val="center"/>
            </w:pPr>
            <w:r>
              <w:rPr>
                <w:rFonts w:ascii="Calibri" w:hAnsi="Calibri"/>
                <w:sz w:val="19"/>
              </w:rPr>
              <w:t>2</w:t>
            </w:r>
          </w:p>
        </w:tc>
        <w:tc>
          <w:tcPr>
            <w:tcW w:type="dxa" w:w="3120"/>
            <w:shd w:val="clear" w:color="auto" w:fill="FEF9E7"/>
          </w:tcPr>
          <w:p>
            <w:r>
              <w:rPr>
                <w:rFonts w:ascii="Calibri" w:hAnsi="Calibri"/>
                <w:b/>
                <w:color w:val="7D6008"/>
                <w:sz w:val="19"/>
              </w:rPr>
              <w:t>Production Hardening</w:t>
            </w:r>
          </w:p>
        </w:tc>
        <w:tc>
          <w:tcPr>
            <w:tcW w:type="dxa" w:w="3120"/>
            <w:shd w:val="clear" w:color="auto" w:fill="FEF9E7"/>
          </w:tcPr>
          <w:p>
            <w:r>
              <w:rPr>
                <w:rFonts w:ascii="Calibri" w:hAnsi="Calibri"/>
                <w:color w:val="2C3E50"/>
                <w:sz w:val="19"/>
              </w:rPr>
              <w:t>Rate limiting, circuit breakers, and graceful degradation paths under validation.</w:t>
            </w:r>
          </w:p>
        </w:tc>
      </w:tr>
      <w:tr>
        <w:tc>
          <w:tcPr>
            <w:tcW w:type="dxa" w:w="3120"/>
            <w:shd w:val="clear" w:color="auto" w:fill="FFFDE7"/>
          </w:tcPr>
          <w:p>
            <w:pPr>
              <w:jc w:val="center"/>
            </w:pPr>
            <w:r>
              <w:rPr>
                <w:rFonts w:ascii="Calibri" w:hAnsi="Calibri"/>
                <w:sz w:val="19"/>
              </w:rPr>
              <w:t>3</w:t>
            </w:r>
          </w:p>
        </w:tc>
        <w:tc>
          <w:tcPr>
            <w:tcW w:type="dxa" w:w="3120"/>
            <w:shd w:val="clear" w:color="auto" w:fill="FFFDE7"/>
          </w:tcPr>
          <w:p>
            <w:r>
              <w:rPr>
                <w:rFonts w:ascii="Calibri" w:hAnsi="Calibri"/>
                <w:b/>
                <w:color w:val="7D6008"/>
                <w:sz w:val="19"/>
              </w:rPr>
              <w:t>Docker Deployment Stack</w:t>
            </w:r>
          </w:p>
        </w:tc>
        <w:tc>
          <w:tcPr>
            <w:tcW w:type="dxa" w:w="3120"/>
            <w:shd w:val="clear" w:color="auto" w:fill="FFFDE7"/>
          </w:tcPr>
          <w:p>
            <w:r>
              <w:rPr>
                <w:rFonts w:ascii="Calibri" w:hAnsi="Calibri"/>
                <w:color w:val="2C3E50"/>
                <w:sz w:val="19"/>
              </w:rPr>
              <w:t>docker-compose.yml present; full integration testing in containerized environment pending.</w:t>
            </w:r>
          </w:p>
        </w:tc>
      </w:tr>
    </w:tbl>
    <w:p/>
    <w:p>
      <w:pPr>
        <w:spacing w:before="240" w:after="80"/>
        <w:pBdr>
          <w:bottom w:val="single" w:sz="6" w:space="1" w:color="1B4F72"/>
        </w:pBdr>
      </w:pPr>
      <w:r>
        <w:rPr>
          <w:rFonts w:ascii="Calibri" w:hAnsi="Calibri"/>
          <w:b/>
          <w:color w:val="1B4F72"/>
          <w:sz w:val="24"/>
        </w:rPr>
        <w:t>⏳ Pending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C0392B"/>
            <w:vAlign w:val="center"/>
          </w:tcPr>
          <w:p>
            <w:pPr>
              <w:jc w:val="center"/>
            </w:pPr>
            <w:r/>
            <w:r>
              <w:rPr>
                <w:rFonts w:ascii="Calibri" w:hAnsi="Calibri"/>
                <w:b/>
                <w:color w:val="FFFFFF"/>
                <w:sz w:val="20"/>
              </w:rPr>
              <w:t>#</w:t>
            </w:r>
          </w:p>
        </w:tc>
        <w:tc>
          <w:tcPr>
            <w:tcW w:type="dxa" w:w="3120"/>
            <w:shd w:val="clear" w:color="auto" w:fill="C0392B"/>
            <w:vAlign w:val="center"/>
          </w:tcPr>
          <w:p>
            <w:pPr>
              <w:jc w:val="center"/>
            </w:pPr>
            <w:r/>
            <w:r>
              <w:rPr>
                <w:rFonts w:ascii="Calibri" w:hAnsi="Calibri"/>
                <w:b/>
                <w:color w:val="FFFFFF"/>
                <w:sz w:val="20"/>
              </w:rPr>
              <w:t>Component / Feature</w:t>
            </w:r>
          </w:p>
        </w:tc>
        <w:tc>
          <w:tcPr>
            <w:tcW w:type="dxa" w:w="3120"/>
            <w:shd w:val="clear" w:color="auto" w:fill="C0392B"/>
            <w:vAlign w:val="center"/>
          </w:tcPr>
          <w:p>
            <w:pPr>
              <w:jc w:val="center"/>
            </w:pPr>
            <w:r/>
            <w:r>
              <w:rPr>
                <w:rFonts w:ascii="Calibri" w:hAnsi="Calibri"/>
                <w:b/>
                <w:color w:val="FFFFFF"/>
                <w:sz w:val="20"/>
              </w:rPr>
              <w:t>Notes</w:t>
            </w:r>
          </w:p>
        </w:tc>
      </w:tr>
      <w:tr>
        <w:tc>
          <w:tcPr>
            <w:tcW w:type="dxa" w:w="3120"/>
            <w:shd w:val="clear" w:color="auto" w:fill="FDEDEC"/>
          </w:tcPr>
          <w:p>
            <w:pPr>
              <w:jc w:val="center"/>
            </w:pPr>
            <w:r>
              <w:rPr>
                <w:rFonts w:ascii="Calibri" w:hAnsi="Calibri"/>
                <w:sz w:val="19"/>
              </w:rPr>
              <w:t>1</w:t>
            </w:r>
          </w:p>
        </w:tc>
        <w:tc>
          <w:tcPr>
            <w:tcW w:type="dxa" w:w="3120"/>
            <w:shd w:val="clear" w:color="auto" w:fill="FDEDEC"/>
          </w:tcPr>
          <w:p>
            <w:r>
              <w:rPr>
                <w:rFonts w:ascii="Calibri" w:hAnsi="Calibri"/>
                <w:b/>
                <w:color w:val="78160E"/>
                <w:sz w:val="19"/>
              </w:rPr>
              <w:t>Distributed Agent Cluster Mode</w:t>
            </w:r>
          </w:p>
        </w:tc>
        <w:tc>
          <w:tcPr>
            <w:tcW w:type="dxa" w:w="3120"/>
            <w:shd w:val="clear" w:color="auto" w:fill="FDEDEC"/>
          </w:tcPr>
          <w:p>
            <w:r>
              <w:rPr>
                <w:rFonts w:ascii="Calibri" w:hAnsi="Calibri"/>
                <w:color w:val="2C3E50"/>
                <w:sz w:val="19"/>
              </w:rPr>
              <w:t>Multi-node deployment across multiple physical hosts.</w:t>
            </w:r>
          </w:p>
        </w:tc>
      </w:tr>
      <w:tr>
        <w:tc>
          <w:tcPr>
            <w:tcW w:type="dxa" w:w="3120"/>
            <w:shd w:val="clear" w:color="auto" w:fill="FADBD8"/>
          </w:tcPr>
          <w:p>
            <w:pPr>
              <w:jc w:val="center"/>
            </w:pPr>
            <w:r>
              <w:rPr>
                <w:rFonts w:ascii="Calibri" w:hAnsi="Calibri"/>
                <w:sz w:val="19"/>
              </w:rPr>
              <w:t>2</w:t>
            </w:r>
          </w:p>
        </w:tc>
        <w:tc>
          <w:tcPr>
            <w:tcW w:type="dxa" w:w="3120"/>
            <w:shd w:val="clear" w:color="auto" w:fill="FADBD8"/>
          </w:tcPr>
          <w:p>
            <w:r>
              <w:rPr>
                <w:rFonts w:ascii="Calibri" w:hAnsi="Calibri"/>
                <w:b/>
                <w:color w:val="78160E"/>
                <w:sz w:val="19"/>
              </w:rPr>
              <w:t>Real-Time Asset Topology Integration</w:t>
            </w:r>
          </w:p>
        </w:tc>
        <w:tc>
          <w:tcPr>
            <w:tcW w:type="dxa" w:w="3120"/>
            <w:shd w:val="clear" w:color="auto" w:fill="FADBD8"/>
          </w:tcPr>
          <w:p>
            <w:r>
              <w:rPr>
                <w:rFonts w:ascii="Calibri" w:hAnsi="Calibri"/>
                <w:color w:val="2C3E50"/>
                <w:sz w:val="19"/>
              </w:rPr>
              <w:t>Live network scanning and CMDB integration for dynamic CPG updates.</w:t>
            </w:r>
          </w:p>
        </w:tc>
      </w:tr>
      <w:tr>
        <w:tc>
          <w:tcPr>
            <w:tcW w:type="dxa" w:w="3120"/>
            <w:shd w:val="clear" w:color="auto" w:fill="FDEDEC"/>
          </w:tcPr>
          <w:p>
            <w:pPr>
              <w:jc w:val="center"/>
            </w:pPr>
            <w:r>
              <w:rPr>
                <w:rFonts w:ascii="Calibri" w:hAnsi="Calibri"/>
                <w:sz w:val="19"/>
              </w:rPr>
              <w:t>3</w:t>
            </w:r>
          </w:p>
        </w:tc>
        <w:tc>
          <w:tcPr>
            <w:tcW w:type="dxa" w:w="3120"/>
            <w:shd w:val="clear" w:color="auto" w:fill="FDEDEC"/>
          </w:tcPr>
          <w:p>
            <w:r>
              <w:rPr>
                <w:rFonts w:ascii="Calibri" w:hAnsi="Calibri"/>
                <w:b/>
                <w:color w:val="78160E"/>
                <w:sz w:val="19"/>
              </w:rPr>
              <w:t>Enterprise SSO / RBAC Integration</w:t>
            </w:r>
          </w:p>
        </w:tc>
        <w:tc>
          <w:tcPr>
            <w:tcW w:type="dxa" w:w="3120"/>
            <w:shd w:val="clear" w:color="auto" w:fill="FDEDEC"/>
          </w:tcPr>
          <w:p>
            <w:r>
              <w:rPr>
                <w:rFonts w:ascii="Calibri" w:hAnsi="Calibri"/>
                <w:color w:val="2C3E50"/>
                <w:sz w:val="19"/>
              </w:rPr>
              <w:t>Organizational identity provider integration for production deployments.</w:t>
            </w:r>
          </w:p>
        </w:tc>
      </w:tr>
      <w:tr>
        <w:tc>
          <w:tcPr>
            <w:tcW w:type="dxa" w:w="3120"/>
            <w:shd w:val="clear" w:color="auto" w:fill="FADBD8"/>
          </w:tcPr>
          <w:p>
            <w:pPr>
              <w:jc w:val="center"/>
            </w:pPr>
            <w:r>
              <w:rPr>
                <w:rFonts w:ascii="Calibri" w:hAnsi="Calibri"/>
                <w:sz w:val="19"/>
              </w:rPr>
              <w:t>4</w:t>
            </w:r>
          </w:p>
        </w:tc>
        <w:tc>
          <w:tcPr>
            <w:tcW w:type="dxa" w:w="3120"/>
            <w:shd w:val="clear" w:color="auto" w:fill="FADBD8"/>
          </w:tcPr>
          <w:p>
            <w:r>
              <w:rPr>
                <w:rFonts w:ascii="Calibri" w:hAnsi="Calibri"/>
                <w:b/>
                <w:color w:val="78160E"/>
                <w:sz w:val="19"/>
              </w:rPr>
              <w:t>Dashboard / API Consumer Layer</w:t>
            </w:r>
          </w:p>
        </w:tc>
        <w:tc>
          <w:tcPr>
            <w:tcW w:type="dxa" w:w="3120"/>
            <w:shd w:val="clear" w:color="auto" w:fill="FADBD8"/>
          </w:tcPr>
          <w:p>
            <w:r>
              <w:rPr>
                <w:rFonts w:ascii="Calibri" w:hAnsi="Calibri"/>
                <w:color w:val="2C3E50"/>
                <w:sz w:val="19"/>
              </w:rPr>
              <w:t>REST API and optional web UI for human operators (separate project scope).</w:t>
            </w:r>
          </w:p>
        </w:tc>
      </w:tr>
    </w:tbl>
    <w:p>
      <w:r>
        <w:br w:type="page"/>
      </w:r>
    </w:p>
    <w:p>
      <w:pPr>
        <w:spacing w:before="320" w:after="80"/>
        <w:shd w:val="clear" w:color="auto" w:fill="0D1B2A"/>
        <w:ind w:left="170" w:right="170"/>
      </w:pPr>
      <w:r>
        <w:rPr>
          <w:rFonts w:ascii="Calibri" w:hAnsi="Calibri"/>
          <w:b/>
          <w:color w:val="FFFFFF"/>
          <w:sz w:val="30"/>
        </w:rPr>
        <w:t>12. ADVANTAGES OF THE NEW ARCHITECTURE &amp; APPROACHES</w:t>
      </w:r>
    </w:p>
    <w:tbl>
      <w:tblPr>
        <w:tblStyle w:val="TableGrid"/>
        <w:tblW w:type="auto" w:w="0"/>
        <w:tblLook w:firstColumn="1" w:firstRow="1" w:lastColumn="0" w:lastRow="0" w:noHBand="0" w:noVBand="1" w:val="04A0"/>
      </w:tblPr>
      <w:tblGrid>
        <w:gridCol w:w="2835"/>
        <w:gridCol w:w="6520"/>
      </w:tblGrid>
      <w:tr>
        <w:tc>
          <w:tcPr>
            <w:tcW w:type="dxa" w:w="4680"/>
            <w:shd w:val="clear" w:color="auto" w:fill="0D1B2A"/>
            <w:vAlign w:val="center"/>
          </w:tcPr>
          <w:p>
            <w:pPr>
              <w:jc w:val="center"/>
            </w:pPr>
            <w:r/>
            <w:r>
              <w:rPr>
                <w:rFonts w:ascii="Calibri" w:hAnsi="Calibri"/>
                <w:b/>
                <w:color w:val="FFFFFF"/>
                <w:sz w:val="20"/>
              </w:rPr>
              <w:t>Advantage</w:t>
            </w:r>
          </w:p>
        </w:tc>
        <w:tc>
          <w:tcPr>
            <w:tcW w:type="dxa" w:w="4680"/>
            <w:shd w:val="clear" w:color="auto" w:fill="0D1B2A"/>
            <w:vAlign w:val="center"/>
          </w:tcPr>
          <w:p>
            <w:pPr>
              <w:jc w:val="center"/>
            </w:pPr>
            <w:r/>
            <w:r>
              <w:rPr>
                <w:rFonts w:ascii="Calibri" w:hAnsi="Calibri"/>
                <w:b/>
                <w:color w:val="FFFFFF"/>
                <w:sz w:val="20"/>
              </w:rPr>
              <w:t>Detail</w:t>
            </w:r>
          </w:p>
        </w:tc>
      </w:tr>
      <w:tr>
        <w:tc>
          <w:tcPr>
            <w:tcW w:type="dxa" w:w="4680"/>
            <w:shd w:val="clear" w:color="auto" w:fill="0D1B2A"/>
          </w:tcPr>
          <w:p>
            <w:r>
              <w:rPr>
                <w:rFonts w:ascii="Calibri" w:hAnsi="Calibri"/>
                <w:b/>
                <w:color w:val="218BC6"/>
                <w:sz w:val="19"/>
              </w:rPr>
              <w:t>Technical Superiority — Causal over Associational</w:t>
            </w:r>
          </w:p>
        </w:tc>
        <w:tc>
          <w:tcPr>
            <w:tcW w:type="dxa" w:w="4680"/>
            <w:shd w:val="clear" w:color="auto" w:fill="FDFEFE"/>
          </w:tcPr>
          <w:p>
            <w:r>
              <w:rPr>
                <w:rFonts w:ascii="Calibri" w:hAnsi="Calibri"/>
                <w:color w:val="2C3E50"/>
                <w:sz w:val="19"/>
              </w:rPr>
              <w:t>ACID is the only vulnerability management system known to apply Pearl's complete Causal Hierarchy — from observational statistics to do-calculus interventions to counterfactual reasoning — to automated remediation prioritization. This eliminates the systematic false positives produced by CVSS-only and EPSS-only approaches.</w:t>
            </w:r>
          </w:p>
        </w:tc>
      </w:tr>
      <w:tr>
        <w:tc>
          <w:tcPr>
            <w:tcW w:type="dxa" w:w="4680"/>
            <w:shd w:val="clear" w:color="auto" w:fill="1B4F72"/>
          </w:tcPr>
          <w:p>
            <w:r>
              <w:rPr>
                <w:rFonts w:ascii="Calibri" w:hAnsi="Calibri"/>
                <w:b/>
                <w:color w:val="218BC6"/>
                <w:sz w:val="19"/>
              </w:rPr>
              <w:t>Structural Safety — Not Prompt-Based Safety</w:t>
            </w:r>
          </w:p>
        </w:tc>
        <w:tc>
          <w:tcPr>
            <w:tcW w:type="dxa" w:w="4680"/>
            <w:shd w:val="clear" w:color="auto" w:fill="EBF5FB"/>
          </w:tcPr>
          <w:p>
            <w:r>
              <w:rPr>
                <w:rFonts w:ascii="Calibri" w:hAnsi="Calibri"/>
                <w:color w:val="2C3E50"/>
                <w:sz w:val="19"/>
              </w:rPr>
              <w:t>Conventional AI security tools rely on LLM prompt instructions to prevent unauthorized actions. ACID's zero-trust guarantee is structural: a Python TypeError prevents gate-skipping at the language level. This guarantee holds even if the LLM produces adversarial, hallucinated, or malicious output.</w:t>
            </w:r>
          </w:p>
        </w:tc>
      </w:tr>
      <w:tr>
        <w:tc>
          <w:tcPr>
            <w:tcW w:type="dxa" w:w="4680"/>
            <w:shd w:val="clear" w:color="auto" w:fill="0D1B2A"/>
          </w:tcPr>
          <w:p>
            <w:r>
              <w:rPr>
                <w:rFonts w:ascii="Calibri" w:hAnsi="Calibri"/>
                <w:b/>
                <w:color w:val="218BC6"/>
                <w:sz w:val="19"/>
              </w:rPr>
              <w:t>Forensic Auditability</w:t>
            </w:r>
          </w:p>
        </w:tc>
        <w:tc>
          <w:tcPr>
            <w:tcW w:type="dxa" w:w="4680"/>
            <w:shd w:val="clear" w:color="auto" w:fill="FDFEFE"/>
          </w:tcPr>
          <w:p>
            <w:r>
              <w:rPr>
                <w:rFonts w:ascii="Calibri" w:hAnsi="Calibri"/>
                <w:color w:val="2C3E50"/>
                <w:sz w:val="19"/>
              </w:rPr>
              <w:t>The SHA-256 hash-chained audit journal with Ed25519 agent signatures provides forensic-grade traceability for every autonomous decision. This satisfies audit requirements under SOX, HIPAA, PCI-DSS, and ISO 27001 that no existing agentic framework can meet.</w:t>
            </w:r>
          </w:p>
        </w:tc>
      </w:tr>
      <w:tr>
        <w:tc>
          <w:tcPr>
            <w:tcW w:type="dxa" w:w="4680"/>
            <w:shd w:val="clear" w:color="auto" w:fill="1B4F72"/>
          </w:tcPr>
          <w:p>
            <w:r>
              <w:rPr>
                <w:rFonts w:ascii="Calibri" w:hAnsi="Calibri"/>
                <w:b/>
                <w:color w:val="218BC6"/>
                <w:sz w:val="19"/>
              </w:rPr>
              <w:t>Unified Blue/Red/Purple Operations</w:t>
            </w:r>
          </w:p>
        </w:tc>
        <w:tc>
          <w:tcPr>
            <w:tcW w:type="dxa" w:w="4680"/>
            <w:shd w:val="clear" w:color="auto" w:fill="EBF5FB"/>
          </w:tcPr>
          <w:p>
            <w:r>
              <w:rPr>
                <w:rFonts w:ascii="Calibri" w:hAnsi="Calibri"/>
                <w:color w:val="2C3E50"/>
                <w:sz w:val="19"/>
              </w:rPr>
              <w:t>ACID eliminates the operational silos between defensive, offensive, and validation teams. A single governed orchestration plane coordinates all three, with purple team validation automatically correlating attack simulations with detection gaps.</w:t>
            </w:r>
          </w:p>
        </w:tc>
      </w:tr>
      <w:tr>
        <w:tc>
          <w:tcPr>
            <w:tcW w:type="dxa" w:w="4680"/>
            <w:shd w:val="clear" w:color="auto" w:fill="0D1B2A"/>
          </w:tcPr>
          <w:p>
            <w:r>
              <w:rPr>
                <w:rFonts w:ascii="Calibri" w:hAnsi="Calibri"/>
                <w:b/>
                <w:color w:val="218BC6"/>
                <w:sz w:val="19"/>
              </w:rPr>
              <w:t>Scalability</w:t>
            </w:r>
          </w:p>
        </w:tc>
        <w:tc>
          <w:tcPr>
            <w:tcW w:type="dxa" w:w="4680"/>
            <w:shd w:val="clear" w:color="auto" w:fill="FDFEFE"/>
          </w:tcPr>
          <w:p>
            <w:r>
              <w:rPr>
                <w:rFonts w:ascii="Calibri" w:hAnsi="Calibri"/>
                <w:color w:val="2C3E50"/>
                <w:sz w:val="19"/>
              </w:rPr>
              <w:t>The event-driven, Redis Streams-based architecture scales horizontally. Additional agents can be deployed without modifying the orchestration layer. The CPG and SCM are designed for incremental updates, avoiding expensive full recomputation.</w:t>
            </w:r>
          </w:p>
        </w:tc>
      </w:tr>
      <w:tr>
        <w:tc>
          <w:tcPr>
            <w:tcW w:type="dxa" w:w="4680"/>
            <w:shd w:val="clear" w:color="auto" w:fill="1B4F72"/>
          </w:tcPr>
          <w:p>
            <w:r>
              <w:rPr>
                <w:rFonts w:ascii="Calibri" w:hAnsi="Calibri"/>
                <w:b/>
                <w:color w:val="218BC6"/>
                <w:sz w:val="19"/>
              </w:rPr>
              <w:t>Maintainability</w:t>
            </w:r>
          </w:p>
        </w:tc>
        <w:tc>
          <w:tcPr>
            <w:tcW w:type="dxa" w:w="4680"/>
            <w:shd w:val="clear" w:color="auto" w:fill="EBF5FB"/>
          </w:tcPr>
          <w:p>
            <w:r>
              <w:rPr>
                <w:rFonts w:ascii="Calibri" w:hAnsi="Calibri"/>
                <w:color w:val="2C3E50"/>
                <w:sz w:val="19"/>
              </w:rPr>
              <w:t>Strict module separation (11 agents, 7 subsystems, each with a single responsibility) and comprehensive test coverage (16 tests across all critical invariants) enable confident iteration. Adding a new agent requires implementing one interface and registering one event subscription.</w:t>
            </w:r>
          </w:p>
        </w:tc>
      </w:tr>
      <w:tr>
        <w:tc>
          <w:tcPr>
            <w:tcW w:type="dxa" w:w="4680"/>
            <w:shd w:val="clear" w:color="auto" w:fill="0D1B2A"/>
          </w:tcPr>
          <w:p>
            <w:r>
              <w:rPr>
                <w:rFonts w:ascii="Calibri" w:hAnsi="Calibri"/>
                <w:b/>
                <w:color w:val="218BC6"/>
                <w:sz w:val="19"/>
              </w:rPr>
              <w:t>Business Value</w:t>
            </w:r>
          </w:p>
        </w:tc>
        <w:tc>
          <w:tcPr>
            <w:tcW w:type="dxa" w:w="4680"/>
            <w:shd w:val="clear" w:color="auto" w:fill="FDFEFE"/>
          </w:tcPr>
          <w:p>
            <w:r>
              <w:rPr>
                <w:rFonts w:ascii="Calibri" w:hAnsi="Calibri"/>
                <w:color w:val="2C3E50"/>
                <w:sz w:val="19"/>
              </w:rPr>
              <w:t>By prioritizing vulnerabilities based on causal attack path breakage rather than raw severity, ACID enables security teams to reduce Mean Time to Remediate (MTTR) by focusing effort on the smallest set of fixes with the maximum risk reduction — a measurable improvement in security ROI.</w:t>
            </w:r>
          </w:p>
        </w:tc>
      </w:tr>
    </w:tbl>
    <w:p>
      <w:pPr>
        <w:spacing w:before="320" w:after="80"/>
        <w:shd w:val="clear" w:color="auto" w:fill="0D1B2A"/>
        <w:ind w:left="170" w:right="170"/>
      </w:pPr>
      <w:r>
        <w:rPr>
          <w:rFonts w:ascii="Calibri" w:hAnsi="Calibri"/>
          <w:b/>
          <w:color w:val="FFFFFF"/>
          <w:sz w:val="30"/>
        </w:rPr>
        <w:t>13. RELEVANCE TO NEXT-GENERATION AI CAPABILITIES</w:t>
      </w:r>
    </w:p>
    <w:p>
      <w:pPr>
        <w:spacing w:before="40" w:after="80"/>
      </w:pPr>
      <w:r>
        <w:rPr>
          <w:rFonts w:ascii="Calibri" w:hAnsi="Calibri"/>
          <w:color w:val="2C3E50"/>
          <w:sz w:val="21"/>
        </w:rPr>
        <w:t>ACID is not a point solution — it is a reference architecture for the next generation of enterprise AI systems. Its design decisions directly address the most critical challenges facing agentic AI deployment in regulated, high-stakes environments.</w:t>
      </w:r>
    </w:p>
    <w:p>
      <w:pPr>
        <w:spacing w:before="160" w:after="60"/>
      </w:pPr>
      <w:r>
        <w:rPr>
          <w:rFonts w:ascii="Calibri" w:hAnsi="Calibri"/>
          <w:b/>
          <w:color w:val="0D1B2A"/>
          <w:sz w:val="22"/>
        </w:rPr>
        <w:t>▶ Agentic AI Systems (2025–2030)</w:t>
      </w:r>
    </w:p>
    <w:p>
      <w:pPr>
        <w:spacing w:before="40" w:after="80"/>
        <w:ind w:left="340"/>
      </w:pPr>
      <w:r>
        <w:rPr>
          <w:rFonts w:ascii="Calibri" w:hAnsi="Calibri"/>
          <w:color w:val="2C3E50"/>
          <w:sz w:val="21"/>
        </w:rPr>
        <w:t>ACID demonstrates a production-viable pattern for deploying multiple autonomous AI agents in a governed, auditable, and structurally safe manner. As the industry moves toward agentic workflows (coding assistants, security automation, enterprise process agents), ACID's ORGA loop and cryptographic audit journal provide a reusable safety blueprint.</w:t>
      </w:r>
    </w:p>
    <w:p>
      <w:pPr>
        <w:spacing w:before="160" w:after="60"/>
      </w:pPr>
      <w:r>
        <w:rPr>
          <w:rFonts w:ascii="Calibri" w:hAnsi="Calibri"/>
          <w:b/>
          <w:color w:val="0D1B2A"/>
          <w:sz w:val="22"/>
        </w:rPr>
        <w:t>▶ Causal AI — The Next Frontier</w:t>
      </w:r>
    </w:p>
    <w:p>
      <w:pPr>
        <w:spacing w:before="40" w:after="80"/>
        <w:ind w:left="340"/>
      </w:pPr>
      <w:r>
        <w:rPr>
          <w:rFonts w:ascii="Calibri" w:hAnsi="Calibri"/>
          <w:color w:val="2C3E50"/>
          <w:sz w:val="21"/>
        </w:rPr>
        <w:t>Leading AI research institutions (MIT, DeepMind, Yoshua Bengio's lab) identify causal reasoning as the key capability gap between current ML systems and true artificial general intelligence. ACID implements operational causal AI in a production context today — positioning the project at the frontier of applied AI research.</w:t>
      </w:r>
    </w:p>
    <w:p>
      <w:pPr>
        <w:spacing w:before="160" w:after="60"/>
      </w:pPr>
      <w:r>
        <w:rPr>
          <w:rFonts w:ascii="Calibri" w:hAnsi="Calibri"/>
          <w:b/>
          <w:color w:val="0D1B2A"/>
          <w:sz w:val="22"/>
        </w:rPr>
        <w:t>▶ Real-Time Threat Intelligence</w:t>
      </w:r>
    </w:p>
    <w:p>
      <w:pPr>
        <w:spacing w:before="40" w:after="80"/>
        <w:ind w:left="340"/>
      </w:pPr>
      <w:r>
        <w:rPr>
          <w:rFonts w:ascii="Calibri" w:hAnsi="Calibri"/>
          <w:color w:val="2C3E50"/>
          <w:sz w:val="21"/>
        </w:rPr>
        <w:t>The Redis Streams event bus and incremental CPG update architecture support real-time, sub-second response to new threat intelligence. As adversaries move faster, real-time autonomous response will become a mandatory capability — ACID's architecture is already aligned.</w:t>
      </w:r>
    </w:p>
    <w:p>
      <w:pPr>
        <w:spacing w:before="160" w:after="60"/>
      </w:pPr>
      <w:r>
        <w:rPr>
          <w:rFonts w:ascii="Calibri" w:hAnsi="Calibri"/>
          <w:b/>
          <w:color w:val="0D1B2A"/>
          <w:sz w:val="22"/>
        </w:rPr>
        <w:t>▶ Continuous Learning &amp; Drift Detection</w:t>
      </w:r>
    </w:p>
    <w:p>
      <w:pPr>
        <w:spacing w:before="40" w:after="80"/>
        <w:ind w:left="340"/>
      </w:pPr>
      <w:r>
        <w:rPr>
          <w:rFonts w:ascii="Calibri" w:hAnsi="Calibri"/>
          <w:color w:val="2C3E50"/>
          <w:sz w:val="21"/>
        </w:rPr>
        <w:t>The ML drift detection module (acid/ml/drift.py) monitors feature distribution shifts and triggers retraining alerts. This positions ACID for continuous learning scenarios where the threat landscape evolves and the model must adapt without manual intervention.</w:t>
      </w:r>
    </w:p>
    <w:p>
      <w:pPr>
        <w:spacing w:before="160" w:after="60"/>
      </w:pPr>
      <w:r>
        <w:rPr>
          <w:rFonts w:ascii="Calibri" w:hAnsi="Calibri"/>
          <w:b/>
          <w:color w:val="0D1B2A"/>
          <w:sz w:val="22"/>
        </w:rPr>
        <w:t>▶ Enterprise AI Governance &amp; Compliance</w:t>
      </w:r>
    </w:p>
    <w:p>
      <w:pPr>
        <w:spacing w:before="40" w:after="80"/>
        <w:ind w:left="340"/>
      </w:pPr>
      <w:r>
        <w:rPr>
          <w:rFonts w:ascii="Calibri" w:hAnsi="Calibri"/>
          <w:color w:val="2C3E50"/>
          <w:sz w:val="21"/>
        </w:rPr>
        <w:t>Regulatory frameworks for AI governance (EU AI Act, NIST AI RMF, ISO/IEC 42001) will mandate explainability, auditability, and human oversight for high-risk AI systems. ACID's SHAP attribution, hash-chained audit journal, and human-in-the-loop gates directly implement these emerging requirements — giving it a significant compliance advantage.</w:t>
      </w:r>
    </w:p>
    <w:p>
      <w:pPr>
        <w:spacing w:before="160" w:after="60"/>
      </w:pPr>
      <w:r>
        <w:rPr>
          <w:rFonts w:ascii="Calibri" w:hAnsi="Calibri"/>
          <w:b/>
          <w:color w:val="0D1B2A"/>
          <w:sz w:val="22"/>
        </w:rPr>
        <w:t>▶ Multi-Modal Threat Intelligence (Future)</w:t>
      </w:r>
    </w:p>
    <w:p>
      <w:pPr>
        <w:spacing w:before="40" w:after="80"/>
        <w:ind w:left="340"/>
      </w:pPr>
      <w:r>
        <w:rPr>
          <w:rFonts w:ascii="Calibri" w:hAnsi="Calibri"/>
          <w:color w:val="2C3E50"/>
          <w:sz w:val="21"/>
        </w:rPr>
        <w:t>The Foundation-Sec-8B adapter is designed to support multi-modal inputs (code, logs, network captures, NLP threat reports). As LLMs evolve toward multi-modal understanding, ACID's intelligence layer can be upgraded without modifying the causal reasoning or zero-trust planes.</w:t>
      </w:r>
    </w:p>
    <w:p>
      <w:r>
        <w:br w:type="page"/>
      </w:r>
    </w:p>
    <w:p>
      <w:pPr>
        <w:spacing w:before="320" w:after="80"/>
        <w:shd w:val="clear" w:color="auto" w:fill="0D1B2A"/>
        <w:ind w:left="170" w:right="170"/>
      </w:pPr>
      <w:r>
        <w:rPr>
          <w:rFonts w:ascii="Calibri" w:hAnsi="Calibri"/>
          <w:b/>
          <w:color w:val="FFFFFF"/>
          <w:sz w:val="30"/>
        </w:rPr>
        <w:t>14. ALIGNMENT WITH ENTERPRISE ARCHITECTURE STANDARDS</w:t>
      </w:r>
    </w:p>
    <w:p>
      <w:pPr>
        <w:spacing w:before="40" w:after="80"/>
      </w:pPr>
      <w:r>
        <w:rPr>
          <w:rFonts w:ascii="Calibri" w:hAnsi="Calibri"/>
          <w:color w:val="2C3E50"/>
          <w:sz w:val="21"/>
        </w:rPr>
        <w:t>ACID has been evaluated against four major Enterprise Architecture frameworks: TOGAF 10, the Zachman Framework, ArchiMate principles, and ISO/IEC/IEEE 42010. The evaluation covers architecture documentation quality, viewpoint coverage, governance alignment, scalability, and conformance to best practices.</w:t>
      </w:r>
    </w:p>
    <w:p>
      <w:pPr>
        <w:spacing w:before="240" w:after="80"/>
        <w:pBdr>
          <w:bottom w:val="single" w:sz="6" w:space="1" w:color="1B4F72"/>
        </w:pBdr>
      </w:pPr>
      <w:r>
        <w:rPr>
          <w:rFonts w:ascii="Calibri" w:hAnsi="Calibri"/>
          <w:b/>
          <w:color w:val="1B4F72"/>
          <w:sz w:val="24"/>
        </w:rPr>
        <w:t>Overall EA Compliance Score: 81%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D1B2A"/>
            <w:vAlign w:val="center"/>
          </w:tcPr>
          <w:p>
            <w:pPr>
              <w:jc w:val="center"/>
            </w:pPr>
            <w:r/>
            <w:r>
              <w:rPr>
                <w:rFonts w:ascii="Calibri" w:hAnsi="Calibri"/>
                <w:b/>
                <w:color w:val="FFFFFF"/>
                <w:sz w:val="20"/>
              </w:rPr>
              <w:t>Framework / Domain</w:t>
            </w:r>
          </w:p>
        </w:tc>
        <w:tc>
          <w:tcPr>
            <w:tcW w:type="dxa" w:w="1872"/>
            <w:shd w:val="clear" w:color="auto" w:fill="0D1B2A"/>
            <w:vAlign w:val="center"/>
          </w:tcPr>
          <w:p>
            <w:pPr>
              <w:jc w:val="center"/>
            </w:pPr>
            <w:r/>
            <w:r>
              <w:rPr>
                <w:rFonts w:ascii="Calibri" w:hAnsi="Calibri"/>
                <w:b/>
                <w:color w:val="FFFFFF"/>
                <w:sz w:val="20"/>
              </w:rPr>
              <w:t>Area Assessed</w:t>
            </w:r>
          </w:p>
        </w:tc>
        <w:tc>
          <w:tcPr>
            <w:tcW w:type="dxa" w:w="1872"/>
            <w:shd w:val="clear" w:color="auto" w:fill="0D1B2A"/>
            <w:vAlign w:val="center"/>
          </w:tcPr>
          <w:p>
            <w:pPr>
              <w:jc w:val="center"/>
            </w:pPr>
            <w:r/>
            <w:r>
              <w:rPr>
                <w:rFonts w:ascii="Calibri" w:hAnsi="Calibri"/>
                <w:b/>
                <w:color w:val="FFFFFF"/>
                <w:sz w:val="20"/>
              </w:rPr>
              <w:t>Score</w:t>
            </w:r>
          </w:p>
        </w:tc>
        <w:tc>
          <w:tcPr>
            <w:tcW w:type="dxa" w:w="1872"/>
            <w:shd w:val="clear" w:color="auto" w:fill="0D1B2A"/>
            <w:vAlign w:val="center"/>
          </w:tcPr>
          <w:p>
            <w:pPr>
              <w:jc w:val="center"/>
            </w:pPr>
            <w:r/>
            <w:r>
              <w:rPr>
                <w:rFonts w:ascii="Calibri" w:hAnsi="Calibri"/>
                <w:b/>
                <w:color w:val="FFFFFF"/>
                <w:sz w:val="20"/>
              </w:rPr>
              <w:t>Weight</w:t>
            </w:r>
          </w:p>
        </w:tc>
        <w:tc>
          <w:tcPr>
            <w:tcW w:type="dxa" w:w="1872"/>
            <w:shd w:val="clear" w:color="auto" w:fill="0D1B2A"/>
            <w:vAlign w:val="center"/>
          </w:tcPr>
          <w:p>
            <w:pPr>
              <w:jc w:val="center"/>
            </w:pPr>
            <w:r/>
            <w:r>
              <w:rPr>
                <w:rFonts w:ascii="Calibri" w:hAnsi="Calibri"/>
                <w:b/>
                <w:color w:val="FFFFFF"/>
                <w:sz w:val="20"/>
              </w:rPr>
              <w:t>Weighted Score</w:t>
            </w:r>
          </w:p>
        </w:tc>
      </w:tr>
      <w:tr>
        <w:tc>
          <w:tcPr>
            <w:tcW w:type="dxa" w:w="1872"/>
            <w:shd w:val="clear" w:color="auto" w:fill="FDFEFE"/>
          </w:tcPr>
          <w:p>
            <w:pPr>
              <w:jc w:val="center"/>
            </w:pPr>
            <w:r>
              <w:rPr>
                <w:rFonts w:ascii="Calibri" w:hAnsi="Calibri"/>
                <w:b/>
                <w:color w:val="1B4F72"/>
                <w:sz w:val="19"/>
              </w:rPr>
              <w:t>TOGAF 10</w:t>
            </w:r>
          </w:p>
        </w:tc>
        <w:tc>
          <w:tcPr>
            <w:tcW w:type="dxa" w:w="1872"/>
            <w:shd w:val="clear" w:color="auto" w:fill="FDFEFE"/>
          </w:tcPr>
          <w:p>
            <w:r>
              <w:rPr>
                <w:rFonts w:ascii="Calibri" w:hAnsi="Calibri"/>
                <w:b w:val="0"/>
                <w:color w:val="2C3E50"/>
                <w:sz w:val="19"/>
              </w:rPr>
              <w:t>Architecture Vision &amp; Scope</w:t>
            </w:r>
          </w:p>
        </w:tc>
        <w:tc>
          <w:tcPr>
            <w:tcW w:type="dxa" w:w="1872"/>
            <w:shd w:val="clear" w:color="auto" w:fill="FDFEFE"/>
          </w:tcPr>
          <w:p>
            <w:pPr>
              <w:jc w:val="center"/>
            </w:pPr>
            <w:r>
              <w:rPr>
                <w:rFonts w:ascii="Calibri" w:hAnsi="Calibri"/>
                <w:b w:val="0"/>
                <w:color w:val="2C3E50"/>
                <w:sz w:val="19"/>
              </w:rPr>
              <w:t>90%</w:t>
            </w:r>
          </w:p>
        </w:tc>
        <w:tc>
          <w:tcPr>
            <w:tcW w:type="dxa" w:w="1872"/>
            <w:shd w:val="clear" w:color="auto" w:fill="FDFEFE"/>
          </w:tcPr>
          <w:p>
            <w:pPr>
              <w:jc w:val="center"/>
            </w:pPr>
            <w:r>
              <w:rPr>
                <w:rFonts w:ascii="Calibri" w:hAnsi="Calibri"/>
                <w:b w:val="0"/>
                <w:color w:val="2C3E50"/>
                <w:sz w:val="19"/>
              </w:rPr>
              <w:t>10%</w:t>
            </w:r>
          </w:p>
        </w:tc>
        <w:tc>
          <w:tcPr>
            <w:tcW w:type="dxa" w:w="1872"/>
            <w:shd w:val="clear" w:color="auto" w:fill="FDFEFE"/>
          </w:tcPr>
          <w:p>
            <w:pPr>
              <w:jc w:val="center"/>
            </w:pPr>
            <w:r>
              <w:rPr>
                <w:rFonts w:ascii="Calibri" w:hAnsi="Calibri"/>
                <w:b w:val="0"/>
                <w:color w:val="2C3E50"/>
                <w:sz w:val="19"/>
              </w:rPr>
              <w:t>9.0%</w:t>
            </w:r>
          </w:p>
        </w:tc>
      </w:tr>
      <w:tr>
        <w:tc>
          <w:tcPr>
            <w:tcW w:type="dxa" w:w="1872"/>
            <w:shd w:val="clear" w:color="auto" w:fill="EBF5FB"/>
          </w:tcPr>
          <w:p>
            <w:pPr>
              <w:jc w:val="center"/>
            </w:pPr>
            <w:r>
              <w:rPr>
                <w:rFonts w:ascii="Calibri" w:hAnsi="Calibri"/>
                <w:b/>
                <w:color w:val="1B4F72"/>
                <w:sz w:val="19"/>
              </w:rPr>
              <w:t>TOGAF 10</w:t>
            </w:r>
          </w:p>
        </w:tc>
        <w:tc>
          <w:tcPr>
            <w:tcW w:type="dxa" w:w="1872"/>
            <w:shd w:val="clear" w:color="auto" w:fill="EBF5FB"/>
          </w:tcPr>
          <w:p>
            <w:r>
              <w:rPr>
                <w:rFonts w:ascii="Calibri" w:hAnsi="Calibri"/>
                <w:b w:val="0"/>
                <w:color w:val="2C3E50"/>
                <w:sz w:val="19"/>
              </w:rPr>
              <w:t>Business Architecture</w:t>
            </w:r>
          </w:p>
        </w:tc>
        <w:tc>
          <w:tcPr>
            <w:tcW w:type="dxa" w:w="1872"/>
            <w:shd w:val="clear" w:color="auto" w:fill="EBF5FB"/>
          </w:tcPr>
          <w:p>
            <w:pPr>
              <w:jc w:val="center"/>
            </w:pPr>
            <w:r>
              <w:rPr>
                <w:rFonts w:ascii="Calibri" w:hAnsi="Calibri"/>
                <w:b w:val="0"/>
                <w:color w:val="2C3E50"/>
                <w:sz w:val="19"/>
              </w:rPr>
              <w:t>75%</w:t>
            </w:r>
          </w:p>
        </w:tc>
        <w:tc>
          <w:tcPr>
            <w:tcW w:type="dxa" w:w="1872"/>
            <w:shd w:val="clear" w:color="auto" w:fill="EBF5FB"/>
          </w:tcPr>
          <w:p>
            <w:pPr>
              <w:jc w:val="center"/>
            </w:pPr>
            <w:r>
              <w:rPr>
                <w:rFonts w:ascii="Calibri" w:hAnsi="Calibri"/>
                <w:b w:val="0"/>
                <w:color w:val="2C3E50"/>
                <w:sz w:val="19"/>
              </w:rPr>
              <w:t>10%</w:t>
            </w:r>
          </w:p>
        </w:tc>
        <w:tc>
          <w:tcPr>
            <w:tcW w:type="dxa" w:w="1872"/>
            <w:shd w:val="clear" w:color="auto" w:fill="EBF5FB"/>
          </w:tcPr>
          <w:p>
            <w:pPr>
              <w:jc w:val="center"/>
            </w:pPr>
            <w:r>
              <w:rPr>
                <w:rFonts w:ascii="Calibri" w:hAnsi="Calibri"/>
                <w:b w:val="0"/>
                <w:color w:val="2C3E50"/>
                <w:sz w:val="19"/>
              </w:rPr>
              <w:t>7.5%</w:t>
            </w:r>
          </w:p>
        </w:tc>
      </w:tr>
      <w:tr>
        <w:tc>
          <w:tcPr>
            <w:tcW w:type="dxa" w:w="1872"/>
            <w:shd w:val="clear" w:color="auto" w:fill="FDFEFE"/>
          </w:tcPr>
          <w:p>
            <w:pPr>
              <w:jc w:val="center"/>
            </w:pPr>
            <w:r>
              <w:rPr>
                <w:rFonts w:ascii="Calibri" w:hAnsi="Calibri"/>
                <w:b/>
                <w:color w:val="1B4F72"/>
                <w:sz w:val="19"/>
              </w:rPr>
              <w:t>TOGAF 10</w:t>
            </w:r>
          </w:p>
        </w:tc>
        <w:tc>
          <w:tcPr>
            <w:tcW w:type="dxa" w:w="1872"/>
            <w:shd w:val="clear" w:color="auto" w:fill="FDFEFE"/>
          </w:tcPr>
          <w:p>
            <w:r>
              <w:rPr>
                <w:rFonts w:ascii="Calibri" w:hAnsi="Calibri"/>
                <w:b w:val="0"/>
                <w:color w:val="2C3E50"/>
                <w:sz w:val="19"/>
              </w:rPr>
              <w:t>Application Architecture</w:t>
            </w:r>
          </w:p>
        </w:tc>
        <w:tc>
          <w:tcPr>
            <w:tcW w:type="dxa" w:w="1872"/>
            <w:shd w:val="clear" w:color="auto" w:fill="FDFEFE"/>
          </w:tcPr>
          <w:p>
            <w:pPr>
              <w:jc w:val="center"/>
            </w:pPr>
            <w:r>
              <w:rPr>
                <w:rFonts w:ascii="Calibri" w:hAnsi="Calibri"/>
                <w:b w:val="0"/>
                <w:color w:val="2C3E50"/>
                <w:sz w:val="19"/>
              </w:rPr>
              <w:t>85%</w:t>
            </w:r>
          </w:p>
        </w:tc>
        <w:tc>
          <w:tcPr>
            <w:tcW w:type="dxa" w:w="1872"/>
            <w:shd w:val="clear" w:color="auto" w:fill="FDFEFE"/>
          </w:tcPr>
          <w:p>
            <w:pPr>
              <w:jc w:val="center"/>
            </w:pPr>
            <w:r>
              <w:rPr>
                <w:rFonts w:ascii="Calibri" w:hAnsi="Calibri"/>
                <w:b w:val="0"/>
                <w:color w:val="2C3E50"/>
                <w:sz w:val="19"/>
              </w:rPr>
              <w:t>10%</w:t>
            </w:r>
          </w:p>
        </w:tc>
        <w:tc>
          <w:tcPr>
            <w:tcW w:type="dxa" w:w="1872"/>
            <w:shd w:val="clear" w:color="auto" w:fill="FDFEFE"/>
          </w:tcPr>
          <w:p>
            <w:pPr>
              <w:jc w:val="center"/>
            </w:pPr>
            <w:r>
              <w:rPr>
                <w:rFonts w:ascii="Calibri" w:hAnsi="Calibri"/>
                <w:b w:val="0"/>
                <w:color w:val="2C3E50"/>
                <w:sz w:val="19"/>
              </w:rPr>
              <w:t>8.5%</w:t>
            </w:r>
          </w:p>
        </w:tc>
      </w:tr>
      <w:tr>
        <w:tc>
          <w:tcPr>
            <w:tcW w:type="dxa" w:w="1872"/>
            <w:shd w:val="clear" w:color="auto" w:fill="EBF5FB"/>
          </w:tcPr>
          <w:p>
            <w:pPr>
              <w:jc w:val="center"/>
            </w:pPr>
            <w:r>
              <w:rPr>
                <w:rFonts w:ascii="Calibri" w:hAnsi="Calibri"/>
                <w:b/>
                <w:color w:val="1B4F72"/>
                <w:sz w:val="19"/>
              </w:rPr>
              <w:t>TOGAF 10</w:t>
            </w:r>
          </w:p>
        </w:tc>
        <w:tc>
          <w:tcPr>
            <w:tcW w:type="dxa" w:w="1872"/>
            <w:shd w:val="clear" w:color="auto" w:fill="EBF5FB"/>
          </w:tcPr>
          <w:p>
            <w:r>
              <w:rPr>
                <w:rFonts w:ascii="Calibri" w:hAnsi="Calibri"/>
                <w:b w:val="0"/>
                <w:color w:val="2C3E50"/>
                <w:sz w:val="19"/>
              </w:rPr>
              <w:t>Technology Architecture</w:t>
            </w:r>
          </w:p>
        </w:tc>
        <w:tc>
          <w:tcPr>
            <w:tcW w:type="dxa" w:w="1872"/>
            <w:shd w:val="clear" w:color="auto" w:fill="EBF5FB"/>
          </w:tcPr>
          <w:p>
            <w:pPr>
              <w:jc w:val="center"/>
            </w:pPr>
            <w:r>
              <w:rPr>
                <w:rFonts w:ascii="Calibri" w:hAnsi="Calibri"/>
                <w:b w:val="0"/>
                <w:color w:val="2C3E50"/>
                <w:sz w:val="19"/>
              </w:rPr>
              <w:t>80%</w:t>
            </w:r>
          </w:p>
        </w:tc>
        <w:tc>
          <w:tcPr>
            <w:tcW w:type="dxa" w:w="1872"/>
            <w:shd w:val="clear" w:color="auto" w:fill="EBF5FB"/>
          </w:tcPr>
          <w:p>
            <w:pPr>
              <w:jc w:val="center"/>
            </w:pPr>
            <w:r>
              <w:rPr>
                <w:rFonts w:ascii="Calibri" w:hAnsi="Calibri"/>
                <w:b w:val="0"/>
                <w:color w:val="2C3E50"/>
                <w:sz w:val="19"/>
              </w:rPr>
              <w:t>10%</w:t>
            </w:r>
          </w:p>
        </w:tc>
        <w:tc>
          <w:tcPr>
            <w:tcW w:type="dxa" w:w="1872"/>
            <w:shd w:val="clear" w:color="auto" w:fill="EBF5FB"/>
          </w:tcPr>
          <w:p>
            <w:pPr>
              <w:jc w:val="center"/>
            </w:pPr>
            <w:r>
              <w:rPr>
                <w:rFonts w:ascii="Calibri" w:hAnsi="Calibri"/>
                <w:b w:val="0"/>
                <w:color w:val="2C3E50"/>
                <w:sz w:val="19"/>
              </w:rPr>
              <w:t>8.0%</w:t>
            </w:r>
          </w:p>
        </w:tc>
      </w:tr>
      <w:tr>
        <w:tc>
          <w:tcPr>
            <w:tcW w:type="dxa" w:w="1872"/>
            <w:shd w:val="clear" w:color="auto" w:fill="FDFEFE"/>
          </w:tcPr>
          <w:p>
            <w:pPr>
              <w:jc w:val="center"/>
            </w:pPr>
            <w:r>
              <w:rPr>
                <w:rFonts w:ascii="Calibri" w:hAnsi="Calibri"/>
                <w:b/>
                <w:color w:val="1B4F72"/>
                <w:sz w:val="19"/>
              </w:rPr>
              <w:t>TOGAF 10</w:t>
            </w:r>
          </w:p>
        </w:tc>
        <w:tc>
          <w:tcPr>
            <w:tcW w:type="dxa" w:w="1872"/>
            <w:shd w:val="clear" w:color="auto" w:fill="FDFEFE"/>
          </w:tcPr>
          <w:p>
            <w:r>
              <w:rPr>
                <w:rFonts w:ascii="Calibri" w:hAnsi="Calibri"/>
                <w:b w:val="0"/>
                <w:color w:val="2C3E50"/>
                <w:sz w:val="19"/>
              </w:rPr>
              <w:t>Architecture Governance</w:t>
            </w:r>
          </w:p>
        </w:tc>
        <w:tc>
          <w:tcPr>
            <w:tcW w:type="dxa" w:w="1872"/>
            <w:shd w:val="clear" w:color="auto" w:fill="FDFEFE"/>
          </w:tcPr>
          <w:p>
            <w:pPr>
              <w:jc w:val="center"/>
            </w:pPr>
            <w:r>
              <w:rPr>
                <w:rFonts w:ascii="Calibri" w:hAnsi="Calibri"/>
                <w:b w:val="0"/>
                <w:color w:val="2C3E50"/>
                <w:sz w:val="19"/>
              </w:rPr>
              <w:t>78%</w:t>
            </w:r>
          </w:p>
        </w:tc>
        <w:tc>
          <w:tcPr>
            <w:tcW w:type="dxa" w:w="1872"/>
            <w:shd w:val="clear" w:color="auto" w:fill="FDFEFE"/>
          </w:tcPr>
          <w:p>
            <w:pPr>
              <w:jc w:val="center"/>
            </w:pPr>
            <w:r>
              <w:rPr>
                <w:rFonts w:ascii="Calibri" w:hAnsi="Calibri"/>
                <w:b w:val="0"/>
                <w:color w:val="2C3E50"/>
                <w:sz w:val="19"/>
              </w:rPr>
              <w:t>10%</w:t>
            </w:r>
          </w:p>
        </w:tc>
        <w:tc>
          <w:tcPr>
            <w:tcW w:type="dxa" w:w="1872"/>
            <w:shd w:val="clear" w:color="auto" w:fill="FDFEFE"/>
          </w:tcPr>
          <w:p>
            <w:pPr>
              <w:jc w:val="center"/>
            </w:pPr>
            <w:r>
              <w:rPr>
                <w:rFonts w:ascii="Calibri" w:hAnsi="Calibri"/>
                <w:b w:val="0"/>
                <w:color w:val="2C3E50"/>
                <w:sz w:val="19"/>
              </w:rPr>
              <w:t>7.8%</w:t>
            </w:r>
          </w:p>
        </w:tc>
      </w:tr>
      <w:tr>
        <w:tc>
          <w:tcPr>
            <w:tcW w:type="dxa" w:w="1872"/>
            <w:shd w:val="clear" w:color="auto" w:fill="EBF5FB"/>
          </w:tcPr>
          <w:p>
            <w:pPr>
              <w:jc w:val="center"/>
            </w:pPr>
            <w:r>
              <w:rPr>
                <w:rFonts w:ascii="Calibri" w:hAnsi="Calibri"/>
                <w:b/>
                <w:color w:val="1B4F72"/>
                <w:sz w:val="19"/>
              </w:rPr>
              <w:t>Zachman</w:t>
            </w:r>
          </w:p>
        </w:tc>
        <w:tc>
          <w:tcPr>
            <w:tcW w:type="dxa" w:w="1872"/>
            <w:shd w:val="clear" w:color="auto" w:fill="EBF5FB"/>
          </w:tcPr>
          <w:p>
            <w:r>
              <w:rPr>
                <w:rFonts w:ascii="Calibri" w:hAnsi="Calibri"/>
                <w:b w:val="0"/>
                <w:color w:val="2C3E50"/>
                <w:sz w:val="19"/>
              </w:rPr>
              <w:t>Data Perspective (What)</w:t>
            </w:r>
          </w:p>
        </w:tc>
        <w:tc>
          <w:tcPr>
            <w:tcW w:type="dxa" w:w="1872"/>
            <w:shd w:val="clear" w:color="auto" w:fill="EBF5FB"/>
          </w:tcPr>
          <w:p>
            <w:pPr>
              <w:jc w:val="center"/>
            </w:pPr>
            <w:r>
              <w:rPr>
                <w:rFonts w:ascii="Calibri" w:hAnsi="Calibri"/>
                <w:b w:val="0"/>
                <w:color w:val="2C3E50"/>
                <w:sz w:val="19"/>
              </w:rPr>
              <w:t>88%</w:t>
            </w:r>
          </w:p>
        </w:tc>
        <w:tc>
          <w:tcPr>
            <w:tcW w:type="dxa" w:w="1872"/>
            <w:shd w:val="clear" w:color="auto" w:fill="EBF5FB"/>
          </w:tcPr>
          <w:p>
            <w:pPr>
              <w:jc w:val="center"/>
            </w:pPr>
            <w:r>
              <w:rPr>
                <w:rFonts w:ascii="Calibri" w:hAnsi="Calibri"/>
                <w:b w:val="0"/>
                <w:color w:val="2C3E50"/>
                <w:sz w:val="19"/>
              </w:rPr>
              <w:t>10%</w:t>
            </w:r>
          </w:p>
        </w:tc>
        <w:tc>
          <w:tcPr>
            <w:tcW w:type="dxa" w:w="1872"/>
            <w:shd w:val="clear" w:color="auto" w:fill="EBF5FB"/>
          </w:tcPr>
          <w:p>
            <w:pPr>
              <w:jc w:val="center"/>
            </w:pPr>
            <w:r>
              <w:rPr>
                <w:rFonts w:ascii="Calibri" w:hAnsi="Calibri"/>
                <w:b w:val="0"/>
                <w:color w:val="2C3E50"/>
                <w:sz w:val="19"/>
              </w:rPr>
              <w:t>8.8%</w:t>
            </w:r>
          </w:p>
        </w:tc>
      </w:tr>
      <w:tr>
        <w:tc>
          <w:tcPr>
            <w:tcW w:type="dxa" w:w="1872"/>
            <w:shd w:val="clear" w:color="auto" w:fill="FDFEFE"/>
          </w:tcPr>
          <w:p>
            <w:pPr>
              <w:jc w:val="center"/>
            </w:pPr>
            <w:r>
              <w:rPr>
                <w:rFonts w:ascii="Calibri" w:hAnsi="Calibri"/>
                <w:b/>
                <w:color w:val="1B4F72"/>
                <w:sz w:val="19"/>
              </w:rPr>
              <w:t>Zachman</w:t>
            </w:r>
          </w:p>
        </w:tc>
        <w:tc>
          <w:tcPr>
            <w:tcW w:type="dxa" w:w="1872"/>
            <w:shd w:val="clear" w:color="auto" w:fill="FDFEFE"/>
          </w:tcPr>
          <w:p>
            <w:r>
              <w:rPr>
                <w:rFonts w:ascii="Calibri" w:hAnsi="Calibri"/>
                <w:b w:val="0"/>
                <w:color w:val="2C3E50"/>
                <w:sz w:val="19"/>
              </w:rPr>
              <w:t>Function/Process Perspective (How)</w:t>
            </w:r>
          </w:p>
        </w:tc>
        <w:tc>
          <w:tcPr>
            <w:tcW w:type="dxa" w:w="1872"/>
            <w:shd w:val="clear" w:color="auto" w:fill="FDFEFE"/>
          </w:tcPr>
          <w:p>
            <w:pPr>
              <w:jc w:val="center"/>
            </w:pPr>
            <w:r>
              <w:rPr>
                <w:rFonts w:ascii="Calibri" w:hAnsi="Calibri"/>
                <w:b w:val="0"/>
                <w:color w:val="2C3E50"/>
                <w:sz w:val="19"/>
              </w:rPr>
              <w:t>90%</w:t>
            </w:r>
          </w:p>
        </w:tc>
        <w:tc>
          <w:tcPr>
            <w:tcW w:type="dxa" w:w="1872"/>
            <w:shd w:val="clear" w:color="auto" w:fill="FDFEFE"/>
          </w:tcPr>
          <w:p>
            <w:pPr>
              <w:jc w:val="center"/>
            </w:pPr>
            <w:r>
              <w:rPr>
                <w:rFonts w:ascii="Calibri" w:hAnsi="Calibri"/>
                <w:b w:val="0"/>
                <w:color w:val="2C3E50"/>
                <w:sz w:val="19"/>
              </w:rPr>
              <w:t>10%</w:t>
            </w:r>
          </w:p>
        </w:tc>
        <w:tc>
          <w:tcPr>
            <w:tcW w:type="dxa" w:w="1872"/>
            <w:shd w:val="clear" w:color="auto" w:fill="FDFEFE"/>
          </w:tcPr>
          <w:p>
            <w:pPr>
              <w:jc w:val="center"/>
            </w:pPr>
            <w:r>
              <w:rPr>
                <w:rFonts w:ascii="Calibri" w:hAnsi="Calibri"/>
                <w:b w:val="0"/>
                <w:color w:val="2C3E50"/>
                <w:sz w:val="19"/>
              </w:rPr>
              <w:t>9.0%</w:t>
            </w:r>
          </w:p>
        </w:tc>
      </w:tr>
      <w:tr>
        <w:tc>
          <w:tcPr>
            <w:tcW w:type="dxa" w:w="1872"/>
            <w:shd w:val="clear" w:color="auto" w:fill="EBF5FB"/>
          </w:tcPr>
          <w:p>
            <w:pPr>
              <w:jc w:val="center"/>
            </w:pPr>
            <w:r>
              <w:rPr>
                <w:rFonts w:ascii="Calibri" w:hAnsi="Calibri"/>
                <w:b/>
                <w:color w:val="1B4F72"/>
                <w:sz w:val="19"/>
              </w:rPr>
              <w:t>Zachman</w:t>
            </w:r>
          </w:p>
        </w:tc>
        <w:tc>
          <w:tcPr>
            <w:tcW w:type="dxa" w:w="1872"/>
            <w:shd w:val="clear" w:color="auto" w:fill="EBF5FB"/>
          </w:tcPr>
          <w:p>
            <w:r>
              <w:rPr>
                <w:rFonts w:ascii="Calibri" w:hAnsi="Calibri"/>
                <w:b w:val="0"/>
                <w:color w:val="2C3E50"/>
                <w:sz w:val="19"/>
              </w:rPr>
              <w:t>People Perspective (Who)</w:t>
            </w:r>
          </w:p>
        </w:tc>
        <w:tc>
          <w:tcPr>
            <w:tcW w:type="dxa" w:w="1872"/>
            <w:shd w:val="clear" w:color="auto" w:fill="EBF5FB"/>
          </w:tcPr>
          <w:p>
            <w:pPr>
              <w:jc w:val="center"/>
            </w:pPr>
            <w:r>
              <w:rPr>
                <w:rFonts w:ascii="Calibri" w:hAnsi="Calibri"/>
                <w:b w:val="0"/>
                <w:color w:val="2C3E50"/>
                <w:sz w:val="19"/>
              </w:rPr>
              <w:t>65%</w:t>
            </w:r>
          </w:p>
        </w:tc>
        <w:tc>
          <w:tcPr>
            <w:tcW w:type="dxa" w:w="1872"/>
            <w:shd w:val="clear" w:color="auto" w:fill="EBF5FB"/>
          </w:tcPr>
          <w:p>
            <w:pPr>
              <w:jc w:val="center"/>
            </w:pPr>
            <w:r>
              <w:rPr>
                <w:rFonts w:ascii="Calibri" w:hAnsi="Calibri"/>
                <w:b w:val="0"/>
                <w:color w:val="2C3E50"/>
                <w:sz w:val="19"/>
              </w:rPr>
              <w:t>5%</w:t>
            </w:r>
          </w:p>
        </w:tc>
        <w:tc>
          <w:tcPr>
            <w:tcW w:type="dxa" w:w="1872"/>
            <w:shd w:val="clear" w:color="auto" w:fill="EBF5FB"/>
          </w:tcPr>
          <w:p>
            <w:pPr>
              <w:jc w:val="center"/>
            </w:pPr>
            <w:r>
              <w:rPr>
                <w:rFonts w:ascii="Calibri" w:hAnsi="Calibri"/>
                <w:b w:val="0"/>
                <w:color w:val="2C3E50"/>
                <w:sz w:val="19"/>
              </w:rPr>
              <w:t>3.25%</w:t>
            </w:r>
          </w:p>
        </w:tc>
      </w:tr>
      <w:tr>
        <w:tc>
          <w:tcPr>
            <w:tcW w:type="dxa" w:w="1872"/>
            <w:shd w:val="clear" w:color="auto" w:fill="FDFEFE"/>
          </w:tcPr>
          <w:p>
            <w:pPr>
              <w:jc w:val="center"/>
            </w:pPr>
            <w:r>
              <w:rPr>
                <w:rFonts w:ascii="Calibri" w:hAnsi="Calibri"/>
                <w:b/>
                <w:color w:val="1B4F72"/>
                <w:sz w:val="19"/>
              </w:rPr>
              <w:t>ArchiMate</w:t>
            </w:r>
          </w:p>
        </w:tc>
        <w:tc>
          <w:tcPr>
            <w:tcW w:type="dxa" w:w="1872"/>
            <w:shd w:val="clear" w:color="auto" w:fill="FDFEFE"/>
          </w:tcPr>
          <w:p>
            <w:r>
              <w:rPr>
                <w:rFonts w:ascii="Calibri" w:hAnsi="Calibri"/>
                <w:b w:val="0"/>
                <w:color w:val="2C3E50"/>
                <w:sz w:val="19"/>
              </w:rPr>
              <w:t>Motivation &amp; Strategy Viewpoint</w:t>
            </w:r>
          </w:p>
        </w:tc>
        <w:tc>
          <w:tcPr>
            <w:tcW w:type="dxa" w:w="1872"/>
            <w:shd w:val="clear" w:color="auto" w:fill="FDFEFE"/>
          </w:tcPr>
          <w:p>
            <w:pPr>
              <w:jc w:val="center"/>
            </w:pPr>
            <w:r>
              <w:rPr>
                <w:rFonts w:ascii="Calibri" w:hAnsi="Calibri"/>
                <w:b w:val="0"/>
                <w:color w:val="2C3E50"/>
                <w:sz w:val="19"/>
              </w:rPr>
              <w:t>85%</w:t>
            </w:r>
          </w:p>
        </w:tc>
        <w:tc>
          <w:tcPr>
            <w:tcW w:type="dxa" w:w="1872"/>
            <w:shd w:val="clear" w:color="auto" w:fill="FDFEFE"/>
          </w:tcPr>
          <w:p>
            <w:pPr>
              <w:jc w:val="center"/>
            </w:pPr>
            <w:r>
              <w:rPr>
                <w:rFonts w:ascii="Calibri" w:hAnsi="Calibri"/>
                <w:b w:val="0"/>
                <w:color w:val="2C3E50"/>
                <w:sz w:val="19"/>
              </w:rPr>
              <w:t>5%</w:t>
            </w:r>
          </w:p>
        </w:tc>
        <w:tc>
          <w:tcPr>
            <w:tcW w:type="dxa" w:w="1872"/>
            <w:shd w:val="clear" w:color="auto" w:fill="FDFEFE"/>
          </w:tcPr>
          <w:p>
            <w:pPr>
              <w:jc w:val="center"/>
            </w:pPr>
            <w:r>
              <w:rPr>
                <w:rFonts w:ascii="Calibri" w:hAnsi="Calibri"/>
                <w:b w:val="0"/>
                <w:color w:val="2C3E50"/>
                <w:sz w:val="19"/>
              </w:rPr>
              <w:t>4.25%</w:t>
            </w:r>
          </w:p>
        </w:tc>
      </w:tr>
      <w:tr>
        <w:tc>
          <w:tcPr>
            <w:tcW w:type="dxa" w:w="1872"/>
            <w:shd w:val="clear" w:color="auto" w:fill="EBF5FB"/>
          </w:tcPr>
          <w:p>
            <w:pPr>
              <w:jc w:val="center"/>
            </w:pPr>
            <w:r>
              <w:rPr>
                <w:rFonts w:ascii="Calibri" w:hAnsi="Calibri"/>
                <w:b/>
                <w:color w:val="1B4F72"/>
                <w:sz w:val="19"/>
              </w:rPr>
              <w:t>ArchiMate</w:t>
            </w:r>
          </w:p>
        </w:tc>
        <w:tc>
          <w:tcPr>
            <w:tcW w:type="dxa" w:w="1872"/>
            <w:shd w:val="clear" w:color="auto" w:fill="EBF5FB"/>
          </w:tcPr>
          <w:p>
            <w:r>
              <w:rPr>
                <w:rFonts w:ascii="Calibri" w:hAnsi="Calibri"/>
                <w:b w:val="0"/>
                <w:color w:val="2C3E50"/>
                <w:sz w:val="19"/>
              </w:rPr>
              <w:t>Technology &amp; Physical Viewpoints</w:t>
            </w:r>
          </w:p>
        </w:tc>
        <w:tc>
          <w:tcPr>
            <w:tcW w:type="dxa" w:w="1872"/>
            <w:shd w:val="clear" w:color="auto" w:fill="EBF5FB"/>
          </w:tcPr>
          <w:p>
            <w:pPr>
              <w:jc w:val="center"/>
            </w:pPr>
            <w:r>
              <w:rPr>
                <w:rFonts w:ascii="Calibri" w:hAnsi="Calibri"/>
                <w:b w:val="0"/>
                <w:color w:val="2C3E50"/>
                <w:sz w:val="19"/>
              </w:rPr>
              <w:t>82%</w:t>
            </w:r>
          </w:p>
        </w:tc>
        <w:tc>
          <w:tcPr>
            <w:tcW w:type="dxa" w:w="1872"/>
            <w:shd w:val="clear" w:color="auto" w:fill="EBF5FB"/>
          </w:tcPr>
          <w:p>
            <w:pPr>
              <w:jc w:val="center"/>
            </w:pPr>
            <w:r>
              <w:rPr>
                <w:rFonts w:ascii="Calibri" w:hAnsi="Calibri"/>
                <w:b w:val="0"/>
                <w:color w:val="2C3E50"/>
                <w:sz w:val="19"/>
              </w:rPr>
              <w:t>5%</w:t>
            </w:r>
          </w:p>
        </w:tc>
        <w:tc>
          <w:tcPr>
            <w:tcW w:type="dxa" w:w="1872"/>
            <w:shd w:val="clear" w:color="auto" w:fill="EBF5FB"/>
          </w:tcPr>
          <w:p>
            <w:pPr>
              <w:jc w:val="center"/>
            </w:pPr>
            <w:r>
              <w:rPr>
                <w:rFonts w:ascii="Calibri" w:hAnsi="Calibri"/>
                <w:b w:val="0"/>
                <w:color w:val="2C3E50"/>
                <w:sz w:val="19"/>
              </w:rPr>
              <w:t>4.1%</w:t>
            </w:r>
          </w:p>
        </w:tc>
      </w:tr>
      <w:tr>
        <w:tc>
          <w:tcPr>
            <w:tcW w:type="dxa" w:w="1872"/>
            <w:shd w:val="clear" w:color="auto" w:fill="FDFEFE"/>
          </w:tcPr>
          <w:p>
            <w:pPr>
              <w:jc w:val="center"/>
            </w:pPr>
            <w:r>
              <w:rPr>
                <w:rFonts w:ascii="Calibri" w:hAnsi="Calibri"/>
                <w:b/>
                <w:color w:val="1B4F72"/>
                <w:sz w:val="19"/>
              </w:rPr>
              <w:t>ISO 42010</w:t>
            </w:r>
          </w:p>
        </w:tc>
        <w:tc>
          <w:tcPr>
            <w:tcW w:type="dxa" w:w="1872"/>
            <w:shd w:val="clear" w:color="auto" w:fill="FDFEFE"/>
          </w:tcPr>
          <w:p>
            <w:r>
              <w:rPr>
                <w:rFonts w:ascii="Calibri" w:hAnsi="Calibri"/>
                <w:b w:val="0"/>
                <w:color w:val="2C3E50"/>
                <w:sz w:val="19"/>
              </w:rPr>
              <w:t>Architecture Description Conformance</w:t>
            </w:r>
          </w:p>
        </w:tc>
        <w:tc>
          <w:tcPr>
            <w:tcW w:type="dxa" w:w="1872"/>
            <w:shd w:val="clear" w:color="auto" w:fill="FDFEFE"/>
          </w:tcPr>
          <w:p>
            <w:pPr>
              <w:jc w:val="center"/>
            </w:pPr>
            <w:r>
              <w:rPr>
                <w:rFonts w:ascii="Calibri" w:hAnsi="Calibri"/>
                <w:b w:val="0"/>
                <w:color w:val="2C3E50"/>
                <w:sz w:val="19"/>
              </w:rPr>
              <w:t>88%</w:t>
            </w:r>
          </w:p>
        </w:tc>
        <w:tc>
          <w:tcPr>
            <w:tcW w:type="dxa" w:w="1872"/>
            <w:shd w:val="clear" w:color="auto" w:fill="FDFEFE"/>
          </w:tcPr>
          <w:p>
            <w:pPr>
              <w:jc w:val="center"/>
            </w:pPr>
            <w:r>
              <w:rPr>
                <w:rFonts w:ascii="Calibri" w:hAnsi="Calibri"/>
                <w:b w:val="0"/>
                <w:color w:val="2C3E50"/>
                <w:sz w:val="19"/>
              </w:rPr>
              <w:t>5%</w:t>
            </w:r>
          </w:p>
        </w:tc>
        <w:tc>
          <w:tcPr>
            <w:tcW w:type="dxa" w:w="1872"/>
            <w:shd w:val="clear" w:color="auto" w:fill="FDFEFE"/>
          </w:tcPr>
          <w:p>
            <w:pPr>
              <w:jc w:val="center"/>
            </w:pPr>
            <w:r>
              <w:rPr>
                <w:rFonts w:ascii="Calibri" w:hAnsi="Calibri"/>
                <w:b w:val="0"/>
                <w:color w:val="2C3E50"/>
                <w:sz w:val="19"/>
              </w:rPr>
              <w:t>4.4%</w:t>
            </w:r>
          </w:p>
        </w:tc>
      </w:tr>
    </w:tbl>
    <w:p/>
    <w:p>
      <w:pPr>
        <w:spacing w:before="240" w:after="80"/>
        <w:pBdr>
          <w:bottom w:val="single" w:sz="6" w:space="1" w:color="1B4F72"/>
        </w:pBdr>
      </w:pPr>
      <w:r>
        <w:rPr>
          <w:rFonts w:ascii="Calibri" w:hAnsi="Calibri"/>
          <w:b/>
          <w:color w:val="1B4F72"/>
          <w:sz w:val="24"/>
        </w:rPr>
        <w:t>Strengths</w:t>
      </w:r>
    </w:p>
    <w:p>
      <w:pPr>
        <w:pStyle w:val="ListBullet"/>
        <w:spacing w:before="20" w:after="20"/>
        <w:ind w:left="340"/>
      </w:pPr>
      <w:r>
        <w:rPr>
          <w:rFonts w:ascii="Calibri" w:hAnsi="Calibri"/>
          <w:color w:val="2C3E50"/>
          <w:sz w:val="21"/>
        </w:rPr>
        <w:t>Exceptional architecture documentation: 5 dedicated specification documents covering architecture, causal methodology, zero-trust, RoE, and offensive operations.</w:t>
      </w:r>
    </w:p>
    <w:p>
      <w:pPr>
        <w:pStyle w:val="ListBullet"/>
        <w:spacing w:before="20" w:after="20"/>
        <w:ind w:left="340"/>
      </w:pPr>
      <w:r>
        <w:rPr>
          <w:rFonts w:ascii="Calibri" w:hAnsi="Calibri"/>
          <w:color w:val="2C3E50"/>
          <w:sz w:val="21"/>
        </w:rPr>
        <w:t>Strong technology architecture alignment: Event-driven, microservices-pattern agent mesh is TOGAF-compliant.</w:t>
      </w:r>
    </w:p>
    <w:p>
      <w:pPr>
        <w:pStyle w:val="ListBullet"/>
        <w:spacing w:before="20" w:after="20"/>
        <w:ind w:left="340"/>
      </w:pPr>
      <w:r>
        <w:rPr>
          <w:rFonts w:ascii="Calibri" w:hAnsi="Calibri"/>
          <w:color w:val="2C3E50"/>
          <w:sz w:val="21"/>
        </w:rPr>
        <w:t>Excellent function/process coverage: ORGA loop provides formal, verifiable process semantics.</w:t>
      </w:r>
    </w:p>
    <w:p>
      <w:pPr>
        <w:pStyle w:val="ListBullet"/>
        <w:spacing w:before="20" w:after="20"/>
        <w:ind w:left="340"/>
      </w:pPr>
      <w:r>
        <w:rPr>
          <w:rFonts w:ascii="Calibri" w:hAnsi="Calibri"/>
          <w:color w:val="2C3E50"/>
          <w:sz w:val="21"/>
        </w:rPr>
        <w:t>ISO 42010 conformance: Multiple architecture viewpoints (stakeholder, functional, operational, security) are explicitly addressed.</w:t>
      </w:r>
    </w:p>
    <w:p>
      <w:pPr>
        <w:pStyle w:val="ListBullet"/>
        <w:spacing w:before="20" w:after="20"/>
        <w:ind w:left="340"/>
      </w:pPr>
      <w:r>
        <w:rPr>
          <w:rFonts w:ascii="Calibri" w:hAnsi="Calibri"/>
          <w:color w:val="2C3E50"/>
          <w:sz w:val="21"/>
        </w:rPr>
        <w:t>Data provenance architecture exceeds Zachman data perspective requirements with SHA-256 tracking and immutable revisions.</w:t>
      </w:r>
    </w:p>
    <w:p>
      <w:pPr>
        <w:spacing w:before="240" w:after="80"/>
        <w:pBdr>
          <w:bottom w:val="single" w:sz="6" w:space="1" w:color="1B4F72"/>
        </w:pBdr>
      </w:pPr>
      <w:r>
        <w:rPr>
          <w:rFonts w:ascii="Calibri" w:hAnsi="Calibri"/>
          <w:b/>
          <w:color w:val="1B4F72"/>
          <w:sz w:val="24"/>
        </w:rPr>
        <w:t>Identified Gaps (19%)</w:t>
      </w:r>
    </w:p>
    <w:p>
      <w:pPr>
        <w:pStyle w:val="ListBullet"/>
        <w:spacing w:before="20" w:after="20"/>
        <w:ind w:left="340"/>
      </w:pPr>
      <w:r>
        <w:rPr>
          <w:rFonts w:ascii="Calibri" w:hAnsi="Calibri"/>
          <w:color w:val="2C3E50"/>
          <w:sz w:val="21"/>
        </w:rPr>
        <w:t>People/Organization Perspective (Zachman): Formal RACI matrix, team structure, and stakeholder communication plan not yet documented.</w:t>
      </w:r>
    </w:p>
    <w:p>
      <w:pPr>
        <w:pStyle w:val="ListBullet"/>
        <w:spacing w:before="20" w:after="20"/>
        <w:ind w:left="340"/>
      </w:pPr>
      <w:r>
        <w:rPr>
          <w:rFonts w:ascii="Calibri" w:hAnsi="Calibri"/>
          <w:color w:val="2C3E50"/>
          <w:sz w:val="21"/>
        </w:rPr>
        <w:t>TOGAF Business Architecture: Business capability model and value stream mapping not formally produced.</w:t>
      </w:r>
    </w:p>
    <w:p>
      <w:pPr>
        <w:pStyle w:val="ListBullet"/>
        <w:spacing w:before="20" w:after="20"/>
        <w:ind w:left="340"/>
      </w:pPr>
      <w:r>
        <w:rPr>
          <w:rFonts w:ascii="Calibri" w:hAnsi="Calibri"/>
          <w:color w:val="2C3E50"/>
          <w:sz w:val="21"/>
        </w:rPr>
        <w:t>TOGAF ADM Migration Planning: Transition from current state to target deployment not formalized as a migration plan.</w:t>
      </w:r>
    </w:p>
    <w:p>
      <w:pPr>
        <w:pStyle w:val="ListBullet"/>
        <w:spacing w:before="20" w:after="20"/>
        <w:ind w:left="340"/>
      </w:pPr>
      <w:r>
        <w:rPr>
          <w:rFonts w:ascii="Calibri" w:hAnsi="Calibri"/>
          <w:color w:val="2C3E50"/>
          <w:sz w:val="21"/>
        </w:rPr>
        <w:t>ArchiMate Physical Viewpoint: Physical infrastructure topology (server specs, cloud regions) not yet specified.</w:t>
      </w:r>
    </w:p>
    <w:p/>
    <w:p>
      <w:pPr>
        <w:spacing w:before="40" w:after="80"/>
        <w:ind w:left="340"/>
      </w:pPr>
      <w:r>
        <w:rPr>
          <w:rFonts w:ascii="Calibri" w:hAnsi="Calibri"/>
          <w:color w:val="2C3E50"/>
          <w:sz w:val="21"/>
        </w:rPr>
        <w:t>The 81% EA compliance score reflects a technically mature architecture with strong documentation, governance, and operational design. The 19% gap is concentrated in organizational and deployment planning artifacts typical of a pre-production project that has not yet engaged formal enterprise architecture governance processes.</w:t>
      </w:r>
    </w:p>
    <w:p>
      <w:r>
        <w:br w:type="page"/>
      </w:r>
    </w:p>
    <w:p>
      <w:pPr>
        <w:spacing w:before="320" w:after="80"/>
        <w:shd w:val="clear" w:color="auto" w:fill="0D1B2A"/>
        <w:ind w:left="170" w:right="170"/>
      </w:pPr>
      <w:r>
        <w:rPr>
          <w:rFonts w:ascii="Calibri" w:hAnsi="Calibri"/>
          <w:b/>
          <w:color w:val="FFFFFF"/>
          <w:sz w:val="30"/>
        </w:rPr>
        <w:t>15. RISKS, CHALLENGES &amp; MITIGATION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0D1B2A"/>
            <w:vAlign w:val="center"/>
          </w:tcPr>
          <w:p>
            <w:pPr>
              <w:jc w:val="center"/>
            </w:pPr>
            <w:r/>
            <w:r>
              <w:rPr>
                <w:rFonts w:ascii="Calibri" w:hAnsi="Calibri"/>
                <w:b/>
                <w:color w:val="FFFFFF"/>
                <w:sz w:val="20"/>
              </w:rPr>
              <w:t>Risk</w:t>
            </w:r>
          </w:p>
        </w:tc>
        <w:tc>
          <w:tcPr>
            <w:tcW w:type="dxa" w:w="1560"/>
            <w:shd w:val="clear" w:color="auto" w:fill="0D1B2A"/>
            <w:vAlign w:val="center"/>
          </w:tcPr>
          <w:p>
            <w:pPr>
              <w:jc w:val="center"/>
            </w:pPr>
            <w:r/>
            <w:r>
              <w:rPr>
                <w:rFonts w:ascii="Calibri" w:hAnsi="Calibri"/>
                <w:b/>
                <w:color w:val="FFFFFF"/>
                <w:sz w:val="20"/>
              </w:rPr>
              <w:t>Severity</w:t>
            </w:r>
          </w:p>
        </w:tc>
        <w:tc>
          <w:tcPr>
            <w:tcW w:type="dxa" w:w="1560"/>
            <w:shd w:val="clear" w:color="auto" w:fill="0D1B2A"/>
            <w:vAlign w:val="center"/>
          </w:tcPr>
          <w:p>
            <w:pPr>
              <w:jc w:val="center"/>
            </w:pPr>
            <w:r/>
            <w:r>
              <w:rPr>
                <w:rFonts w:ascii="Calibri" w:hAnsi="Calibri"/>
                <w:b/>
                <w:color w:val="FFFFFF"/>
                <w:sz w:val="20"/>
              </w:rPr>
              <w:t>Likelihood</w:t>
            </w:r>
          </w:p>
        </w:tc>
        <w:tc>
          <w:tcPr>
            <w:tcW w:type="dxa" w:w="1560"/>
            <w:shd w:val="clear" w:color="auto" w:fill="0D1B2A"/>
            <w:vAlign w:val="center"/>
          </w:tcPr>
          <w:p>
            <w:pPr>
              <w:jc w:val="center"/>
            </w:pPr>
            <w:r/>
            <w:r>
              <w:rPr>
                <w:rFonts w:ascii="Calibri" w:hAnsi="Calibri"/>
                <w:b/>
                <w:color w:val="FFFFFF"/>
                <w:sz w:val="20"/>
              </w:rPr>
              <w:t>Description</w:t>
            </w:r>
          </w:p>
        </w:tc>
        <w:tc>
          <w:tcPr>
            <w:tcW w:type="dxa" w:w="1560"/>
            <w:shd w:val="clear" w:color="auto" w:fill="0D1B2A"/>
            <w:vAlign w:val="center"/>
          </w:tcPr>
          <w:p>
            <w:pPr>
              <w:jc w:val="center"/>
            </w:pPr>
            <w:r/>
            <w:r>
              <w:rPr>
                <w:rFonts w:ascii="Calibri" w:hAnsi="Calibri"/>
                <w:b/>
                <w:color w:val="FFFFFF"/>
                <w:sz w:val="20"/>
              </w:rPr>
              <w:t>Mitigation</w:t>
            </w:r>
          </w:p>
        </w:tc>
        <w:tc>
          <w:tcPr>
            <w:tcW w:type="dxa" w:w="1560"/>
            <w:shd w:val="clear" w:color="auto" w:fill="0D1B2A"/>
            <w:vAlign w:val="center"/>
          </w:tcPr>
          <w:p>
            <w:pPr>
              <w:jc w:val="center"/>
            </w:pPr>
            <w:r/>
            <w:r>
              <w:rPr>
                <w:rFonts w:ascii="Calibri" w:hAnsi="Calibri"/>
                <w:b/>
                <w:color w:val="FFFFFF"/>
                <w:sz w:val="20"/>
              </w:rPr>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D1B2A"/>
            <w:vAlign w:val="center"/>
          </w:tcPr>
          <w:p>
            <w:pPr>
              <w:jc w:val="center"/>
            </w:pPr>
            <w:r/>
            <w:r>
              <w:rPr>
                <w:rFonts w:ascii="Calibri" w:hAnsi="Calibri"/>
                <w:b/>
                <w:color w:val="FFFFFF"/>
                <w:sz w:val="20"/>
              </w:rPr>
              <w:t>Risk</w:t>
            </w:r>
          </w:p>
        </w:tc>
        <w:tc>
          <w:tcPr>
            <w:tcW w:type="dxa" w:w="1872"/>
            <w:shd w:val="clear" w:color="auto" w:fill="0D1B2A"/>
            <w:vAlign w:val="center"/>
          </w:tcPr>
          <w:p>
            <w:pPr>
              <w:jc w:val="center"/>
            </w:pPr>
            <w:r/>
            <w:r>
              <w:rPr>
                <w:rFonts w:ascii="Calibri" w:hAnsi="Calibri"/>
                <w:b/>
                <w:color w:val="FFFFFF"/>
                <w:sz w:val="20"/>
              </w:rPr>
              <w:t>Severity</w:t>
            </w:r>
          </w:p>
        </w:tc>
        <w:tc>
          <w:tcPr>
            <w:tcW w:type="dxa" w:w="1872"/>
            <w:shd w:val="clear" w:color="auto" w:fill="0D1B2A"/>
            <w:vAlign w:val="center"/>
          </w:tcPr>
          <w:p>
            <w:pPr>
              <w:jc w:val="center"/>
            </w:pPr>
            <w:r/>
            <w:r>
              <w:rPr>
                <w:rFonts w:ascii="Calibri" w:hAnsi="Calibri"/>
                <w:b/>
                <w:color w:val="FFFFFF"/>
                <w:sz w:val="20"/>
              </w:rPr>
              <w:t>Likelihood</w:t>
            </w:r>
          </w:p>
        </w:tc>
        <w:tc>
          <w:tcPr>
            <w:tcW w:type="dxa" w:w="1872"/>
            <w:shd w:val="clear" w:color="auto" w:fill="0D1B2A"/>
            <w:vAlign w:val="center"/>
          </w:tcPr>
          <w:p>
            <w:pPr>
              <w:jc w:val="center"/>
            </w:pPr>
            <w:r/>
            <w:r>
              <w:rPr>
                <w:rFonts w:ascii="Calibri" w:hAnsi="Calibri"/>
                <w:b/>
                <w:color w:val="FFFFFF"/>
                <w:sz w:val="20"/>
              </w:rPr>
              <w:t>Description</w:t>
            </w:r>
          </w:p>
        </w:tc>
        <w:tc>
          <w:tcPr>
            <w:tcW w:type="dxa" w:w="1872"/>
            <w:shd w:val="clear" w:color="auto" w:fill="0D1B2A"/>
            <w:vAlign w:val="center"/>
          </w:tcPr>
          <w:p>
            <w:pPr>
              <w:jc w:val="center"/>
            </w:pPr>
            <w:r/>
            <w:r>
              <w:rPr>
                <w:rFonts w:ascii="Calibri" w:hAnsi="Calibri"/>
                <w:b/>
                <w:color w:val="FFFFFF"/>
                <w:sz w:val="20"/>
              </w:rPr>
              <w:t>Mitigation</w:t>
            </w:r>
          </w:p>
        </w:tc>
      </w:tr>
      <w:tr>
        <w:tc>
          <w:tcPr>
            <w:tcW w:type="dxa" w:w="1872"/>
            <w:shd w:val="clear" w:color="auto" w:fill="FDFEFE"/>
          </w:tcPr>
          <w:p>
            <w:r>
              <w:rPr>
                <w:rFonts w:ascii="Calibri" w:hAnsi="Calibri"/>
                <w:b/>
                <w:color w:val="0D1B2A"/>
                <w:sz w:val="19"/>
              </w:rPr>
              <w:t>LLM Weight Availability</w:t>
            </w:r>
          </w:p>
        </w:tc>
        <w:tc>
          <w:tcPr>
            <w:tcW w:type="dxa" w:w="1872"/>
            <w:shd w:val="clear" w:color="auto" w:fill="E74C3C"/>
          </w:tcPr>
          <w:p>
            <w:pPr>
              <w:jc w:val="center"/>
            </w:pPr>
            <w:r>
              <w:rPr>
                <w:rFonts w:ascii="Calibri" w:hAnsi="Calibri"/>
                <w:b/>
                <w:color w:val="FFFFFF"/>
                <w:sz w:val="18"/>
              </w:rPr>
              <w:t>HIGH</w:t>
            </w:r>
          </w:p>
        </w:tc>
        <w:tc>
          <w:tcPr>
            <w:tcW w:type="dxa" w:w="1872"/>
            <w:shd w:val="clear" w:color="auto" w:fill="E69B00"/>
          </w:tcPr>
          <w:p>
            <w:pPr>
              <w:jc w:val="center"/>
            </w:pPr>
            <w:r>
              <w:rPr>
                <w:rFonts w:ascii="Calibri" w:hAnsi="Calibri"/>
                <w:b/>
                <w:color w:val="FFFFFF"/>
                <w:sz w:val="18"/>
              </w:rPr>
              <w:t>MEDIUM</w:t>
            </w:r>
          </w:p>
        </w:tc>
        <w:tc>
          <w:tcPr>
            <w:tcW w:type="dxa" w:w="1872"/>
            <w:shd w:val="clear" w:color="auto" w:fill="FDFEFE"/>
          </w:tcPr>
          <w:p>
            <w:r>
              <w:rPr>
                <w:rFonts w:ascii="Calibri" w:hAnsi="Calibri"/>
                <w:color w:val="2C3E50"/>
                <w:sz w:val="18"/>
              </w:rPr>
              <w:t>Foundation-Sec-8B weights may be unavailable, restricted, or require licensing.</w:t>
            </w:r>
          </w:p>
        </w:tc>
        <w:tc>
          <w:tcPr>
            <w:tcW w:type="dxa" w:w="1872"/>
            <w:shd w:val="clear" w:color="auto" w:fill="FDFEFE"/>
          </w:tcPr>
          <w:p>
            <w:r>
              <w:rPr>
                <w:rFonts w:ascii="Calibri" w:hAnsi="Calibri"/>
                <w:color w:val="1A5E37"/>
                <w:sz w:val="18"/>
              </w:rPr>
              <w:t>Fallback rule-based reasoning engine is implemented. ACID remains functional for causal/scoring operations without LLM.</w:t>
            </w:r>
          </w:p>
        </w:tc>
      </w:tr>
      <w:tr>
        <w:tc>
          <w:tcPr>
            <w:tcW w:type="dxa" w:w="1872"/>
            <w:shd w:val="clear" w:color="auto" w:fill="EBF5FB"/>
          </w:tcPr>
          <w:p>
            <w:r>
              <w:rPr>
                <w:rFonts w:ascii="Calibri" w:hAnsi="Calibri"/>
                <w:b/>
                <w:color w:val="0D1B2A"/>
                <w:sz w:val="19"/>
              </w:rPr>
              <w:t>Redis/PostgreSQL Dependencies</w:t>
            </w:r>
          </w:p>
        </w:tc>
        <w:tc>
          <w:tcPr>
            <w:tcW w:type="dxa" w:w="1872"/>
            <w:shd w:val="clear" w:color="auto" w:fill="E69B00"/>
          </w:tcPr>
          <w:p>
            <w:pPr>
              <w:jc w:val="center"/>
            </w:pPr>
            <w:r>
              <w:rPr>
                <w:rFonts w:ascii="Calibri" w:hAnsi="Calibri"/>
                <w:b/>
                <w:color w:val="FFFFFF"/>
                <w:sz w:val="18"/>
              </w:rPr>
              <w:t>MEDIUM</w:t>
            </w:r>
          </w:p>
        </w:tc>
        <w:tc>
          <w:tcPr>
            <w:tcW w:type="dxa" w:w="1872"/>
            <w:shd w:val="clear" w:color="auto" w:fill="1A9E6A"/>
          </w:tcPr>
          <w:p>
            <w:pPr>
              <w:jc w:val="center"/>
            </w:pPr>
            <w:r>
              <w:rPr>
                <w:rFonts w:ascii="Calibri" w:hAnsi="Calibri"/>
                <w:b/>
                <w:color w:val="FFFFFF"/>
                <w:sz w:val="18"/>
              </w:rPr>
              <w:t>LOW</w:t>
            </w:r>
          </w:p>
        </w:tc>
        <w:tc>
          <w:tcPr>
            <w:tcW w:type="dxa" w:w="1872"/>
            <w:shd w:val="clear" w:color="auto" w:fill="EBF5FB"/>
          </w:tcPr>
          <w:p>
            <w:r>
              <w:rPr>
                <w:rFonts w:ascii="Calibri" w:hAnsi="Calibri"/>
                <w:color w:val="2C3E50"/>
                <w:sz w:val="18"/>
              </w:rPr>
              <w:t>Production deployments require Redis and PostgreSQL infrastructure.</w:t>
            </w:r>
          </w:p>
        </w:tc>
        <w:tc>
          <w:tcPr>
            <w:tcW w:type="dxa" w:w="1872"/>
            <w:shd w:val="clear" w:color="auto" w:fill="EBF5FB"/>
          </w:tcPr>
          <w:p>
            <w:r>
              <w:rPr>
                <w:rFonts w:ascii="Calibri" w:hAnsi="Calibri"/>
                <w:color w:val="1A5E37"/>
                <w:sz w:val="18"/>
              </w:rPr>
              <w:t>In-process fallback stores are implemented for local/development execution. Docker Compose stack provides one-command infrastructure.</w:t>
            </w:r>
          </w:p>
        </w:tc>
      </w:tr>
      <w:tr>
        <w:tc>
          <w:tcPr>
            <w:tcW w:type="dxa" w:w="1872"/>
            <w:shd w:val="clear" w:color="auto" w:fill="FDFEFE"/>
          </w:tcPr>
          <w:p>
            <w:r>
              <w:rPr>
                <w:rFonts w:ascii="Calibri" w:hAnsi="Calibri"/>
                <w:b/>
                <w:color w:val="0D1B2A"/>
                <w:sz w:val="19"/>
              </w:rPr>
              <w:t>CPG Scalability</w:t>
            </w:r>
          </w:p>
        </w:tc>
        <w:tc>
          <w:tcPr>
            <w:tcW w:type="dxa" w:w="1872"/>
            <w:shd w:val="clear" w:color="auto" w:fill="E74C3C"/>
          </w:tcPr>
          <w:p>
            <w:pPr>
              <w:jc w:val="center"/>
            </w:pPr>
            <w:r>
              <w:rPr>
                <w:rFonts w:ascii="Calibri" w:hAnsi="Calibri"/>
                <w:b/>
                <w:color w:val="FFFFFF"/>
                <w:sz w:val="18"/>
              </w:rPr>
              <w:t>HIGH</w:t>
            </w:r>
          </w:p>
        </w:tc>
        <w:tc>
          <w:tcPr>
            <w:tcW w:type="dxa" w:w="1872"/>
            <w:shd w:val="clear" w:color="auto" w:fill="E69B00"/>
          </w:tcPr>
          <w:p>
            <w:pPr>
              <w:jc w:val="center"/>
            </w:pPr>
            <w:r>
              <w:rPr>
                <w:rFonts w:ascii="Calibri" w:hAnsi="Calibri"/>
                <w:b/>
                <w:color w:val="FFFFFF"/>
                <w:sz w:val="18"/>
              </w:rPr>
              <w:t>MEDIUM</w:t>
            </w:r>
          </w:p>
        </w:tc>
        <w:tc>
          <w:tcPr>
            <w:tcW w:type="dxa" w:w="1872"/>
            <w:shd w:val="clear" w:color="auto" w:fill="FDFEFE"/>
          </w:tcPr>
          <w:p>
            <w:r>
              <w:rPr>
                <w:rFonts w:ascii="Calibri" w:hAnsi="Calibri"/>
                <w:color w:val="2C3E50"/>
                <w:sz w:val="18"/>
              </w:rPr>
              <w:t>Code Property Graphs for very large codebases may exceed memory and compute budgets.</w:t>
            </w:r>
          </w:p>
        </w:tc>
        <w:tc>
          <w:tcPr>
            <w:tcW w:type="dxa" w:w="1872"/>
            <w:shd w:val="clear" w:color="auto" w:fill="FDFEFE"/>
          </w:tcPr>
          <w:p>
            <w:r>
              <w:rPr>
                <w:rFonts w:ascii="Calibri" w:hAnsi="Calibri"/>
                <w:color w:val="1A5E37"/>
                <w:sz w:val="18"/>
              </w:rPr>
              <w:t>Incremental CPG updates designed. Subgraph sampling and partition strategies planned for Phase 2.</w:t>
            </w:r>
          </w:p>
        </w:tc>
      </w:tr>
      <w:tr>
        <w:tc>
          <w:tcPr>
            <w:tcW w:type="dxa" w:w="1872"/>
            <w:shd w:val="clear" w:color="auto" w:fill="EBF5FB"/>
          </w:tcPr>
          <w:p>
            <w:r>
              <w:rPr>
                <w:rFonts w:ascii="Calibri" w:hAnsi="Calibri"/>
                <w:b/>
                <w:color w:val="0D1B2A"/>
                <w:sz w:val="19"/>
              </w:rPr>
              <w:t>Offensive Misuse</w:t>
            </w:r>
          </w:p>
        </w:tc>
        <w:tc>
          <w:tcPr>
            <w:tcW w:type="dxa" w:w="1872"/>
            <w:shd w:val="clear" w:color="auto" w:fill="C0392B"/>
          </w:tcPr>
          <w:p>
            <w:pPr>
              <w:jc w:val="center"/>
            </w:pPr>
            <w:r>
              <w:rPr>
                <w:rFonts w:ascii="Calibri" w:hAnsi="Calibri"/>
                <w:b/>
                <w:color w:val="FFFFFF"/>
                <w:sz w:val="18"/>
              </w:rPr>
              <w:t>CRITICAL</w:t>
            </w:r>
          </w:p>
        </w:tc>
        <w:tc>
          <w:tcPr>
            <w:tcW w:type="dxa" w:w="1872"/>
            <w:shd w:val="clear" w:color="auto" w:fill="1A9E6A"/>
          </w:tcPr>
          <w:p>
            <w:pPr>
              <w:jc w:val="center"/>
            </w:pPr>
            <w:r>
              <w:rPr>
                <w:rFonts w:ascii="Calibri" w:hAnsi="Calibri"/>
                <w:b/>
                <w:color w:val="FFFFFF"/>
                <w:sz w:val="18"/>
              </w:rPr>
              <w:t>LOW</w:t>
            </w:r>
          </w:p>
        </w:tc>
        <w:tc>
          <w:tcPr>
            <w:tcW w:type="dxa" w:w="1872"/>
            <w:shd w:val="clear" w:color="auto" w:fill="EBF5FB"/>
          </w:tcPr>
          <w:p>
            <w:r>
              <w:rPr>
                <w:rFonts w:ascii="Calibri" w:hAnsi="Calibri"/>
                <w:color w:val="2C3E50"/>
                <w:sz w:val="18"/>
              </w:rPr>
              <w:t>Offensive agent capabilities could be misused if governance controls are bypassed.</w:t>
            </w:r>
          </w:p>
        </w:tc>
        <w:tc>
          <w:tcPr>
            <w:tcW w:type="dxa" w:w="1872"/>
            <w:shd w:val="clear" w:color="auto" w:fill="EBF5FB"/>
          </w:tcPr>
          <w:p>
            <w:r>
              <w:rPr>
                <w:rFonts w:ascii="Calibri" w:hAnsi="Calibri"/>
                <w:color w:val="1A5E37"/>
                <w:sz w:val="18"/>
              </w:rPr>
              <w:t>Structural enforcement: offensive mode requires environment variable, signed RoE document, time window, scope validation, AND sandbox isolation — all simultaneously.</w:t>
            </w:r>
          </w:p>
        </w:tc>
      </w:tr>
      <w:tr>
        <w:tc>
          <w:tcPr>
            <w:tcW w:type="dxa" w:w="1872"/>
            <w:shd w:val="clear" w:color="auto" w:fill="FDFEFE"/>
          </w:tcPr>
          <w:p>
            <w:r>
              <w:rPr>
                <w:rFonts w:ascii="Calibri" w:hAnsi="Calibri"/>
                <w:b/>
                <w:color w:val="0D1B2A"/>
                <w:sz w:val="19"/>
              </w:rPr>
              <w:t>Data Feed Availability</w:t>
            </w:r>
          </w:p>
        </w:tc>
        <w:tc>
          <w:tcPr>
            <w:tcW w:type="dxa" w:w="1872"/>
            <w:shd w:val="clear" w:color="auto" w:fill="E69B00"/>
          </w:tcPr>
          <w:p>
            <w:pPr>
              <w:jc w:val="center"/>
            </w:pPr>
            <w:r>
              <w:rPr>
                <w:rFonts w:ascii="Calibri" w:hAnsi="Calibri"/>
                <w:b/>
                <w:color w:val="FFFFFF"/>
                <w:sz w:val="18"/>
              </w:rPr>
              <w:t>MEDIUM</w:t>
            </w:r>
          </w:p>
        </w:tc>
        <w:tc>
          <w:tcPr>
            <w:tcW w:type="dxa" w:w="1872"/>
            <w:shd w:val="clear" w:color="auto" w:fill="1A9E6A"/>
          </w:tcPr>
          <w:p>
            <w:pPr>
              <w:jc w:val="center"/>
            </w:pPr>
            <w:r>
              <w:rPr>
                <w:rFonts w:ascii="Calibri" w:hAnsi="Calibri"/>
                <w:b/>
                <w:color w:val="FFFFFF"/>
                <w:sz w:val="18"/>
              </w:rPr>
              <w:t>LOW</w:t>
            </w:r>
          </w:p>
        </w:tc>
        <w:tc>
          <w:tcPr>
            <w:tcW w:type="dxa" w:w="1872"/>
            <w:shd w:val="clear" w:color="auto" w:fill="FDFEFE"/>
          </w:tcPr>
          <w:p>
            <w:r>
              <w:rPr>
                <w:rFonts w:ascii="Calibri" w:hAnsi="Calibri"/>
                <w:color w:val="2C3E50"/>
                <w:sz w:val="18"/>
              </w:rPr>
              <w:t>NVD, EPSS, or CISA KEV APIs may experience outages or rate limiting.</w:t>
            </w:r>
          </w:p>
        </w:tc>
        <w:tc>
          <w:tcPr>
            <w:tcW w:type="dxa" w:w="1872"/>
            <w:shd w:val="clear" w:color="auto" w:fill="FDFEFE"/>
          </w:tcPr>
          <w:p>
            <w:r>
              <w:rPr>
                <w:rFonts w:ascii="Calibri" w:hAnsi="Calibri"/>
                <w:color w:val="1A5E37"/>
                <w:sz w:val="18"/>
              </w:rPr>
              <w:t>Cached local snapshots maintained. Exponential backoff retry logic implemented in all ingestion adapters.</w:t>
            </w:r>
          </w:p>
        </w:tc>
      </w:tr>
      <w:tr>
        <w:tc>
          <w:tcPr>
            <w:tcW w:type="dxa" w:w="1872"/>
            <w:shd w:val="clear" w:color="auto" w:fill="EBF5FB"/>
          </w:tcPr>
          <w:p>
            <w:r>
              <w:rPr>
                <w:rFonts w:ascii="Calibri" w:hAnsi="Calibri"/>
                <w:b/>
                <w:color w:val="0D1B2A"/>
                <w:sz w:val="19"/>
              </w:rPr>
              <w:t>Regulatory / Legal Exposure</w:t>
            </w:r>
          </w:p>
        </w:tc>
        <w:tc>
          <w:tcPr>
            <w:tcW w:type="dxa" w:w="1872"/>
            <w:shd w:val="clear" w:color="auto" w:fill="E74C3C"/>
          </w:tcPr>
          <w:p>
            <w:pPr>
              <w:jc w:val="center"/>
            </w:pPr>
            <w:r>
              <w:rPr>
                <w:rFonts w:ascii="Calibri" w:hAnsi="Calibri"/>
                <w:b/>
                <w:color w:val="FFFFFF"/>
                <w:sz w:val="18"/>
              </w:rPr>
              <w:t>HIGH</w:t>
            </w:r>
          </w:p>
        </w:tc>
        <w:tc>
          <w:tcPr>
            <w:tcW w:type="dxa" w:w="1872"/>
            <w:shd w:val="clear" w:color="auto" w:fill="1A9E6A"/>
          </w:tcPr>
          <w:p>
            <w:pPr>
              <w:jc w:val="center"/>
            </w:pPr>
            <w:r>
              <w:rPr>
                <w:rFonts w:ascii="Calibri" w:hAnsi="Calibri"/>
                <w:b/>
                <w:color w:val="FFFFFF"/>
                <w:sz w:val="18"/>
              </w:rPr>
              <w:t>LOW</w:t>
            </w:r>
          </w:p>
        </w:tc>
        <w:tc>
          <w:tcPr>
            <w:tcW w:type="dxa" w:w="1872"/>
            <w:shd w:val="clear" w:color="auto" w:fill="EBF5FB"/>
          </w:tcPr>
          <w:p>
            <w:r>
              <w:rPr>
                <w:rFonts w:ascii="Calibri" w:hAnsi="Calibri"/>
                <w:color w:val="2C3E50"/>
                <w:sz w:val="18"/>
              </w:rPr>
              <w:t>Unauthorized offensive operations using ACID could violate CFAA, UK Computer Misuse Act, or equivalent.</w:t>
            </w:r>
          </w:p>
        </w:tc>
        <w:tc>
          <w:tcPr>
            <w:tcW w:type="dxa" w:w="1872"/>
            <w:shd w:val="clear" w:color="auto" w:fill="EBF5FB"/>
          </w:tcPr>
          <w:p>
            <w:r>
              <w:rPr>
                <w:rFonts w:ascii="Calibri" w:hAnsi="Calibri"/>
                <w:color w:val="1A5E37"/>
                <w:sz w:val="18"/>
              </w:rPr>
              <w:t>RoE Engine enforces legal boundaries structurally. All offensive operations require signed legal authorization documents.</w:t>
            </w:r>
          </w:p>
        </w:tc>
      </w:tr>
    </w:tbl>
    <w:p>
      <w:pPr>
        <w:spacing w:before="320" w:after="80"/>
        <w:shd w:val="clear" w:color="auto" w:fill="0D1B2A"/>
        <w:ind w:left="170" w:right="170"/>
      </w:pPr>
      <w:r>
        <w:rPr>
          <w:rFonts w:ascii="Calibri" w:hAnsi="Calibri"/>
          <w:b/>
          <w:color w:val="FFFFFF"/>
          <w:sz w:val="30"/>
        </w:rPr>
        <w:t>16. NEXT STEPS &amp; ROADMAP</w:t>
      </w:r>
    </w:p>
    <w:p>
      <w:pPr>
        <w:spacing w:before="240" w:after="80"/>
        <w:pBdr>
          <w:bottom w:val="single" w:sz="6" w:space="1" w:color="1B4F72"/>
        </w:pBdr>
      </w:pPr>
      <w:r>
        <w:rPr>
          <w:rFonts w:ascii="Calibri" w:hAnsi="Calibri"/>
          <w:b/>
          <w:color w:val="1B4F72"/>
          <w:sz w:val="24"/>
        </w:rPr>
        <w:t>Phase 2 — Production Hardening  [Q4 2026]</w:t>
      </w:r>
    </w:p>
    <w:p>
      <w:pPr>
        <w:pStyle w:val="ListBullet"/>
        <w:spacing w:before="20" w:after="20"/>
        <w:ind w:left="340"/>
      </w:pPr>
      <w:r>
        <w:rPr>
          <w:rFonts w:ascii="Calibri" w:hAnsi="Calibri"/>
          <w:color w:val="2C3E50"/>
          <w:sz w:val="21"/>
        </w:rPr>
        <w:t>Bind Foundation-Sec-8B and SecureBERT model weights to the expert intelligence adapters.</w:t>
      </w:r>
    </w:p>
    <w:p>
      <w:pPr>
        <w:pStyle w:val="ListBullet"/>
        <w:spacing w:before="20" w:after="20"/>
        <w:ind w:left="340"/>
      </w:pPr>
      <w:r>
        <w:rPr>
          <w:rFonts w:ascii="Calibri" w:hAnsi="Calibri"/>
          <w:color w:val="2C3E50"/>
          <w:sz w:val="21"/>
        </w:rPr>
        <w:t>Complete containerized deployment testing with the Docker Compose stack.</w:t>
      </w:r>
    </w:p>
    <w:p>
      <w:pPr>
        <w:pStyle w:val="ListBullet"/>
        <w:spacing w:before="20" w:after="20"/>
        <w:ind w:left="340"/>
      </w:pPr>
      <w:r>
        <w:rPr>
          <w:rFonts w:ascii="Calibri" w:hAnsi="Calibri"/>
          <w:color w:val="2C3E50"/>
          <w:sz w:val="21"/>
        </w:rPr>
        <w:t>Implement rate limiting, circuit breakers, and graceful degradation for all ingestion adapters.</w:t>
      </w:r>
    </w:p>
    <w:p>
      <w:pPr>
        <w:pStyle w:val="ListBullet"/>
        <w:spacing w:before="20" w:after="20"/>
        <w:ind w:left="340"/>
      </w:pPr>
      <w:r>
        <w:rPr>
          <w:rFonts w:ascii="Calibri" w:hAnsi="Calibri"/>
          <w:color w:val="2C3E50"/>
          <w:sz w:val="21"/>
        </w:rPr>
        <w:t>Benchmark causal scoring accuracy against CVSS/EPSS on a real CVE holdout dataset.</w:t>
      </w:r>
    </w:p>
    <w:p>
      <w:pPr>
        <w:pStyle w:val="ListBullet"/>
        <w:spacing w:before="20" w:after="20"/>
        <w:ind w:left="340"/>
      </w:pPr>
      <w:r>
        <w:rPr>
          <w:rFonts w:ascii="Calibri" w:hAnsi="Calibri"/>
          <w:color w:val="2C3E50"/>
          <w:sz w:val="21"/>
        </w:rPr>
        <w:t>Achieve &gt;85% F1 score on the exploitation prediction benchmark.</w:t>
      </w:r>
    </w:p>
    <w:p/>
    <w:p>
      <w:pPr>
        <w:spacing w:before="240" w:after="80"/>
        <w:pBdr>
          <w:bottom w:val="single" w:sz="6" w:space="1" w:color="1B4F72"/>
        </w:pBdr>
      </w:pPr>
      <w:r>
        <w:rPr>
          <w:rFonts w:ascii="Calibri" w:hAnsi="Calibri"/>
          <w:b/>
          <w:color w:val="1B4F72"/>
          <w:sz w:val="24"/>
        </w:rPr>
        <w:t>Phase 3 — Enterprise Integration  [Q1 2027]</w:t>
      </w:r>
    </w:p>
    <w:p>
      <w:pPr>
        <w:pStyle w:val="ListBullet"/>
        <w:spacing w:before="20" w:after="20"/>
        <w:ind w:left="340"/>
      </w:pPr>
      <w:r>
        <w:rPr>
          <w:rFonts w:ascii="Calibri" w:hAnsi="Calibri"/>
          <w:color w:val="2C3E50"/>
          <w:sz w:val="21"/>
        </w:rPr>
        <w:t>Develop REST API layer for consumption by downstream SIEM, SOAR, and ticketing systems.</w:t>
      </w:r>
    </w:p>
    <w:p>
      <w:pPr>
        <w:pStyle w:val="ListBullet"/>
        <w:spacing w:before="20" w:after="20"/>
        <w:ind w:left="340"/>
      </w:pPr>
      <w:r>
        <w:rPr>
          <w:rFonts w:ascii="Calibri" w:hAnsi="Calibri"/>
          <w:color w:val="2C3E50"/>
          <w:sz w:val="21"/>
        </w:rPr>
        <w:t>Integrate with real-time asset topology sources (CMDB, network scanners).</w:t>
      </w:r>
    </w:p>
    <w:p>
      <w:pPr>
        <w:pStyle w:val="ListBullet"/>
        <w:spacing w:before="20" w:after="20"/>
        <w:ind w:left="340"/>
      </w:pPr>
      <w:r>
        <w:rPr>
          <w:rFonts w:ascii="Calibri" w:hAnsi="Calibri"/>
          <w:color w:val="2C3E50"/>
          <w:sz w:val="21"/>
        </w:rPr>
        <w:t>Implement distributed agent cluster mode for multi-node horizontal scaling.</w:t>
      </w:r>
    </w:p>
    <w:p>
      <w:pPr>
        <w:pStyle w:val="ListBullet"/>
        <w:spacing w:before="20" w:after="20"/>
        <w:ind w:left="340"/>
      </w:pPr>
      <w:r>
        <w:rPr>
          <w:rFonts w:ascii="Calibri" w:hAnsi="Calibri"/>
          <w:color w:val="2C3E50"/>
          <w:sz w:val="21"/>
        </w:rPr>
        <w:t>Produce formal TOGAF ADM migration plan and business architecture documents.</w:t>
      </w:r>
    </w:p>
    <w:p>
      <w:pPr>
        <w:pStyle w:val="ListBullet"/>
        <w:spacing w:before="20" w:after="20"/>
        <w:ind w:left="340"/>
      </w:pPr>
      <w:r>
        <w:rPr>
          <w:rFonts w:ascii="Calibri" w:hAnsi="Calibri"/>
          <w:color w:val="2C3E50"/>
          <w:sz w:val="21"/>
        </w:rPr>
        <w:t>Engage formal enterprise architecture governance review for EA compliance uplift.</w:t>
      </w:r>
    </w:p>
    <w:p/>
    <w:p>
      <w:pPr>
        <w:spacing w:before="240" w:after="80"/>
        <w:pBdr>
          <w:bottom w:val="single" w:sz="6" w:space="1" w:color="1B4F72"/>
        </w:pBdr>
      </w:pPr>
      <w:r>
        <w:rPr>
          <w:rFonts w:ascii="Calibri" w:hAnsi="Calibri"/>
          <w:b/>
          <w:color w:val="1B4F72"/>
          <w:sz w:val="24"/>
        </w:rPr>
        <w:t>Phase 4 — Advanced Capabilities  [Q2–Q3 2027]</w:t>
      </w:r>
    </w:p>
    <w:p>
      <w:pPr>
        <w:pStyle w:val="ListBullet"/>
        <w:spacing w:before="20" w:after="20"/>
        <w:ind w:left="340"/>
      </w:pPr>
      <w:r>
        <w:rPr>
          <w:rFonts w:ascii="Calibri" w:hAnsi="Calibri"/>
          <w:color w:val="2C3E50"/>
          <w:sz w:val="21"/>
        </w:rPr>
        <w:t>Multi-modal threat intelligence: integrate network packet captures and SIEM log streams.</w:t>
      </w:r>
    </w:p>
    <w:p>
      <w:pPr>
        <w:pStyle w:val="ListBullet"/>
        <w:spacing w:before="20" w:after="20"/>
        <w:ind w:left="340"/>
      </w:pPr>
      <w:r>
        <w:rPr>
          <w:rFonts w:ascii="Calibri" w:hAnsi="Calibri"/>
          <w:color w:val="2C3E50"/>
          <w:sz w:val="21"/>
        </w:rPr>
        <w:t>Federated learning for cross-organization threat intelligence sharing without data exposure.</w:t>
      </w:r>
    </w:p>
    <w:p>
      <w:pPr>
        <w:pStyle w:val="ListBullet"/>
        <w:spacing w:before="20" w:after="20"/>
        <w:ind w:left="340"/>
      </w:pPr>
      <w:r>
        <w:rPr>
          <w:rFonts w:ascii="Calibri" w:hAnsi="Calibri"/>
          <w:color w:val="2C3E50"/>
          <w:sz w:val="21"/>
        </w:rPr>
        <w:t>Continuous learning pipeline with automated concept drift-triggered retraining.</w:t>
      </w:r>
    </w:p>
    <w:p>
      <w:pPr>
        <w:pStyle w:val="ListBullet"/>
        <w:spacing w:before="20" w:after="20"/>
        <w:ind w:left="340"/>
      </w:pPr>
      <w:r>
        <w:rPr>
          <w:rFonts w:ascii="Calibri" w:hAnsi="Calibri"/>
          <w:color w:val="2C3E50"/>
          <w:sz w:val="21"/>
        </w:rPr>
        <w:t>Formal academic publication of the causal vulnerability prioritization methodology.</w:t>
      </w:r>
    </w:p>
    <w:p>
      <w:pPr>
        <w:pStyle w:val="ListBullet"/>
        <w:spacing w:before="20" w:after="20"/>
        <w:ind w:left="340"/>
      </w:pPr>
      <w:r>
        <w:rPr>
          <w:rFonts w:ascii="Calibri" w:hAnsi="Calibri"/>
          <w:color w:val="2C3E50"/>
          <w:sz w:val="21"/>
        </w:rPr>
        <w:t>Third-party security audit of offensive subsystem and zero-trust enforcement mechanisms.</w:t>
      </w:r>
    </w:p>
    <w:p/>
    <w:p>
      <w:r>
        <w:br w:type="page"/>
      </w:r>
    </w:p>
    <w:p>
      <w:pPr>
        <w:spacing w:before="320" w:after="80"/>
        <w:shd w:val="clear" w:color="auto" w:fill="0D1B2A"/>
        <w:ind w:left="170" w:right="170"/>
      </w:pPr>
      <w:r>
        <w:rPr>
          <w:rFonts w:ascii="Calibri" w:hAnsi="Calibri"/>
          <w:b/>
          <w:color w:val="FFFFFF"/>
          <w:sz w:val="30"/>
        </w:rPr>
        <w:t>17. CONCLUSION</w:t>
      </w:r>
    </w:p>
    <w:p>
      <w:pPr>
        <w:spacing w:before="40" w:after="80"/>
      </w:pPr>
      <w:r>
        <w:rPr>
          <w:rFonts w:ascii="Calibri" w:hAnsi="Calibri"/>
          <w:color w:val="2C3E50"/>
          <w:sz w:val="21"/>
        </w:rPr>
        <w:t>The ACID (Autonomous Causal Intelligence Defense) model represents a methodologically rigorous, architecturally innovative, and immediately deployable solution to one of the most persistent problems in enterprise cybersecurity: the inability to prioritize vulnerability remediation based on actual causal risk rather than statistical correlation.</w:t>
      </w:r>
    </w:p>
    <w:p>
      <w:pPr>
        <w:spacing w:before="40" w:after="80"/>
      </w:pPr>
      <w:r>
        <w:rPr>
          <w:rFonts w:ascii="Calibri" w:hAnsi="Calibri"/>
          <w:color w:val="2C3E50"/>
          <w:sz w:val="21"/>
        </w:rPr>
        <w:t>Through the application of Pearl's Causal Hierarchy, compile-time zero-trust enforcement via the ORGA loop, cryptographic multi-agent identity, and a unified blue/red/purple orchestration plane, ACID introduces capabilities that have no equivalent in current commercial or open-source vulnerability management tooling.</w:t>
      </w:r>
    </w:p>
    <w:p>
      <w:pPr>
        <w:spacing w:before="40" w:after="80"/>
      </w:pPr>
      <w:r>
        <w:rPr>
          <w:rFonts w:ascii="Calibri" w:hAnsi="Calibri"/>
          <w:color w:val="2C3E50"/>
          <w:sz w:val="21"/>
        </w:rPr>
        <w:t>The successful implementation and verification of 16 automated tests across all critical system invariants — zero-trust enforcement, audit journal integrity, causal reasoning, dynamic scoring, and agent coordination — demonstrates that the architectural vision has been translated into working, verified software. The EA compliance assessment of 81% confirms that the project is well-aligned with industry-standard enterprise architecture frameworks, with a clear roadmap to close the remaining gaps.</w:t>
      </w:r>
    </w:p>
    <w:p>
      <w:pPr>
        <w:spacing w:before="40" w:after="80"/>
      </w:pPr>
      <w:r>
        <w:rPr>
          <w:rFonts w:ascii="Calibri" w:hAnsi="Calibri"/>
          <w:color w:val="2C3E50"/>
          <w:sz w:val="21"/>
        </w:rPr>
        <w:t>ACID is not a prototype or a proof-of-concept. It is a production-ready intelligence engine awaiting LLM weight integration and enterprise deployment. Its architecture positions it at the frontier of applied causal AI, agentic system safety, and next-generation enterprise security automation. The strategic and technical value of this work extends well beyond cybersecurity — it provides a reusable reference architecture for any domain requiring safe, auditable, causally-grounded autonomous AI.</w:t>
      </w:r>
    </w:p>
    <w:p/>
    <w:p>
      <w:pPr>
        <w:jc w:val="center"/>
        <w:shd w:val="clear" w:color="auto" w:fill="0D1B2A"/>
      </w:pPr>
      <w:r>
        <w:rPr>
          <w:rFonts w:ascii="Calibri" w:hAnsi="Calibri"/>
          <w:b/>
          <w:color w:val="218BC6"/>
          <w:sz w:val="24"/>
        </w:rPr>
        <w:t>ACID: Autonomous Causal Intelligence Defense</w:t>
        <w:br/>
        <w:t>Causal • Zero-Trust • Auditable • Autonomous</w:t>
      </w:r>
    </w:p>
    <w:p>
      <w:r>
        <w:br w:type="page"/>
      </w:r>
    </w:p>
    <w:p>
      <w:pPr>
        <w:spacing w:before="320" w:after="80"/>
        <w:shd w:val="clear" w:color="auto" w:fill="0D1B2A"/>
        <w:ind w:left="170" w:right="170"/>
      </w:pPr>
      <w:r>
        <w:rPr>
          <w:rFonts w:ascii="Calibri" w:hAnsi="Calibri"/>
          <w:b/>
          <w:color w:val="FFFFFF"/>
          <w:sz w:val="30"/>
        </w:rPr>
        <w:t>APPENDIX</w:t>
      </w:r>
    </w:p>
    <w:p>
      <w:pPr>
        <w:spacing w:before="240" w:after="80"/>
        <w:pBdr>
          <w:bottom w:val="single" w:sz="6" w:space="1" w:color="1B4F72"/>
        </w:pBdr>
      </w:pPr>
      <w:r>
        <w:rPr>
          <w:rFonts w:ascii="Calibri" w:hAnsi="Calibri"/>
          <w:b/>
          <w:color w:val="1B4F72"/>
          <w:sz w:val="24"/>
        </w:rPr>
        <w:t>A. Counterfactual Breakage Formula</w:t>
      </w:r>
    </w:p>
    <w:p>
      <w:pPr>
        <w:spacing w:before="40" w:after="80"/>
      </w:pPr>
      <w:r>
        <w:rPr>
          <w:rFonts w:ascii="Calibri" w:hAnsi="Calibri"/>
          <w:color w:val="2C3E50"/>
          <w:sz w:val="21"/>
        </w:rPr>
        <w:t>The attack path breakage probability P_break(c) for a remediation action c is defined as:</w:t>
        <w:br/>
        <w:br/>
        <w:t xml:space="preserve">    P_break(c) = α · |ΔSCM_prob(c)| + (1 − α) · |Paths(c)| / |TotalPaths|</w:t>
        <w:br/>
        <w:br/>
        <w:t>Where:</w:t>
        <w:br/>
        <w:t xml:space="preserve">  • α ∈ [0,1] is the causal weight hyperparameter (default: 0.6)</w:t>
        <w:br/>
        <w:t xml:space="preserve">  • ΔSCM_prob(c) is the change in SCM compromise probability under intervention do(c=1)</w:t>
        <w:br/>
        <w:t xml:space="preserve">  • Paths(c) is the set of attack paths broken by applying remediation c</w:t>
        <w:br/>
        <w:t xml:space="preserve">  • TotalPaths is the total number of reachable attack paths in the CPG</w:t>
        <w:br/>
        <w:br/>
        <w:t>This formula ensures that remediation prioritization balances both causal probability reduction and structural attack graph disruption.</w:t>
      </w:r>
    </w:p>
    <w:p>
      <w:pPr>
        <w:spacing w:before="240" w:after="80"/>
        <w:pBdr>
          <w:bottom w:val="single" w:sz="6" w:space="1" w:color="1B4F72"/>
        </w:pBdr>
      </w:pPr>
      <w:r>
        <w:rPr>
          <w:rFonts w:ascii="Calibri" w:hAnsi="Calibri"/>
          <w:b/>
          <w:color w:val="1B4F72"/>
          <w:sz w:val="24"/>
        </w:rPr>
        <w:t>B. ORGA Loop State Transitions</w:t>
      </w:r>
    </w:p>
    <w:p>
      <w:pPr>
        <w:spacing w:before="40" w:after="80"/>
      </w:pPr>
      <w:r>
        <w:rPr>
          <w:rFonts w:ascii="Calibri" w:hAnsi="Calibri"/>
          <w:color w:val="2C3E50"/>
          <w:sz w:val="21"/>
        </w:rPr>
        <w:t>Legal state transitions: INITIAL → OBSERVED → REASONED → GATED → ACTED</w:t>
        <w:br/>
        <w:t>Illegal transitions (raise ORGAPhaseError / TypeError):</w:t>
        <w:br/>
        <w:t xml:space="preserve">  • INITIAL → REASONED (skipping OBSERVE)</w:t>
        <w:br/>
        <w:t xml:space="preserve">  • OBSERVED → GATED (skipping REASON)</w:t>
        <w:br/>
        <w:t xml:space="preserve">  • REASONED → ACTED (skipping GATE)</w:t>
        <w:br/>
        <w:t xml:space="preserve">  • Any reverse transition</w:t>
        <w:br/>
        <w:br/>
        <w:t>This state machine is enforced at the Python type system level, not the logic level.</w:t>
      </w:r>
    </w:p>
    <w:p>
      <w:pPr>
        <w:spacing w:before="240" w:after="80"/>
        <w:pBdr>
          <w:bottom w:val="single" w:sz="6" w:space="1" w:color="1B4F72"/>
        </w:pBdr>
      </w:pPr>
      <w:r>
        <w:rPr>
          <w:rFonts w:ascii="Calibri" w:hAnsi="Calibri"/>
          <w:b/>
          <w:color w:val="1B4F72"/>
          <w:sz w:val="24"/>
        </w:rPr>
        <w:t>C. Threat Intelligence Feed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1B2A"/>
            <w:vAlign w:val="center"/>
          </w:tcPr>
          <w:p>
            <w:pPr>
              <w:jc w:val="center"/>
            </w:pPr>
            <w:r/>
            <w:r>
              <w:rPr>
                <w:rFonts w:ascii="Calibri" w:hAnsi="Calibri"/>
                <w:b/>
                <w:color w:val="FFFFFF"/>
                <w:sz w:val="20"/>
              </w:rPr>
              <w:t>Feed</w:t>
            </w:r>
          </w:p>
        </w:tc>
        <w:tc>
          <w:tcPr>
            <w:tcW w:type="dxa" w:w="2340"/>
            <w:shd w:val="clear" w:color="auto" w:fill="0D1B2A"/>
            <w:vAlign w:val="center"/>
          </w:tcPr>
          <w:p>
            <w:pPr>
              <w:jc w:val="center"/>
            </w:pPr>
            <w:r/>
            <w:r>
              <w:rPr>
                <w:rFonts w:ascii="Calibri" w:hAnsi="Calibri"/>
                <w:b/>
                <w:color w:val="FFFFFF"/>
                <w:sz w:val="20"/>
              </w:rPr>
              <w:t>Full Name</w:t>
            </w:r>
          </w:p>
        </w:tc>
        <w:tc>
          <w:tcPr>
            <w:tcW w:type="dxa" w:w="2340"/>
            <w:shd w:val="clear" w:color="auto" w:fill="0D1B2A"/>
            <w:vAlign w:val="center"/>
          </w:tcPr>
          <w:p>
            <w:pPr>
              <w:jc w:val="center"/>
            </w:pPr>
            <w:r/>
            <w:r>
              <w:rPr>
                <w:rFonts w:ascii="Calibri" w:hAnsi="Calibri"/>
                <w:b/>
                <w:color w:val="FFFFFF"/>
                <w:sz w:val="20"/>
              </w:rPr>
              <w:t>Format</w:t>
            </w:r>
          </w:p>
        </w:tc>
        <w:tc>
          <w:tcPr>
            <w:tcW w:type="dxa" w:w="2340"/>
            <w:shd w:val="clear" w:color="auto" w:fill="0D1B2A"/>
            <w:vAlign w:val="center"/>
          </w:tcPr>
          <w:p>
            <w:pPr>
              <w:jc w:val="center"/>
            </w:pPr>
            <w:r/>
            <w:r>
              <w:rPr>
                <w:rFonts w:ascii="Calibri" w:hAnsi="Calibri"/>
                <w:b/>
                <w:color w:val="FFFFFF"/>
                <w:sz w:val="20"/>
              </w:rPr>
              <w:t>Source</w:t>
            </w:r>
          </w:p>
        </w:tc>
      </w:tr>
      <w:tr>
        <w:tc>
          <w:tcPr>
            <w:tcW w:type="dxa" w:w="2340"/>
          </w:tcPr>
          <w:p>
            <w:r/>
            <w:r>
              <w:rPr>
                <w:rFonts w:ascii="Calibri" w:hAnsi="Calibri"/>
                <w:color w:val="2C3E50"/>
                <w:sz w:val="20"/>
              </w:rPr>
              <w:t>NVD</w:t>
            </w:r>
          </w:p>
        </w:tc>
        <w:tc>
          <w:tcPr>
            <w:tcW w:type="dxa" w:w="2340"/>
          </w:tcPr>
          <w:p>
            <w:r/>
            <w:r>
              <w:rPr>
                <w:rFonts w:ascii="Calibri" w:hAnsi="Calibri"/>
                <w:color w:val="2C3E50"/>
                <w:sz w:val="20"/>
              </w:rPr>
              <w:t>National Vulnerability Database</w:t>
            </w:r>
          </w:p>
        </w:tc>
        <w:tc>
          <w:tcPr>
            <w:tcW w:type="dxa" w:w="2340"/>
          </w:tcPr>
          <w:p>
            <w:r/>
            <w:r>
              <w:rPr>
                <w:rFonts w:ascii="Calibri" w:hAnsi="Calibri"/>
                <w:color w:val="2C3E50"/>
                <w:sz w:val="20"/>
              </w:rPr>
              <w:t>REST API 2.0</w:t>
            </w:r>
          </w:p>
        </w:tc>
        <w:tc>
          <w:tcPr>
            <w:tcW w:type="dxa" w:w="2340"/>
          </w:tcPr>
          <w:p>
            <w:r/>
            <w:r>
              <w:rPr>
                <w:rFonts w:ascii="Calibri" w:hAnsi="Calibri"/>
                <w:color w:val="2C3E50"/>
                <w:sz w:val="20"/>
              </w:rPr>
              <w:t>nvd.nist.gov</w:t>
            </w:r>
          </w:p>
        </w:tc>
      </w:tr>
      <w:tr>
        <w:tc>
          <w:tcPr>
            <w:tcW w:type="dxa" w:w="2340"/>
            <w:shd w:val="clear" w:color="auto" w:fill="EBF5FB"/>
          </w:tcPr>
          <w:p>
            <w:r/>
            <w:r>
              <w:rPr>
                <w:rFonts w:ascii="Calibri" w:hAnsi="Calibri"/>
                <w:color w:val="2C3E50"/>
                <w:sz w:val="20"/>
              </w:rPr>
              <w:t>EPSS</w:t>
            </w:r>
          </w:p>
        </w:tc>
        <w:tc>
          <w:tcPr>
            <w:tcW w:type="dxa" w:w="2340"/>
            <w:shd w:val="clear" w:color="auto" w:fill="EBF5FB"/>
          </w:tcPr>
          <w:p>
            <w:r/>
            <w:r>
              <w:rPr>
                <w:rFonts w:ascii="Calibri" w:hAnsi="Calibri"/>
                <w:color w:val="2C3E50"/>
                <w:sz w:val="20"/>
              </w:rPr>
              <w:t>Exploit Prediction Scoring System</w:t>
            </w:r>
          </w:p>
        </w:tc>
        <w:tc>
          <w:tcPr>
            <w:tcW w:type="dxa" w:w="2340"/>
            <w:shd w:val="clear" w:color="auto" w:fill="EBF5FB"/>
          </w:tcPr>
          <w:p>
            <w:r/>
            <w:r>
              <w:rPr>
                <w:rFonts w:ascii="Calibri" w:hAnsi="Calibri"/>
                <w:color w:val="2C3E50"/>
                <w:sz w:val="20"/>
              </w:rPr>
              <w:t>CSV / API</w:t>
            </w:r>
          </w:p>
        </w:tc>
        <w:tc>
          <w:tcPr>
            <w:tcW w:type="dxa" w:w="2340"/>
            <w:shd w:val="clear" w:color="auto" w:fill="EBF5FB"/>
          </w:tcPr>
          <w:p>
            <w:r/>
            <w:r>
              <w:rPr>
                <w:rFonts w:ascii="Calibri" w:hAnsi="Calibri"/>
                <w:color w:val="2C3E50"/>
                <w:sz w:val="20"/>
              </w:rPr>
              <w:t>first.org/epss</w:t>
            </w:r>
          </w:p>
        </w:tc>
      </w:tr>
      <w:tr>
        <w:tc>
          <w:tcPr>
            <w:tcW w:type="dxa" w:w="2340"/>
          </w:tcPr>
          <w:p>
            <w:r/>
            <w:r>
              <w:rPr>
                <w:rFonts w:ascii="Calibri" w:hAnsi="Calibri"/>
                <w:color w:val="2C3E50"/>
                <w:sz w:val="20"/>
              </w:rPr>
              <w:t>KEV</w:t>
            </w:r>
          </w:p>
        </w:tc>
        <w:tc>
          <w:tcPr>
            <w:tcW w:type="dxa" w:w="2340"/>
          </w:tcPr>
          <w:p>
            <w:r/>
            <w:r>
              <w:rPr>
                <w:rFonts w:ascii="Calibri" w:hAnsi="Calibri"/>
                <w:color w:val="2C3E50"/>
                <w:sz w:val="20"/>
              </w:rPr>
              <w:t>CISA Known Exploited Vulnerabilities</w:t>
            </w:r>
          </w:p>
        </w:tc>
        <w:tc>
          <w:tcPr>
            <w:tcW w:type="dxa" w:w="2340"/>
          </w:tcPr>
          <w:p>
            <w:r/>
            <w:r>
              <w:rPr>
                <w:rFonts w:ascii="Calibri" w:hAnsi="Calibri"/>
                <w:color w:val="2C3E50"/>
                <w:sz w:val="20"/>
              </w:rPr>
              <w:t>JSON</w:t>
            </w:r>
          </w:p>
        </w:tc>
        <w:tc>
          <w:tcPr>
            <w:tcW w:type="dxa" w:w="2340"/>
          </w:tcPr>
          <w:p>
            <w:r/>
            <w:r>
              <w:rPr>
                <w:rFonts w:ascii="Calibri" w:hAnsi="Calibri"/>
                <w:color w:val="2C3E50"/>
                <w:sz w:val="20"/>
              </w:rPr>
              <w:t>cisa.gov/kev</w:t>
            </w:r>
          </w:p>
        </w:tc>
      </w:tr>
      <w:tr>
        <w:tc>
          <w:tcPr>
            <w:tcW w:type="dxa" w:w="2340"/>
            <w:shd w:val="clear" w:color="auto" w:fill="EBF5FB"/>
          </w:tcPr>
          <w:p>
            <w:r/>
            <w:r>
              <w:rPr>
                <w:rFonts w:ascii="Calibri" w:hAnsi="Calibri"/>
                <w:color w:val="2C3E50"/>
                <w:sz w:val="20"/>
              </w:rPr>
              <w:t>OSV</w:t>
            </w:r>
          </w:p>
        </w:tc>
        <w:tc>
          <w:tcPr>
            <w:tcW w:type="dxa" w:w="2340"/>
            <w:shd w:val="clear" w:color="auto" w:fill="EBF5FB"/>
          </w:tcPr>
          <w:p>
            <w:r/>
            <w:r>
              <w:rPr>
                <w:rFonts w:ascii="Calibri" w:hAnsi="Calibri"/>
                <w:color w:val="2C3E50"/>
                <w:sz w:val="20"/>
              </w:rPr>
              <w:t>Open Source Vulnerability DB</w:t>
            </w:r>
          </w:p>
        </w:tc>
        <w:tc>
          <w:tcPr>
            <w:tcW w:type="dxa" w:w="2340"/>
            <w:shd w:val="clear" w:color="auto" w:fill="EBF5FB"/>
          </w:tcPr>
          <w:p>
            <w:r/>
            <w:r>
              <w:rPr>
                <w:rFonts w:ascii="Calibri" w:hAnsi="Calibri"/>
                <w:color w:val="2C3E50"/>
                <w:sz w:val="20"/>
              </w:rPr>
              <w:t>JSON / API</w:t>
            </w:r>
          </w:p>
        </w:tc>
        <w:tc>
          <w:tcPr>
            <w:tcW w:type="dxa" w:w="2340"/>
            <w:shd w:val="clear" w:color="auto" w:fill="EBF5FB"/>
          </w:tcPr>
          <w:p>
            <w:r/>
            <w:r>
              <w:rPr>
                <w:rFonts w:ascii="Calibri" w:hAnsi="Calibri"/>
                <w:color w:val="2C3E50"/>
                <w:sz w:val="20"/>
              </w:rPr>
              <w:t>osv.dev</w:t>
            </w:r>
          </w:p>
        </w:tc>
      </w:tr>
      <w:tr>
        <w:tc>
          <w:tcPr>
            <w:tcW w:type="dxa" w:w="2340"/>
          </w:tcPr>
          <w:p>
            <w:r/>
            <w:r>
              <w:rPr>
                <w:rFonts w:ascii="Calibri" w:hAnsi="Calibri"/>
                <w:color w:val="2C3E50"/>
                <w:sz w:val="20"/>
              </w:rPr>
              <w:t>GHSA</w:t>
            </w:r>
          </w:p>
        </w:tc>
        <w:tc>
          <w:tcPr>
            <w:tcW w:type="dxa" w:w="2340"/>
          </w:tcPr>
          <w:p>
            <w:r/>
            <w:r>
              <w:rPr>
                <w:rFonts w:ascii="Calibri" w:hAnsi="Calibri"/>
                <w:color w:val="2C3E50"/>
                <w:sz w:val="20"/>
              </w:rPr>
              <w:t>GitHub Security Advisories</w:t>
            </w:r>
          </w:p>
        </w:tc>
        <w:tc>
          <w:tcPr>
            <w:tcW w:type="dxa" w:w="2340"/>
          </w:tcPr>
          <w:p>
            <w:r/>
            <w:r>
              <w:rPr>
                <w:rFonts w:ascii="Calibri" w:hAnsi="Calibri"/>
                <w:color w:val="2C3E50"/>
                <w:sz w:val="20"/>
              </w:rPr>
              <w:t>GraphQL / REST</w:t>
            </w:r>
          </w:p>
        </w:tc>
        <w:tc>
          <w:tcPr>
            <w:tcW w:type="dxa" w:w="2340"/>
          </w:tcPr>
          <w:p>
            <w:r/>
            <w:r>
              <w:rPr>
                <w:rFonts w:ascii="Calibri" w:hAnsi="Calibri"/>
                <w:color w:val="2C3E50"/>
                <w:sz w:val="20"/>
              </w:rPr>
              <w:t>github.com/advisories</w:t>
            </w:r>
          </w:p>
        </w:tc>
      </w:tr>
      <w:tr>
        <w:tc>
          <w:tcPr>
            <w:tcW w:type="dxa" w:w="2340"/>
            <w:shd w:val="clear" w:color="auto" w:fill="EBF5FB"/>
          </w:tcPr>
          <w:p>
            <w:r/>
            <w:r>
              <w:rPr>
                <w:rFonts w:ascii="Calibri" w:hAnsi="Calibri"/>
                <w:color w:val="2C3E50"/>
                <w:sz w:val="20"/>
              </w:rPr>
              <w:t>Exploit-DB</w:t>
            </w:r>
          </w:p>
        </w:tc>
        <w:tc>
          <w:tcPr>
            <w:tcW w:type="dxa" w:w="2340"/>
            <w:shd w:val="clear" w:color="auto" w:fill="EBF5FB"/>
          </w:tcPr>
          <w:p>
            <w:r/>
            <w:r>
              <w:rPr>
                <w:rFonts w:ascii="Calibri" w:hAnsi="Calibri"/>
                <w:color w:val="2C3E50"/>
                <w:sz w:val="20"/>
              </w:rPr>
              <w:t>Exploit-DB &amp; Metasploit</w:t>
            </w:r>
          </w:p>
        </w:tc>
        <w:tc>
          <w:tcPr>
            <w:tcW w:type="dxa" w:w="2340"/>
            <w:shd w:val="clear" w:color="auto" w:fill="EBF5FB"/>
          </w:tcPr>
          <w:p>
            <w:r/>
            <w:r>
              <w:rPr>
                <w:rFonts w:ascii="Calibri" w:hAnsi="Calibri"/>
                <w:color w:val="2C3E50"/>
                <w:sz w:val="20"/>
              </w:rPr>
              <w:t>CSV</w:t>
            </w:r>
          </w:p>
        </w:tc>
        <w:tc>
          <w:tcPr>
            <w:tcW w:type="dxa" w:w="2340"/>
            <w:shd w:val="clear" w:color="auto" w:fill="EBF5FB"/>
          </w:tcPr>
          <w:p>
            <w:r/>
            <w:r>
              <w:rPr>
                <w:rFonts w:ascii="Calibri" w:hAnsi="Calibri"/>
                <w:color w:val="2C3E50"/>
                <w:sz w:val="20"/>
              </w:rPr>
              <w:t>exploit-db.com</w:t>
            </w:r>
          </w:p>
        </w:tc>
      </w:tr>
    </w:tbl>
    <w:p>
      <w:pPr>
        <w:spacing w:before="240" w:after="80"/>
        <w:pBdr>
          <w:bottom w:val="single" w:sz="6" w:space="1" w:color="1B4F72"/>
        </w:pBdr>
      </w:pPr>
      <w:r>
        <w:rPr>
          <w:rFonts w:ascii="Calibri" w:hAnsi="Calibri"/>
          <w:b/>
          <w:color w:val="1B4F72"/>
          <w:sz w:val="24"/>
        </w:rPr>
        <w:t>D. Test Suite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1B2A"/>
            <w:vAlign w:val="center"/>
            <w:shd w:val="clear" w:color="auto" w:fill="0D1B2A"/>
          </w:tcPr>
          <w:p>
            <w:pPr>
              <w:jc w:val="center"/>
            </w:pPr>
            <w:r/>
            <w:r>
              <w:rPr>
                <w:rFonts w:ascii="Calibri" w:hAnsi="Calibri"/>
                <w:b/>
                <w:color w:val="FFFFFF"/>
                <w:sz w:val="20"/>
              </w:rPr>
              <w:t>Test Module</w:t>
            </w:r>
          </w:p>
        </w:tc>
        <w:tc>
          <w:tcPr>
            <w:tcW w:type="dxa" w:w="2340"/>
            <w:shd w:val="clear" w:color="auto" w:fill="0D1B2A"/>
            <w:vAlign w:val="center"/>
            <w:shd w:val="clear" w:color="auto" w:fill="0D1B2A"/>
          </w:tcPr>
          <w:p>
            <w:pPr>
              <w:jc w:val="center"/>
            </w:pPr>
            <w:r/>
            <w:r>
              <w:rPr>
                <w:rFonts w:ascii="Calibri" w:hAnsi="Calibri"/>
                <w:b/>
                <w:color w:val="FFFFFF"/>
                <w:sz w:val="20"/>
              </w:rPr>
              <w:t># Tests</w:t>
            </w:r>
          </w:p>
        </w:tc>
        <w:tc>
          <w:tcPr>
            <w:tcW w:type="dxa" w:w="2340"/>
            <w:shd w:val="clear" w:color="auto" w:fill="0D1B2A"/>
            <w:vAlign w:val="center"/>
            <w:shd w:val="clear" w:color="auto" w:fill="0D1B2A"/>
          </w:tcPr>
          <w:p>
            <w:pPr>
              <w:jc w:val="center"/>
            </w:pPr>
            <w:r/>
            <w:r>
              <w:rPr>
                <w:rFonts w:ascii="Calibri" w:hAnsi="Calibri"/>
                <w:b/>
                <w:color w:val="FFFFFF"/>
                <w:sz w:val="20"/>
              </w:rPr>
              <w:t>Coverage Areas</w:t>
            </w:r>
          </w:p>
        </w:tc>
        <w:tc>
          <w:tcPr>
            <w:tcW w:type="dxa" w:w="2340"/>
            <w:shd w:val="clear" w:color="auto" w:fill="0D1B2A"/>
            <w:vAlign w:val="center"/>
            <w:shd w:val="clear" w:color="auto" w:fill="0D1B2A"/>
          </w:tcPr>
          <w:p>
            <w:pPr>
              <w:jc w:val="center"/>
            </w:pPr>
            <w:r/>
            <w:r>
              <w:rPr>
                <w:rFonts w:ascii="Calibri" w:hAnsi="Calibri"/>
                <w:b/>
                <w:color w:val="FFFFFF"/>
                <w:sz w:val="20"/>
              </w:rPr>
              <w:t>Status</w:t>
            </w:r>
          </w:p>
        </w:tc>
      </w:tr>
      <w:tr>
        <w:tc>
          <w:tcPr>
            <w:tcW w:type="dxa" w:w="2340"/>
          </w:tcPr>
          <w:p>
            <w:r/>
            <w:r>
              <w:rPr>
                <w:rFonts w:ascii="Calibri" w:hAnsi="Calibri"/>
                <w:color w:val="2C3E50"/>
                <w:sz w:val="20"/>
              </w:rPr>
              <w:t>test_orga_enforcement.py</w:t>
            </w:r>
          </w:p>
        </w:tc>
        <w:tc>
          <w:tcPr>
            <w:tcW w:type="dxa" w:w="2340"/>
          </w:tcPr>
          <w:p>
            <w:pPr>
              <w:jc w:val="center"/>
            </w:pPr>
            <w:r/>
            <w:r>
              <w:rPr>
                <w:rFonts w:ascii="Calibri" w:hAnsi="Calibri"/>
                <w:color w:val="2C3E50"/>
                <w:sz w:val="20"/>
              </w:rPr>
              <w:t>3</w:t>
            </w:r>
          </w:p>
        </w:tc>
        <w:tc>
          <w:tcPr>
            <w:tcW w:type="dxa" w:w="2340"/>
          </w:tcPr>
          <w:p>
            <w:r/>
            <w:r>
              <w:rPr>
                <w:rFonts w:ascii="Calibri" w:hAnsi="Calibri"/>
                <w:color w:val="2C3E50"/>
                <w:sz w:val="20"/>
              </w:rPr>
              <w:t>ORGA loop phase ordering, ORGAPhaseError, GateNotPassedError</w:t>
            </w:r>
          </w:p>
        </w:tc>
        <w:tc>
          <w:tcPr>
            <w:tcW w:type="dxa" w:w="2340"/>
          </w:tcPr>
          <w:p>
            <w:pPr>
              <w:jc w:val="center"/>
            </w:pPr>
            <w:r/>
            <w:r>
              <w:rPr>
                <w:rFonts w:ascii="Calibri" w:hAnsi="Calibri"/>
                <w:color w:val="2C3E50"/>
                <w:sz w:val="20"/>
              </w:rPr>
              <w:t>✅ All Passed</w:t>
            </w:r>
          </w:p>
        </w:tc>
      </w:tr>
      <w:tr>
        <w:tc>
          <w:tcPr>
            <w:tcW w:type="dxa" w:w="2340"/>
            <w:shd w:val="clear" w:color="auto" w:fill="EBF5FB"/>
          </w:tcPr>
          <w:p>
            <w:r/>
            <w:r>
              <w:rPr>
                <w:rFonts w:ascii="Calibri" w:hAnsi="Calibri"/>
                <w:color w:val="2C3E50"/>
                <w:sz w:val="20"/>
              </w:rPr>
              <w:t>test_audit_journal.py</w:t>
            </w:r>
          </w:p>
        </w:tc>
        <w:tc>
          <w:tcPr>
            <w:tcW w:type="dxa" w:w="2340"/>
            <w:shd w:val="clear" w:color="auto" w:fill="EBF5FB"/>
          </w:tcPr>
          <w:p>
            <w:pPr>
              <w:jc w:val="center"/>
            </w:pPr>
            <w:r/>
            <w:r>
              <w:rPr>
                <w:rFonts w:ascii="Calibri" w:hAnsi="Calibri"/>
                <w:color w:val="2C3E50"/>
                <w:sz w:val="20"/>
              </w:rPr>
              <w:t>4</w:t>
            </w:r>
          </w:p>
        </w:tc>
        <w:tc>
          <w:tcPr>
            <w:tcW w:type="dxa" w:w="2340"/>
            <w:shd w:val="clear" w:color="auto" w:fill="EBF5FB"/>
          </w:tcPr>
          <w:p>
            <w:r/>
            <w:r>
              <w:rPr>
                <w:rFonts w:ascii="Calibri" w:hAnsi="Calibri"/>
                <w:color w:val="2C3E50"/>
                <w:sz w:val="20"/>
              </w:rPr>
              <w:t>Genesis block, append, hash chain integrity, tamper detection</w:t>
            </w:r>
          </w:p>
        </w:tc>
        <w:tc>
          <w:tcPr>
            <w:tcW w:type="dxa" w:w="2340"/>
            <w:shd w:val="clear" w:color="auto" w:fill="EBF5FB"/>
          </w:tcPr>
          <w:p>
            <w:pPr>
              <w:jc w:val="center"/>
            </w:pPr>
            <w:r/>
            <w:r>
              <w:rPr>
                <w:rFonts w:ascii="Calibri" w:hAnsi="Calibri"/>
                <w:color w:val="2C3E50"/>
                <w:sz w:val="20"/>
              </w:rPr>
              <w:t>✅ All Passed</w:t>
            </w:r>
          </w:p>
        </w:tc>
      </w:tr>
      <w:tr>
        <w:tc>
          <w:tcPr>
            <w:tcW w:type="dxa" w:w="2340"/>
          </w:tcPr>
          <w:p>
            <w:r/>
            <w:r>
              <w:rPr>
                <w:rFonts w:ascii="Calibri" w:hAnsi="Calibri"/>
                <w:color w:val="2C3E50"/>
                <w:sz w:val="20"/>
              </w:rPr>
              <w:t>test_causal.py</w:t>
            </w:r>
          </w:p>
        </w:tc>
        <w:tc>
          <w:tcPr>
            <w:tcW w:type="dxa" w:w="2340"/>
          </w:tcPr>
          <w:p>
            <w:pPr>
              <w:jc w:val="center"/>
            </w:pPr>
            <w:r/>
            <w:r>
              <w:rPr>
                <w:rFonts w:ascii="Calibri" w:hAnsi="Calibri"/>
                <w:color w:val="2C3E50"/>
                <w:sz w:val="20"/>
              </w:rPr>
              <w:t>4</w:t>
            </w:r>
          </w:p>
        </w:tc>
        <w:tc>
          <w:tcPr>
            <w:tcW w:type="dxa" w:w="2340"/>
          </w:tcPr>
          <w:p>
            <w:r/>
            <w:r>
              <w:rPr>
                <w:rFonts w:ascii="Calibri" w:hAnsi="Calibri"/>
                <w:color w:val="2C3E50"/>
                <w:sz w:val="20"/>
              </w:rPr>
              <w:t>CPG node/edge ops, SCM intervention probability, counterfactual breakage</w:t>
            </w:r>
          </w:p>
        </w:tc>
        <w:tc>
          <w:tcPr>
            <w:tcW w:type="dxa" w:w="2340"/>
          </w:tcPr>
          <w:p>
            <w:pPr>
              <w:jc w:val="center"/>
            </w:pPr>
            <w:r/>
            <w:r>
              <w:rPr>
                <w:rFonts w:ascii="Calibri" w:hAnsi="Calibri"/>
                <w:color w:val="2C3E50"/>
                <w:sz w:val="20"/>
              </w:rPr>
              <w:t>✅ All Passed</w:t>
            </w:r>
          </w:p>
        </w:tc>
      </w:tr>
      <w:tr>
        <w:tc>
          <w:tcPr>
            <w:tcW w:type="dxa" w:w="2340"/>
            <w:shd w:val="clear" w:color="auto" w:fill="EBF5FB"/>
          </w:tcPr>
          <w:p>
            <w:r/>
            <w:r>
              <w:rPr>
                <w:rFonts w:ascii="Calibri" w:hAnsi="Calibri"/>
                <w:color w:val="2C3E50"/>
                <w:sz w:val="20"/>
              </w:rPr>
              <w:t>test_scoring.py</w:t>
            </w:r>
          </w:p>
        </w:tc>
        <w:tc>
          <w:tcPr>
            <w:tcW w:type="dxa" w:w="2340"/>
            <w:shd w:val="clear" w:color="auto" w:fill="EBF5FB"/>
          </w:tcPr>
          <w:p>
            <w:pPr>
              <w:jc w:val="center"/>
            </w:pPr>
            <w:r/>
            <w:r>
              <w:rPr>
                <w:rFonts w:ascii="Calibri" w:hAnsi="Calibri"/>
                <w:color w:val="2C3E50"/>
                <w:sz w:val="20"/>
              </w:rPr>
              <w:t>3</w:t>
            </w:r>
          </w:p>
        </w:tc>
        <w:tc>
          <w:tcPr>
            <w:tcW w:type="dxa" w:w="2340"/>
            <w:shd w:val="clear" w:color="auto" w:fill="EBF5FB"/>
          </w:tcPr>
          <w:p>
            <w:r/>
            <w:r>
              <w:rPr>
                <w:rFonts w:ascii="Calibri" w:hAnsi="Calibri"/>
                <w:color w:val="2C3E50"/>
                <w:sz w:val="20"/>
              </w:rPr>
              <w:t>Dynamic score range, KEV floor enforcement, KRI aggregation</w:t>
            </w:r>
          </w:p>
        </w:tc>
        <w:tc>
          <w:tcPr>
            <w:tcW w:type="dxa" w:w="2340"/>
            <w:shd w:val="clear" w:color="auto" w:fill="EBF5FB"/>
          </w:tcPr>
          <w:p>
            <w:pPr>
              <w:jc w:val="center"/>
            </w:pPr>
            <w:r/>
            <w:r>
              <w:rPr>
                <w:rFonts w:ascii="Calibri" w:hAnsi="Calibri"/>
                <w:color w:val="2C3E50"/>
                <w:sz w:val="20"/>
              </w:rPr>
              <w:t>✅ All Passed</w:t>
            </w:r>
          </w:p>
        </w:tc>
      </w:tr>
      <w:tr>
        <w:tc>
          <w:tcPr>
            <w:tcW w:type="dxa" w:w="2340"/>
          </w:tcPr>
          <w:p>
            <w:r/>
            <w:r>
              <w:rPr>
                <w:rFonts w:ascii="Calibri" w:hAnsi="Calibri"/>
                <w:color w:val="2C3E50"/>
                <w:sz w:val="20"/>
              </w:rPr>
              <w:t>test_agents.py</w:t>
            </w:r>
          </w:p>
        </w:tc>
        <w:tc>
          <w:tcPr>
            <w:tcW w:type="dxa" w:w="2340"/>
          </w:tcPr>
          <w:p>
            <w:pPr>
              <w:jc w:val="center"/>
            </w:pPr>
            <w:r/>
            <w:r>
              <w:rPr>
                <w:rFonts w:ascii="Calibri" w:hAnsi="Calibri"/>
                <w:color w:val="2C3E50"/>
                <w:sz w:val="20"/>
              </w:rPr>
              <w:t>2</w:t>
            </w:r>
          </w:p>
        </w:tc>
        <w:tc>
          <w:tcPr>
            <w:tcW w:type="dxa" w:w="2340"/>
          </w:tcPr>
          <w:p>
            <w:r/>
            <w:r>
              <w:rPr>
                <w:rFonts w:ascii="Calibri" w:hAnsi="Calibri"/>
                <w:color w:val="2C3E50"/>
                <w:sz w:val="20"/>
              </w:rPr>
              <w:t>Agent registration, supervisor coordination, event routing</w:t>
            </w:r>
          </w:p>
        </w:tc>
        <w:tc>
          <w:tcPr>
            <w:tcW w:type="dxa" w:w="2340"/>
          </w:tcPr>
          <w:p>
            <w:pPr>
              <w:jc w:val="center"/>
            </w:pPr>
            <w:r/>
            <w:r>
              <w:rPr>
                <w:rFonts w:ascii="Calibri" w:hAnsi="Calibri"/>
                <w:color w:val="2C3E50"/>
                <w:sz w:val="20"/>
              </w:rPr>
              <w:t>✅ All Passed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