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 VIRS and ACID Project Progress Report</w:t>
      </w:r>
    </w:p>
    <w:p>
      <w:pPr>
        <w:pStyle w:val="Subtitle"/>
      </w:pPr>
      <w:r>
        <w:t>Evolution Architecture Implementation and Next Steps</w:t>
      </w:r>
    </w:p>
    <w:p>
      <w:r>
        <w:t>Prepared for BHARGAV</w:t>
      </w:r>
    </w:p>
    <w:p>
      <w:r>
        <w:t>15 September 2026 | Version 1.0</w:t>
      </w:r>
    </w:p>
    <w:p>
      <w:r>
        <w:t>This report records the development of the Dynamic Vulnerability Intelligence and Risk Scoring Platform and its evolution into Autonomous Causal Intelligence Defense, or ACID. It explains the original product, the changes in scope, the current architecture, completed implementation, observed validation results and the work needed to reach the intended system.</w:t>
      </w:r>
    </w:p>
    <w:p>
      <w:r>
        <w:t>The project has a functioning local foundation for real public intelligence, deterministic risk scoring, authentication, role restrictions, event processing and governed remediation proposals. The complete autonomous causal defense system has not yet been delivered. Five deterministic agent stages have been implemented and built, but their deployment and new tests remain pending. No validated exploitation model, causal model or external remediation connector is installed.</w:t>
      </w:r>
    </w:p>
    <w:p>
      <w:r>
        <w:t>The latest direction is to complete the application agents before rebuilding the frontend. This report is the current deliverable. Frontend removal and replacement are future implementation work; the existing frontend remains intact during report preparation.</w:t>
      </w:r>
    </w:p>
    <w:p>
      <w:r>
        <w:t>Report basis: repository specifications, implementation records, stored benchmark artifacts and the development conversation. Service health and test results are historical observations from 13–14 September 2026, not a new production audit. Where UTC timestamps and local dates differ, the original evidence timestamp remains authoritative.</w:t>
      </w:r>
    </w:p>
    <w:p>
      <w:r>
        <w:t>Prepared by Codex from the project workspace and recorded implementation evidence. No credentials, private keys or personal biometric material are included.</w:t>
      </w:r>
    </w:p>
    <w:p>
      <w:r>
        <w:br w:type="page"/>
      </w:r>
    </w:p>
    <w:p>
      <w:pPr>
        <w:pStyle w:val="Heading1"/>
      </w:pPr>
      <w:r>
        <w:t>Contents</w:t>
      </w:r>
    </w:p>
    <w:p>
      <w:r>
        <w:t>The report follows the project from its original requirements through the ACID transition, current evidence and the revised implementation order.</w:t>
      </w:r>
    </w:p>
    <w:p>
      <w:r>
        <w:t>1 Executive Progress Assessment</w:t>
      </w:r>
    </w:p>
    <w:p>
      <w:r>
        <w:t>2 Original Product and Requirements</w:t>
      </w:r>
    </w:p>
    <w:p>
      <w:r>
        <w:t>3 How the Approach Changed</w:t>
      </w:r>
    </w:p>
    <w:p>
      <w:r>
        <w:t>4 Architecture Before and After ACID</w:t>
      </w:r>
    </w:p>
    <w:p>
      <w:r>
        <w:t>5 Real Intelligence and Asset Integration</w:t>
      </w:r>
    </w:p>
    <w:p>
      <w:r>
        <w:t>6 Feature Store Scoring and Model Pipeline</w:t>
      </w:r>
    </w:p>
    <w:p>
      <w:r>
        <w:t>7 Measured Evaluation and Its Limits</w:t>
      </w:r>
    </w:p>
    <w:p>
      <w:r>
        <w:t>8 The Five Application Agents</w:t>
      </w:r>
    </w:p>
    <w:p>
      <w:r>
        <w:t>9 Governance and Remediation Control</w:t>
      </w:r>
    </w:p>
    <w:p>
      <w:r>
        <w:t>10 Authentication Roles Credits and User Experience</w:t>
      </w:r>
    </w:p>
    <w:p>
      <w:r>
        <w:t>11 Deployment Operations and Security</w:t>
      </w:r>
    </w:p>
    <w:p>
      <w:r>
        <w:t>12 Validation Record and Remaining Acceptance</w:t>
      </w:r>
    </w:p>
    <w:p>
      <w:r>
        <w:t>13 Dataset Expansion and Research Boundaries</w:t>
      </w:r>
    </w:p>
    <w:p>
      <w:r>
        <w:t>14 Revised Roadmap with Agents First</w:t>
      </w:r>
    </w:p>
    <w:p>
      <w:r>
        <w:t>15 Dependencies Risks and Success Criteria</w:t>
      </w:r>
    </w:p>
    <w:p>
      <w:r>
        <w:t>16 Evidence Register and Document Control</w:t>
      </w:r>
    </w:p>
    <w:p>
      <w:r>
        <w:t>Appendix A   Dataset catalog and recorded integration status</w:t>
      </w:r>
    </w:p>
    <w:p>
      <w:r>
        <w:br w:type="page"/>
      </w:r>
    </w:p>
    <w:p>
      <w:pPr>
        <w:pStyle w:val="Heading1"/>
      </w:pPr>
      <w:r>
        <w:t>1 Executive Progress Assessment</w:t>
      </w:r>
    </w:p>
    <w:p>
      <w:r>
        <w:t>The original objective was a strictly defensive platform that helps teams decide which vulnerabilities to remediate first. ACID extends that objective to a governed loop: collect evidence, understand context, prioritize, propose action, obtain authorization, execute through a configured system, verify the result and learn from measured outcomes.</w:t>
      </w:r>
    </w:p>
    <w:p>
      <w:r>
        <w:t>The real-data platform is substantially beyond a static prototype. Its local deployment has ingested genuine vulnerability intelligence, exposes authenticated APIs, records evidence and supports immutable remediation reviews. However, infrastructure availability must not be confused with complete product acceptance. Actual organizational assets and historical outcome data are still absent.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69"/>
      </w:tblGrid>
      <w:tr>
        <w:trPr>
          <w:cantSplit/>
          <w:tblHeader/>
        </w:trPr>
        <w:tc>
          <w:tcPr>
            <w:tcW w:type="dxa" w:w="2880"/>
            <w:vAlign w:val="center"/>
            <w:shd w:fill="E5EAF0"/>
            <w:tcMar>
              <w:top w:w="75" w:type="dxa"/>
              <w:bottom w:w="75" w:type="dxa"/>
              <w:left w:w="75" w:type="dxa"/>
              <w:right w:w="75" w:type="dxa"/>
            </w:tcMar>
          </w:tcPr>
          <w:p>
            <w:pPr>
              <w:spacing w:after="40" w:line="245" w:lineRule="auto"/>
            </w:pPr>
            <w:r>
              <w:rPr>
                <w:b/>
                <w:sz w:val="20"/>
              </w:rPr>
              <w:t>Area</w:t>
            </w:r>
          </w:p>
        </w:tc>
        <w:tc>
          <w:tcPr>
            <w:tcW w:type="dxa" w:w="6869"/>
            <w:vAlign w:val="center"/>
            <w:shd w:fill="E5EAF0"/>
            <w:tcMar>
              <w:top w:w="75" w:type="dxa"/>
              <w:bottom w:w="75" w:type="dxa"/>
              <w:left w:w="75" w:type="dxa"/>
              <w:right w:w="75" w:type="dxa"/>
            </w:tcMar>
          </w:tcPr>
          <w:p>
            <w:pPr>
              <w:spacing w:after="40" w:line="245" w:lineRule="auto"/>
            </w:pPr>
            <w:r>
              <w:rPr>
                <w:b/>
                <w:sz w:val="20"/>
              </w:rPr>
              <w:t>Position at this report</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Product foundation</w:t>
            </w:r>
          </w:p>
        </w:tc>
        <w:tc>
          <w:tcPr>
            <w:tcW w:type="dxa" w:w="6869"/>
            <w:vAlign w:val="center"/>
            <w:shd w:fill="FFFFFF"/>
            <w:tcMar>
              <w:top w:w="75" w:type="dxa"/>
              <w:bottom w:w="75" w:type="dxa"/>
              <w:left w:w="75" w:type="dxa"/>
              <w:right w:w="75" w:type="dxa"/>
            </w:tcMar>
          </w:tcPr>
          <w:p>
            <w:pPr>
              <w:spacing w:after="40" w:line="245" w:lineRule="auto"/>
            </w:pPr>
            <w:r>
              <w:rPr>
                <w:b w:val="0"/>
                <w:sz w:val="20"/>
              </w:rPr>
              <w:t>Real-source ingestion, account services, scoped APIs, workers and local monitoring have been exercised.</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Intelligence coverage</w:t>
            </w:r>
          </w:p>
        </w:tc>
        <w:tc>
          <w:tcPr>
            <w:tcW w:type="dxa" w:w="6869"/>
            <w:vAlign w:val="center"/>
            <w:shd w:fill="F5F6F8"/>
            <w:tcMar>
              <w:top w:w="75" w:type="dxa"/>
              <w:bottom w:w="75" w:type="dxa"/>
              <w:left w:w="75" w:type="dxa"/>
              <w:right w:w="75" w:type="dxa"/>
            </w:tcMar>
          </w:tcPr>
          <w:p>
            <w:pPr>
              <w:spacing w:after="40" w:line="245" w:lineRule="auto"/>
            </w:pPr>
            <w:r>
              <w:rPr>
                <w:b w:val="0"/>
                <w:sz w:val="20"/>
              </w:rPr>
              <w:t>Stored benchmark contains 8,938 CVEs and 1,709 KEV entries; imports are bounded, not a complete global archive.</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Asset outcomes</w:t>
            </w:r>
          </w:p>
        </w:tc>
        <w:tc>
          <w:tcPr>
            <w:tcW w:type="dxa" w:w="6869"/>
            <w:vAlign w:val="center"/>
            <w:shd w:fill="FFFFFF"/>
            <w:tcMar>
              <w:top w:w="75" w:type="dxa"/>
              <w:bottom w:w="75" w:type="dxa"/>
              <w:left w:w="75" w:type="dxa"/>
              <w:right w:w="75" w:type="dxa"/>
            </w:tcMar>
          </w:tcPr>
          <w:p>
            <w:pPr>
              <w:spacing w:after="40" w:line="245" w:lineRule="auto"/>
            </w:pPr>
            <w:r>
              <w:rPr>
                <w:b w:val="0"/>
                <w:sz w:val="20"/>
              </w:rPr>
              <w:t>Zero real assets and scored findings in the recorded checks; organization-specific prioritization is unverified.</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Machine learning</w:t>
            </w:r>
          </w:p>
        </w:tc>
        <w:tc>
          <w:tcPr>
            <w:tcW w:type="dxa" w:w="6869"/>
            <w:vAlign w:val="center"/>
            <w:shd w:fill="F5F6F8"/>
            <w:tcMar>
              <w:top w:w="75" w:type="dxa"/>
              <w:bottom w:w="75" w:type="dxa"/>
              <w:left w:w="75" w:type="dxa"/>
              <w:right w:w="75" w:type="dxa"/>
            </w:tcMar>
          </w:tcPr>
          <w:p>
            <w:pPr>
              <w:spacing w:after="40" w:line="245" w:lineRule="auto"/>
            </w:pPr>
            <w:r>
              <w:rPr>
                <w:b w:val="0"/>
                <w:sz w:val="20"/>
              </w:rPr>
              <w:t>Training and registry scaffolding exist; no validated trained model or temporal accuracy result is available.</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Governance</w:t>
            </w:r>
          </w:p>
        </w:tc>
        <w:tc>
          <w:tcPr>
            <w:tcW w:type="dxa" w:w="6869"/>
            <w:vAlign w:val="center"/>
            <w:shd w:fill="FFFFFF"/>
            <w:tcMar>
              <w:top w:w="75" w:type="dxa"/>
              <w:bottom w:w="75" w:type="dxa"/>
              <w:left w:w="75" w:type="dxa"/>
              <w:right w:w="75" w:type="dxa"/>
            </w:tcMar>
          </w:tcPr>
          <w:p>
            <w:pPr>
              <w:spacing w:after="40" w:line="245" w:lineRule="auto"/>
            </w:pPr>
            <w:r>
              <w:rPr>
                <w:b w:val="0"/>
                <w:sz w:val="20"/>
              </w:rPr>
              <w:t>Immutable proposals and independent review deployed; execution remains disabled.</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Application agents</w:t>
            </w:r>
          </w:p>
        </w:tc>
        <w:tc>
          <w:tcPr>
            <w:tcW w:type="dxa" w:w="6869"/>
            <w:vAlign w:val="center"/>
            <w:shd w:fill="F5F6F8"/>
            <w:tcMar>
              <w:top w:w="75" w:type="dxa"/>
              <w:bottom w:w="75" w:type="dxa"/>
              <w:left w:w="75" w:type="dxa"/>
              <w:right w:w="75" w:type="dxa"/>
            </w:tcMar>
          </w:tcPr>
          <w:p>
            <w:pPr>
              <w:spacing w:after="40" w:line="245" w:lineRule="auto"/>
            </w:pPr>
            <w:r>
              <w:rPr>
                <w:b w:val="0"/>
                <w:sz w:val="20"/>
              </w:rPr>
              <w:t>Five deterministic stages built; migration 0008 and runtime verification pending.</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Causal reasoning</w:t>
            </w:r>
          </w:p>
        </w:tc>
        <w:tc>
          <w:tcPr>
            <w:tcW w:type="dxa" w:w="6869"/>
            <w:vAlign w:val="center"/>
            <w:shd w:fill="FFFFFF"/>
            <w:tcMar>
              <w:top w:w="75" w:type="dxa"/>
              <w:bottom w:w="75" w:type="dxa"/>
              <w:left w:w="75" w:type="dxa"/>
              <w:right w:w="75" w:type="dxa"/>
            </w:tcMar>
          </w:tcPr>
          <w:p>
            <w:pPr>
              <w:spacing w:after="40" w:line="245" w:lineRule="auto"/>
            </w:pPr>
            <w:r>
              <w:rPr>
                <w:b w:val="0"/>
                <w:sz w:val="20"/>
              </w:rPr>
              <w:t>Target architecture only; no validated causal graph, GNN or structural causal model.</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Production readiness</w:t>
            </w:r>
          </w:p>
        </w:tc>
        <w:tc>
          <w:tcPr>
            <w:tcW w:type="dxa" w:w="6869"/>
            <w:vAlign w:val="center"/>
            <w:shd w:fill="F5F6F8"/>
            <w:tcMar>
              <w:top w:w="75" w:type="dxa"/>
              <w:bottom w:w="75" w:type="dxa"/>
              <w:left w:w="75" w:type="dxa"/>
              <w:right w:w="75" w:type="dxa"/>
            </w:tcMar>
          </w:tcPr>
          <w:p>
            <w:pPr>
              <w:spacing w:after="40" w:line="245" w:lineRule="auto"/>
            </w:pPr>
            <w:r>
              <w:rPr>
                <w:b w:val="0"/>
                <w:sz w:val="20"/>
              </w:rPr>
              <w:t>Not established; security, operational, model and real-workflow acceptance gaps remain.</w:t>
            </w:r>
          </w:p>
        </w:tc>
      </w:tr>
    </w:tbl>
    <w:p>
      <w:pPr>
        <w:spacing w:after="0"/>
      </w:pPr>
    </w:p>
    <w:p>
      <w:r>
        <w:t>The highest-value next increment is a durable and testable agent workflow operating on actual evidence. Additional dataset volume alone cannot establish that workflow or demonstrate predictive accuracy. A real inventory, authorized remediation destination and measurable outcome contract are necessary to complete the loop.</w:t>
      </w:r>
    </w:p>
    <w:p>
      <w:r>
        <w:t>No completion percentage is assigned. The requirements cover capabilities of very different sizes, and no weighted acceptance baseline has been agreed. The status matrices in this report provide a more accurate assessment.</w:t>
      </w:r>
    </w:p>
    <w:p>
      <w:r>
        <w:br w:type="page"/>
      </w:r>
    </w:p>
    <w:p>
      <w:pPr>
        <w:pStyle w:val="Heading1"/>
      </w:pPr>
      <w:r>
        <w:t>2 Original Product and Requirements</w:t>
      </w:r>
    </w:p>
    <w:p>
      <w:r>
        <w:t>D-VIRS was conceived as an AI/ML-powered Dynamic Vulnerability Intelligence and Risk Scoring Platform. Its core problem is prioritization: severity alone does not capture exploitation likelihood, exposure, business importance or the practical benefit of remediation. The intended unit of decision is a vulnerability–asset pair, not an isolated CVE.</w:t>
      </w:r>
    </w:p>
    <w:p>
      <w:r>
        <w:t>The initial comprehensive scope grouped requirements into fifteen areas. These remain relevant to ACID unless superseded by the later architecture or implementation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69"/>
      </w:tblGrid>
      <w:tr>
        <w:trPr>
          <w:cantSplit/>
          <w:tblHeader/>
        </w:trPr>
        <w:tc>
          <w:tcPr>
            <w:tcW w:type="dxa" w:w="2880"/>
            <w:vAlign w:val="center"/>
            <w:shd w:fill="E5EAF0"/>
            <w:tcMar>
              <w:top w:w="75" w:type="dxa"/>
              <w:bottom w:w="75" w:type="dxa"/>
              <w:left w:w="75" w:type="dxa"/>
              <w:right w:w="75" w:type="dxa"/>
            </w:tcMar>
          </w:tcPr>
          <w:p>
            <w:pPr>
              <w:spacing w:after="40" w:line="245" w:lineRule="auto"/>
            </w:pPr>
            <w:r>
              <w:rPr>
                <w:b/>
                <w:sz w:val="20"/>
              </w:rPr>
              <w:t>Requirement family</w:t>
            </w:r>
          </w:p>
        </w:tc>
        <w:tc>
          <w:tcPr>
            <w:tcW w:type="dxa" w:w="6869"/>
            <w:vAlign w:val="center"/>
            <w:shd w:fill="E5EAF0"/>
            <w:tcMar>
              <w:top w:w="75" w:type="dxa"/>
              <w:bottom w:w="75" w:type="dxa"/>
              <w:left w:w="75" w:type="dxa"/>
              <w:right w:w="75" w:type="dxa"/>
            </w:tcMar>
          </w:tcPr>
          <w:p>
            <w:pPr>
              <w:spacing w:after="40" w:line="245" w:lineRule="auto"/>
            </w:pPr>
            <w:r>
              <w:rPr>
                <w:b/>
                <w:sz w:val="20"/>
              </w:rPr>
              <w:t>Intended capability</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Intelligence ingestion</w:t>
            </w:r>
          </w:p>
        </w:tc>
        <w:tc>
          <w:tcPr>
            <w:tcW w:type="dxa" w:w="6869"/>
            <w:vAlign w:val="center"/>
            <w:shd w:fill="FFFFFF"/>
            <w:tcMar>
              <w:top w:w="75" w:type="dxa"/>
              <w:bottom w:w="75" w:type="dxa"/>
              <w:left w:w="75" w:type="dxa"/>
              <w:right w:w="75" w:type="dxa"/>
            </w:tcMar>
          </w:tcPr>
          <w:p>
            <w:pPr>
              <w:spacing w:after="40" w:line="245" w:lineRule="auto"/>
            </w:pPr>
            <w:r>
              <w:rPr>
                <w:b w:val="0"/>
                <w:sz w:val="20"/>
              </w:rPr>
              <w:t>NVD, EPSS, KEV, exploit-availability metadata, CWE, CPE, inventory and optional threat feeds with validation and provenance.</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Asset context</w:t>
            </w:r>
          </w:p>
        </w:tc>
        <w:tc>
          <w:tcPr>
            <w:tcW w:type="dxa" w:w="6869"/>
            <w:vAlign w:val="center"/>
            <w:shd w:fill="F5F6F8"/>
            <w:tcMar>
              <w:top w:w="75" w:type="dxa"/>
              <w:bottom w:w="75" w:type="dxa"/>
              <w:left w:w="75" w:type="dxa"/>
              <w:right w:w="75" w:type="dxa"/>
            </w:tcMar>
          </w:tcPr>
          <w:p>
            <w:pPr>
              <w:spacing w:after="40" w:line="245" w:lineRule="auto"/>
            </w:pPr>
            <w:r>
              <w:rPr>
                <w:b w:val="0"/>
                <w:sz w:val="20"/>
              </w:rPr>
              <w:t>Software versions, ownership, exposure, criticality, dependencies, SBOM mapping and blast-radius analysis.</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Features and models</w:t>
            </w:r>
          </w:p>
        </w:tc>
        <w:tc>
          <w:tcPr>
            <w:tcW w:type="dxa" w:w="6869"/>
            <w:vAlign w:val="center"/>
            <w:shd w:fill="FFFFFF"/>
            <w:tcMar>
              <w:top w:w="75" w:type="dxa"/>
              <w:bottom w:w="75" w:type="dxa"/>
              <w:left w:w="75" w:type="dxa"/>
              <w:right w:w="75" w:type="dxa"/>
            </w:tcMar>
          </w:tcPr>
          <w:p>
            <w:pPr>
              <w:spacing w:after="40" w:line="245" w:lineRule="auto"/>
            </w:pPr>
            <w:r>
              <w:rPr>
                <w:b w:val="0"/>
                <w:sz w:val="20"/>
              </w:rPr>
              <w:t>Offline PostgreSQL and online Redis features, lineage, identical transformations, real historical training and artifact versioning.</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Prioritization</w:t>
            </w:r>
          </w:p>
        </w:tc>
        <w:tc>
          <w:tcPr>
            <w:tcW w:type="dxa" w:w="6869"/>
            <w:vAlign w:val="center"/>
            <w:shd w:fill="F5F6F8"/>
            <w:tcMar>
              <w:top w:w="75" w:type="dxa"/>
              <w:bottom w:w="75" w:type="dxa"/>
              <w:left w:w="75" w:type="dxa"/>
              <w:right w:w="75" w:type="dxa"/>
            </w:tcMar>
          </w:tcPr>
          <w:p>
            <w:pPr>
              <w:spacing w:after="40" w:line="245" w:lineRule="auto"/>
            </w:pPr>
            <w:r>
              <w:rPr>
                <w:b w:val="0"/>
                <w:sz w:val="20"/>
              </w:rPr>
              <w:t>Transparent KRI, validated ensemble, hybrid weighting, anomaly detection, 0–100 scores and P0–P3 SLAs.</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Explanations</w:t>
            </w:r>
          </w:p>
        </w:tc>
        <w:tc>
          <w:tcPr>
            <w:tcW w:type="dxa" w:w="6869"/>
            <w:vAlign w:val="center"/>
            <w:shd w:fill="FFFFFF"/>
            <w:tcMar>
              <w:top w:w="75" w:type="dxa"/>
              <w:bottom w:w="75" w:type="dxa"/>
              <w:left w:w="75" w:type="dxa"/>
              <w:right w:w="75" w:type="dxa"/>
            </w:tcMar>
          </w:tcPr>
          <w:p>
            <w:pPr>
              <w:spacing w:after="40" w:line="245" w:lineRule="auto"/>
            </w:pPr>
            <w:r>
              <w:rPr>
                <w:b w:val="0"/>
                <w:sz w:val="20"/>
              </w:rPr>
              <w:t>Reconciled contributions, readable recommendations and exportable evidence.</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Events</w:t>
            </w:r>
          </w:p>
        </w:tc>
        <w:tc>
          <w:tcPr>
            <w:tcW w:type="dxa" w:w="6869"/>
            <w:vAlign w:val="center"/>
            <w:shd w:fill="F5F6F8"/>
            <w:tcMar>
              <w:top w:w="75" w:type="dxa"/>
              <w:bottom w:w="75" w:type="dxa"/>
              <w:left w:w="75" w:type="dxa"/>
              <w:right w:w="75" w:type="dxa"/>
            </w:tcMar>
          </w:tcPr>
          <w:p>
            <w:pPr>
              <w:spacing w:after="40" w:line="245" w:lineRule="auto"/>
            </w:pPr>
            <w:r>
              <w:rPr>
                <w:b w:val="0"/>
                <w:sz w:val="20"/>
              </w:rPr>
              <w:t>Durable changes, targeted rescoring, batching, replay, audit and authorized live updates.</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Administration</w:t>
            </w:r>
          </w:p>
        </w:tc>
        <w:tc>
          <w:tcPr>
            <w:tcW w:type="dxa" w:w="6869"/>
            <w:vAlign w:val="center"/>
            <w:shd w:fill="FFFFFF"/>
            <w:tcMar>
              <w:top w:w="75" w:type="dxa"/>
              <w:bottom w:w="75" w:type="dxa"/>
              <w:left w:w="75" w:type="dxa"/>
              <w:right w:w="75" w:type="dxa"/>
            </w:tcMar>
          </w:tcPr>
          <w:p>
            <w:pPr>
              <w:spacing w:after="40" w:line="245" w:lineRule="auto"/>
            </w:pPr>
            <w:r>
              <w:rPr>
                <w:b w:val="0"/>
                <w:sz w:val="20"/>
              </w:rPr>
              <w:t>Team roles, fine-grained permissions, user management, activity, credits and health monitoring.</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Authentication</w:t>
            </w:r>
          </w:p>
        </w:tc>
        <w:tc>
          <w:tcPr>
            <w:tcW w:type="dxa" w:w="6869"/>
            <w:vAlign w:val="center"/>
            <w:shd w:fill="F5F6F8"/>
            <w:tcMar>
              <w:top w:w="75" w:type="dxa"/>
              <w:bottom w:w="75" w:type="dxa"/>
              <w:left w:w="75" w:type="dxa"/>
              <w:right w:w="75" w:type="dxa"/>
            </w:tcMar>
          </w:tcPr>
          <w:p>
            <w:pPr>
              <w:spacing w:after="40" w:line="245" w:lineRule="auto"/>
            </w:pPr>
            <w:r>
              <w:rPr>
                <w:b w:val="0"/>
                <w:sz w:val="20"/>
              </w:rPr>
              <w:t>WebAuthn, local or phone-mediated authenticators, sessions and recovery.</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User experience</w:t>
            </w:r>
          </w:p>
        </w:tc>
        <w:tc>
          <w:tcPr>
            <w:tcW w:type="dxa" w:w="6869"/>
            <w:vAlign w:val="center"/>
            <w:shd w:fill="FFFFFF"/>
            <w:tcMar>
              <w:top w:w="75" w:type="dxa"/>
              <w:bottom w:w="75" w:type="dxa"/>
              <w:left w:w="75" w:type="dxa"/>
              <w:right w:w="75" w:type="dxa"/>
            </w:tcMar>
          </w:tcPr>
          <w:p>
            <w:pPr>
              <w:spacing w:after="40" w:line="245" w:lineRule="auto"/>
            </w:pPr>
            <w:r>
              <w:rPr>
                <w:b w:val="0"/>
                <w:sz w:val="20"/>
              </w:rPr>
              <w:t>Dark theme, role dashboards, tables, charts, graph views and accessibility.</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Scale</w:t>
            </w:r>
          </w:p>
        </w:tc>
        <w:tc>
          <w:tcPr>
            <w:tcW w:type="dxa" w:w="6869"/>
            <w:vAlign w:val="center"/>
            <w:shd w:fill="F5F6F8"/>
            <w:tcMar>
              <w:top w:w="75" w:type="dxa"/>
              <w:bottom w:w="75" w:type="dxa"/>
              <w:left w:w="75" w:type="dxa"/>
              <w:right w:w="75" w:type="dxa"/>
            </w:tcMar>
          </w:tcPr>
          <w:p>
            <w:pPr>
              <w:spacing w:after="40" w:line="245" w:lineRule="auto"/>
            </w:pPr>
            <w:r>
              <w:rPr>
                <w:b w:val="0"/>
                <w:sz w:val="20"/>
              </w:rPr>
              <w:t>Background computation, caching, pooling, horizontal workers and measured response times.</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Security</w:t>
            </w:r>
          </w:p>
        </w:tc>
        <w:tc>
          <w:tcPr>
            <w:tcW w:type="dxa" w:w="6869"/>
            <w:vAlign w:val="center"/>
            <w:shd w:fill="FFFFFF"/>
            <w:tcMar>
              <w:top w:w="75" w:type="dxa"/>
              <w:bottom w:w="75" w:type="dxa"/>
              <w:left w:w="75" w:type="dxa"/>
              <w:right w:w="75" w:type="dxa"/>
            </w:tcMar>
          </w:tcPr>
          <w:p>
            <w:pPr>
              <w:spacing w:after="40" w:line="245" w:lineRule="auto"/>
            </w:pPr>
            <w:r>
              <w:rPr>
                <w:b w:val="0"/>
                <w:sz w:val="20"/>
              </w:rPr>
              <w:t>Least privilege, audit, secret separation, hardened containers and deployment safeguards.</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Evaluation</w:t>
            </w:r>
          </w:p>
        </w:tc>
        <w:tc>
          <w:tcPr>
            <w:tcW w:type="dxa" w:w="6869"/>
            <w:vAlign w:val="center"/>
            <w:shd w:fill="F5F6F8"/>
            <w:tcMar>
              <w:top w:w="75" w:type="dxa"/>
              <w:bottom w:w="75" w:type="dxa"/>
              <w:left w:w="75" w:type="dxa"/>
              <w:right w:w="75" w:type="dxa"/>
            </w:tcMar>
          </w:tcPr>
          <w:p>
            <w:pPr>
              <w:spacing w:after="40" w:line="245" w:lineRule="auto"/>
            </w:pPr>
            <w:r>
              <w:rPr>
                <w:b w:val="0"/>
                <w:sz w:val="20"/>
              </w:rPr>
              <w:t>Baselines, ranking and classification metrics, workload reduction and reproducible evidence.</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Operations</w:t>
            </w:r>
          </w:p>
        </w:tc>
        <w:tc>
          <w:tcPr>
            <w:tcW w:type="dxa" w:w="6869"/>
            <w:vAlign w:val="center"/>
            <w:shd w:fill="FFFFFF"/>
            <w:tcMar>
              <w:top w:w="75" w:type="dxa"/>
              <w:bottom w:w="75" w:type="dxa"/>
              <w:left w:w="75" w:type="dxa"/>
              <w:right w:w="75" w:type="dxa"/>
            </w:tcMar>
          </w:tcPr>
          <w:p>
            <w:pPr>
              <w:spacing w:after="40" w:line="245" w:lineRule="auto"/>
            </w:pPr>
            <w:r>
              <w:rPr>
                <w:b w:val="0"/>
                <w:sz w:val="20"/>
              </w:rPr>
              <w:t>Compose, migrations, CI configuration, monitoring, structured logs and runbooks.</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Documentation</w:t>
            </w:r>
          </w:p>
        </w:tc>
        <w:tc>
          <w:tcPr>
            <w:tcW w:type="dxa" w:w="6869"/>
            <w:vAlign w:val="center"/>
            <w:shd w:fill="F5F6F8"/>
            <w:tcMar>
              <w:top w:w="75" w:type="dxa"/>
              <w:bottom w:w="75" w:type="dxa"/>
              <w:left w:w="75" w:type="dxa"/>
              <w:right w:w="75" w:type="dxa"/>
            </w:tcMar>
          </w:tcPr>
          <w:p>
            <w:pPr>
              <w:spacing w:after="40" w:line="245" w:lineRule="auto"/>
            </w:pPr>
            <w:r>
              <w:rPr>
                <w:b w:val="0"/>
                <w:sz w:val="20"/>
              </w:rPr>
              <w:t>Architecture, methodology, APIs, role manuals, threat model and operational guidance.</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Defensive boundary</w:t>
            </w:r>
          </w:p>
        </w:tc>
        <w:tc>
          <w:tcPr>
            <w:tcW w:type="dxa" w:w="6869"/>
            <w:vAlign w:val="center"/>
            <w:shd w:fill="FFFFFF"/>
            <w:tcMar>
              <w:top w:w="75" w:type="dxa"/>
              <w:bottom w:w="75" w:type="dxa"/>
              <w:left w:w="75" w:type="dxa"/>
              <w:right w:w="75" w:type="dxa"/>
            </w:tcMar>
          </w:tcPr>
          <w:p>
            <w:pPr>
              <w:spacing w:after="40" w:line="245" w:lineRule="auto"/>
            </w:pPr>
            <w:r>
              <w:rPr>
                <w:b w:val="0"/>
                <w:sz w:val="20"/>
              </w:rPr>
              <w:t>No exploit generation, unauthorized scanning or attack simulation.</w:t>
            </w:r>
          </w:p>
        </w:tc>
      </w:tr>
    </w:tbl>
    <w:p>
      <w:pPr>
        <w:spacing w:after="0"/>
      </w:pPr>
    </w:p>
    <w:p>
      <w:r>
        <w:t>The original request for a production-ready experience is an acceptance goal. It is not a description of the current maturity level or a compliance certification.</w:t>
      </w:r>
    </w:p>
    <w:p>
      <w:r>
        <w:br w:type="page"/>
      </w:r>
    </w:p>
    <w:p>
      <w:pPr>
        <w:pStyle w:val="Heading1"/>
      </w:pPr>
      <w:r>
        <w:t>3 How the Approach Changed</w:t>
      </w:r>
    </w:p>
    <w:p>
      <w:pPr>
        <w:pStyle w:val="Heading2"/>
      </w:pPr>
      <w:r>
        <w:t>From demonstration to real data</w:t>
      </w:r>
    </w:p>
    <w:p>
      <w:r>
        <w:t>An earlier implementation contained synthetic demonstration records, generated model artifacts and fixture-based checks. The later strict real-data-only instruction superseded that approach. The active system was rebuilt around genuine public sources and an empty organizational inventory rather than invented business assets.</w:t>
      </w:r>
    </w:p>
    <w:p>
      <w:r>
        <w:t>Selected legacy material was preserved in archive/legacy-synthetic-2026-09-13.zip. The old dvirs Compose project was stopped with its volumes preserved. The active project became dvirs-real. The earlier 26-test synthetic-fixture suite was archived and is not counted as evidence for the new platform. Inactive legacy governance migrations and models remain for historical compatibility; their presence does not mean the removed demonstration behavior is active.</w:t>
      </w:r>
    </w:p>
    <w:p>
      <w:pPr>
        <w:pStyle w:val="Heading2"/>
      </w:pPr>
      <w:r>
        <w:t>From a dashboard to evidence and administration</w:t>
      </w:r>
    </w:p>
    <w:p>
      <w:r>
        <w:t>The implementation then expanded to administrator service checks, account registration, account details, passkey enrollment support and a local credit ledger. Dark+ styling was applied to existing pages. Live HTTP and protocol checks were performed, while actual browser rendering and biometric hardware ceremonies remained unavailable.</w:t>
      </w:r>
    </w:p>
    <w:p>
      <w:pPr>
        <w:pStyle w:val="Heading2"/>
      </w:pPr>
      <w:r>
        <w:t>From broad dataset requests to task-specific evidence</w:t>
      </w:r>
    </w:p>
    <w:p>
      <w:r>
        <w:t>The user supplied increasingly broad vulnerability, code, malware, network and asset datasets. The project introduced a catalog with explicit ingestion and training status. This separated registered sources from downloaded artifacts, provenance-verified records and actual training data. Bounded official imports improved CVE and CPE evidence. Large research datasets were not silently substituted for exploitation labels.</w:t>
      </w:r>
    </w:p>
    <w:p>
      <w:pPr>
        <w:pStyle w:val="Heading2"/>
      </w:pPr>
      <w:r>
        <w:t>From prioritization to ACID</w:t>
      </w:r>
    </w:p>
    <w:p>
      <w:r>
        <w:t>The later ACID specification changed the main deliverable from collecting and displaying intelligence to a closed-loop defense system. This required durable decisions, independent approval, execution boundaries and outcome evidence before enabling autonomy. The first ACID increment fixed per-message WebSocket authorization. The next deployed immutable remediation proposals and reviews. The latest code adds five deterministic agent stages on the durable event workflow.</w:t>
      </w:r>
    </w:p>
    <w:p>
      <w:pPr>
        <w:pStyle w:val="Heading2"/>
      </w:pPr>
      <w:r>
        <w:t>Latest implementation order</w:t>
      </w:r>
    </w:p>
    <w:p>
      <w:r>
        <w:t>On 15 September 2026, the user requested this formal report before further development, then asked that all AI agents be built first and the frontend removed so it can be rebuilt from scratch later. This changes delivery order; it does not remove authentication, governance or future UI requirements. No frontend files are deleted as part of this report.</w:t>
      </w:r>
    </w:p>
    <w:p>
      <w:r>
        <w:br w:type="page"/>
      </w:r>
    </w:p>
    <w:p>
      <w:pPr>
        <w:pStyle w:val="Heading1"/>
      </w:pPr>
      <w:r>
        <w:t>4 Architecture Before and After ACID</w:t>
      </w:r>
    </w:p>
    <w:p>
      <w:r>
        <w:t>The conventional architecture ends primarily at a ranked queue and human-readable explanation. ACID adds decision records, governed actions and verified outcomes. Existing ingestion, feature, API and storage services provide the foundation for that extension.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30"/>
        <w:gridCol w:w="3830"/>
      </w:tblGrid>
      <w:tr>
        <w:trPr>
          <w:cantSplit/>
          <w:tblHeader/>
        </w:trPr>
        <w:tc>
          <w:tcPr>
            <w:tcW w:type="dxa" w:w="2088"/>
            <w:vAlign w:val="center"/>
            <w:shd w:fill="E5EAF0"/>
            <w:tcMar>
              <w:top w:w="75" w:type="dxa"/>
              <w:bottom w:w="75" w:type="dxa"/>
              <w:left w:w="75" w:type="dxa"/>
              <w:right w:w="75" w:type="dxa"/>
            </w:tcMar>
          </w:tcPr>
          <w:p>
            <w:pPr>
              <w:spacing w:after="40" w:line="245" w:lineRule="auto"/>
            </w:pPr>
            <w:r>
              <w:rPr>
                <w:b/>
                <w:sz w:val="20"/>
              </w:rPr>
              <w:t>Dimension</w:t>
            </w:r>
          </w:p>
        </w:tc>
        <w:tc>
          <w:tcPr>
            <w:tcW w:type="dxa" w:w="3830"/>
            <w:vAlign w:val="center"/>
            <w:shd w:fill="E5EAF0"/>
            <w:tcMar>
              <w:top w:w="75" w:type="dxa"/>
              <w:bottom w:w="75" w:type="dxa"/>
              <w:left w:w="75" w:type="dxa"/>
              <w:right w:w="75" w:type="dxa"/>
            </w:tcMar>
          </w:tcPr>
          <w:p>
            <w:pPr>
              <w:spacing w:after="40" w:line="245" w:lineRule="auto"/>
            </w:pPr>
            <w:r>
              <w:rPr>
                <w:b/>
                <w:sz w:val="20"/>
              </w:rPr>
              <w:t>Conventional D-VIRS</w:t>
            </w:r>
          </w:p>
        </w:tc>
        <w:tc>
          <w:tcPr>
            <w:tcW w:type="dxa" w:w="3830"/>
            <w:vAlign w:val="center"/>
            <w:shd w:fill="E5EAF0"/>
            <w:tcMar>
              <w:top w:w="75" w:type="dxa"/>
              <w:bottom w:w="75" w:type="dxa"/>
              <w:left w:w="75" w:type="dxa"/>
              <w:right w:w="75" w:type="dxa"/>
            </w:tcMar>
          </w:tcPr>
          <w:p>
            <w:pPr>
              <w:spacing w:after="40" w:line="245" w:lineRule="auto"/>
            </w:pPr>
            <w:r>
              <w:rPr>
                <w:b/>
                <w:sz w:val="20"/>
              </w:rPr>
              <w:t>ACID target</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Main output</w:t>
            </w:r>
          </w:p>
        </w:tc>
        <w:tc>
          <w:tcPr>
            <w:tcW w:type="dxa" w:w="3830"/>
            <w:vAlign w:val="center"/>
            <w:shd w:fill="FFFFFF"/>
            <w:tcMar>
              <w:top w:w="75" w:type="dxa"/>
              <w:bottom w:w="75" w:type="dxa"/>
              <w:left w:w="75" w:type="dxa"/>
              <w:right w:w="75" w:type="dxa"/>
            </w:tcMar>
          </w:tcPr>
          <w:p>
            <w:pPr>
              <w:spacing w:after="40" w:line="245" w:lineRule="auto"/>
            </w:pPr>
            <w:r>
              <w:rPr>
                <w:b w:val="0"/>
                <w:sz w:val="20"/>
              </w:rPr>
              <w:t>Risk score and remediation queue</w:t>
            </w:r>
          </w:p>
        </w:tc>
        <w:tc>
          <w:tcPr>
            <w:tcW w:type="dxa" w:w="3830"/>
            <w:vAlign w:val="center"/>
            <w:shd w:fill="FFFFFF"/>
            <w:tcMar>
              <w:top w:w="75" w:type="dxa"/>
              <w:bottom w:w="75" w:type="dxa"/>
              <w:left w:w="75" w:type="dxa"/>
              <w:right w:w="75" w:type="dxa"/>
            </w:tcMar>
          </w:tcPr>
          <w:p>
            <w:pPr>
              <w:spacing w:after="40" w:line="245" w:lineRule="auto"/>
            </w:pPr>
            <w:r>
              <w:rPr>
                <w:b w:val="0"/>
                <w:sz w:val="20"/>
              </w:rPr>
              <w:t>Verified defensive outcome with a complete decision trail</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Decision mechanism</w:t>
            </w:r>
          </w:p>
        </w:tc>
        <w:tc>
          <w:tcPr>
            <w:tcW w:type="dxa" w:w="3830"/>
            <w:vAlign w:val="center"/>
            <w:shd w:fill="F5F6F8"/>
            <w:tcMar>
              <w:top w:w="75" w:type="dxa"/>
              <w:bottom w:w="75" w:type="dxa"/>
              <w:left w:w="75" w:type="dxa"/>
              <w:right w:w="75" w:type="dxa"/>
            </w:tcMar>
          </w:tcPr>
          <w:p>
            <w:pPr>
              <w:spacing w:after="40" w:line="245" w:lineRule="auto"/>
            </w:pPr>
            <w:r>
              <w:rPr>
                <w:b w:val="0"/>
                <w:sz w:val="20"/>
              </w:rPr>
              <w:t>Rules and intended ML ensemble</w:t>
            </w:r>
          </w:p>
        </w:tc>
        <w:tc>
          <w:tcPr>
            <w:tcW w:type="dxa" w:w="3830"/>
            <w:vAlign w:val="center"/>
            <w:shd w:fill="F5F6F8"/>
            <w:tcMar>
              <w:top w:w="75" w:type="dxa"/>
              <w:bottom w:w="75" w:type="dxa"/>
              <w:left w:w="75" w:type="dxa"/>
              <w:right w:w="75" w:type="dxa"/>
            </w:tcMar>
          </w:tcPr>
          <w:p>
            <w:pPr>
              <w:spacing w:after="40" w:line="245" w:lineRule="auto"/>
            </w:pPr>
            <w:r>
              <w:rPr>
                <w:b w:val="0"/>
                <w:sz w:val="20"/>
              </w:rPr>
              <w:t>Evidence-based agents plus validated predictive and causal reasoning</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Human work</w:t>
            </w:r>
          </w:p>
        </w:tc>
        <w:tc>
          <w:tcPr>
            <w:tcW w:type="dxa" w:w="3830"/>
            <w:vAlign w:val="center"/>
            <w:shd w:fill="FFFFFF"/>
            <w:tcMar>
              <w:top w:w="75" w:type="dxa"/>
              <w:bottom w:w="75" w:type="dxa"/>
              <w:left w:w="75" w:type="dxa"/>
              <w:right w:w="75" w:type="dxa"/>
            </w:tcMar>
          </w:tcPr>
          <w:p>
            <w:pPr>
              <w:spacing w:after="40" w:line="245" w:lineRule="auto"/>
            </w:pPr>
            <w:r>
              <w:rPr>
                <w:b w:val="0"/>
                <w:sz w:val="20"/>
              </w:rPr>
              <w:t>Interpret, assign and track remediation</w:t>
            </w:r>
          </w:p>
        </w:tc>
        <w:tc>
          <w:tcPr>
            <w:tcW w:type="dxa" w:w="3830"/>
            <w:vAlign w:val="center"/>
            <w:shd w:fill="FFFFFF"/>
            <w:tcMar>
              <w:top w:w="75" w:type="dxa"/>
              <w:bottom w:w="75" w:type="dxa"/>
              <w:left w:w="75" w:type="dxa"/>
              <w:right w:w="75" w:type="dxa"/>
            </w:tcMar>
          </w:tcPr>
          <w:p>
            <w:pPr>
              <w:spacing w:after="40" w:line="245" w:lineRule="auto"/>
            </w:pPr>
            <w:r>
              <w:rPr>
                <w:b w:val="0"/>
                <w:sz w:val="20"/>
              </w:rPr>
              <w:t>Review exceptions and authorize governed actions</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Graph use</w:t>
            </w:r>
          </w:p>
        </w:tc>
        <w:tc>
          <w:tcPr>
            <w:tcW w:type="dxa" w:w="3830"/>
            <w:vAlign w:val="center"/>
            <w:shd w:fill="F5F6F8"/>
            <w:tcMar>
              <w:top w:w="75" w:type="dxa"/>
              <w:bottom w:w="75" w:type="dxa"/>
              <w:left w:w="75" w:type="dxa"/>
              <w:right w:w="75" w:type="dxa"/>
            </w:tcMar>
          </w:tcPr>
          <w:p>
            <w:pPr>
              <w:spacing w:after="40" w:line="245" w:lineRule="auto"/>
            </w:pPr>
            <w:r>
              <w:rPr>
                <w:b w:val="0"/>
                <w:sz w:val="20"/>
              </w:rPr>
              <w:t>Affected assets and dependency reachability</w:t>
            </w:r>
          </w:p>
        </w:tc>
        <w:tc>
          <w:tcPr>
            <w:tcW w:type="dxa" w:w="3830"/>
            <w:vAlign w:val="center"/>
            <w:shd w:fill="F5F6F8"/>
            <w:tcMar>
              <w:top w:w="75" w:type="dxa"/>
              <w:bottom w:w="75" w:type="dxa"/>
              <w:left w:w="75" w:type="dxa"/>
              <w:right w:w="75" w:type="dxa"/>
            </w:tcMar>
          </w:tcPr>
          <w:p>
            <w:pPr>
              <w:spacing w:after="40" w:line="245" w:lineRule="auto"/>
            </w:pPr>
            <w:r>
              <w:rPr>
                <w:b w:val="0"/>
                <w:sz w:val="20"/>
              </w:rPr>
              <w:t>Typed asset and code relationships with tested causal assumptions</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Feedback</w:t>
            </w:r>
          </w:p>
        </w:tc>
        <w:tc>
          <w:tcPr>
            <w:tcW w:type="dxa" w:w="3830"/>
            <w:vAlign w:val="center"/>
            <w:shd w:fill="FFFFFF"/>
            <w:tcMar>
              <w:top w:w="75" w:type="dxa"/>
              <w:bottom w:w="75" w:type="dxa"/>
              <w:left w:w="75" w:type="dxa"/>
              <w:right w:w="75" w:type="dxa"/>
            </w:tcMar>
          </w:tcPr>
          <w:p>
            <w:pPr>
              <w:spacing w:after="40" w:line="245" w:lineRule="auto"/>
            </w:pPr>
            <w:r>
              <w:rPr>
                <w:b w:val="0"/>
                <w:sz w:val="20"/>
              </w:rPr>
              <w:t>Score refresh and model drift</w:t>
            </w:r>
          </w:p>
        </w:tc>
        <w:tc>
          <w:tcPr>
            <w:tcW w:type="dxa" w:w="3830"/>
            <w:vAlign w:val="center"/>
            <w:shd w:fill="FFFFFF"/>
            <w:tcMar>
              <w:top w:w="75" w:type="dxa"/>
              <w:bottom w:w="75" w:type="dxa"/>
              <w:left w:w="75" w:type="dxa"/>
              <w:right w:w="75" w:type="dxa"/>
            </w:tcMar>
          </w:tcPr>
          <w:p>
            <w:pPr>
              <w:spacing w:after="40" w:line="245" w:lineRule="auto"/>
            </w:pPr>
            <w:r>
              <w:rPr>
                <w:b w:val="0"/>
                <w:sz w:val="20"/>
              </w:rPr>
              <w:t>Actual action outcomes, rollback evidence and controlled learning</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Action boundary</w:t>
            </w:r>
          </w:p>
        </w:tc>
        <w:tc>
          <w:tcPr>
            <w:tcW w:type="dxa" w:w="3830"/>
            <w:vAlign w:val="center"/>
            <w:shd w:fill="F5F6F8"/>
            <w:tcMar>
              <w:top w:w="75" w:type="dxa"/>
              <w:bottom w:w="75" w:type="dxa"/>
              <w:left w:w="75" w:type="dxa"/>
              <w:right w:w="75" w:type="dxa"/>
            </w:tcMar>
          </w:tcPr>
          <w:p>
            <w:pPr>
              <w:spacing w:after="40" w:line="245" w:lineRule="auto"/>
            </w:pPr>
            <w:r>
              <w:rPr>
                <w:b w:val="0"/>
                <w:sz w:val="20"/>
              </w:rPr>
              <w:t>Operator workflow</w:t>
            </w:r>
          </w:p>
        </w:tc>
        <w:tc>
          <w:tcPr>
            <w:tcW w:type="dxa" w:w="3830"/>
            <w:vAlign w:val="center"/>
            <w:shd w:fill="F5F6F8"/>
            <w:tcMar>
              <w:top w:w="75" w:type="dxa"/>
              <w:bottom w:w="75" w:type="dxa"/>
              <w:left w:w="75" w:type="dxa"/>
              <w:right w:w="75" w:type="dxa"/>
            </w:tcMar>
          </w:tcPr>
          <w:p>
            <w:pPr>
              <w:spacing w:after="40" w:line="245" w:lineRule="auto"/>
            </w:pPr>
            <w:r>
              <w:rPr>
                <w:b w:val="0"/>
                <w:sz w:val="20"/>
              </w:rPr>
              <w:t>Scoped connectors, execution-time authorization and verification</w:t>
            </w:r>
          </w:p>
        </w:tc>
      </w:tr>
    </w:tbl>
    <w:p>
      <w:pPr>
        <w:spacing w:after="0"/>
      </w:pPr>
    </w:p>
    <w:p>
      <w:pPr>
        <w:pStyle w:val="Heading2"/>
      </w:pPr>
      <w:r>
        <w:t>Five architectural layers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30"/>
        <w:gridCol w:w="3830"/>
      </w:tblGrid>
      <w:tr>
        <w:trPr>
          <w:cantSplit/>
          <w:tblHeader/>
        </w:trPr>
        <w:tc>
          <w:tcPr>
            <w:tcW w:type="dxa" w:w="2088"/>
            <w:vAlign w:val="center"/>
            <w:shd w:fill="E5EAF0"/>
            <w:tcMar>
              <w:top w:w="75" w:type="dxa"/>
              <w:bottom w:w="75" w:type="dxa"/>
              <w:left w:w="75" w:type="dxa"/>
              <w:right w:w="75" w:type="dxa"/>
            </w:tcMar>
          </w:tcPr>
          <w:p>
            <w:pPr>
              <w:spacing w:after="40" w:line="245" w:lineRule="auto"/>
            </w:pPr>
            <w:r>
              <w:rPr>
                <w:b/>
                <w:sz w:val="20"/>
              </w:rPr>
              <w:t>Layer</w:t>
            </w:r>
          </w:p>
        </w:tc>
        <w:tc>
          <w:tcPr>
            <w:tcW w:type="dxa" w:w="3830"/>
            <w:vAlign w:val="center"/>
            <w:shd w:fill="E5EAF0"/>
            <w:tcMar>
              <w:top w:w="75" w:type="dxa"/>
              <w:bottom w:w="75" w:type="dxa"/>
              <w:left w:w="75" w:type="dxa"/>
              <w:right w:w="75" w:type="dxa"/>
            </w:tcMar>
          </w:tcPr>
          <w:p>
            <w:pPr>
              <w:spacing w:after="40" w:line="245" w:lineRule="auto"/>
            </w:pPr>
            <w:r>
              <w:rPr>
                <w:b/>
                <w:sz w:val="20"/>
              </w:rPr>
              <w:t>Responsibility</w:t>
            </w:r>
          </w:p>
        </w:tc>
        <w:tc>
          <w:tcPr>
            <w:tcW w:type="dxa" w:w="3830"/>
            <w:vAlign w:val="center"/>
            <w:shd w:fill="E5EAF0"/>
            <w:tcMar>
              <w:top w:w="75" w:type="dxa"/>
              <w:bottom w:w="75" w:type="dxa"/>
              <w:left w:w="75" w:type="dxa"/>
              <w:right w:w="75" w:type="dxa"/>
            </w:tcMar>
          </w:tcPr>
          <w:p>
            <w:pPr>
              <w:spacing w:after="40" w:line="245" w:lineRule="auto"/>
            </w:pPr>
            <w:r>
              <w:rPr>
                <w:b/>
                <w:sz w:val="20"/>
              </w:rPr>
              <w:t>Current position</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Presentation</w:t>
            </w:r>
          </w:p>
        </w:tc>
        <w:tc>
          <w:tcPr>
            <w:tcW w:type="dxa" w:w="3830"/>
            <w:vAlign w:val="center"/>
            <w:shd w:fill="FFFFFF"/>
            <w:tcMar>
              <w:top w:w="75" w:type="dxa"/>
              <w:bottom w:w="75" w:type="dxa"/>
              <w:left w:w="75" w:type="dxa"/>
              <w:right w:w="75" w:type="dxa"/>
            </w:tcMar>
          </w:tcPr>
          <w:p>
            <w:pPr>
              <w:spacing w:after="40" w:line="245" w:lineRule="auto"/>
            </w:pPr>
            <w:r>
              <w:rPr>
                <w:b w:val="0"/>
                <w:sz w:val="20"/>
              </w:rPr>
              <w:t>Role interfaces, approvals, explanations and operations views</w:t>
            </w:r>
          </w:p>
        </w:tc>
        <w:tc>
          <w:tcPr>
            <w:tcW w:type="dxa" w:w="3830"/>
            <w:vAlign w:val="center"/>
            <w:shd w:fill="FFFFFF"/>
            <w:tcMar>
              <w:top w:w="75" w:type="dxa"/>
              <w:bottom w:w="75" w:type="dxa"/>
              <w:left w:w="75" w:type="dxa"/>
              <w:right w:w="75" w:type="dxa"/>
            </w:tcMar>
          </w:tcPr>
          <w:p>
            <w:pPr>
              <w:spacing w:after="40" w:line="245" w:lineRule="auto"/>
            </w:pPr>
            <w:r>
              <w:rPr>
                <w:b w:val="0"/>
                <w:sz w:val="20"/>
              </w:rPr>
              <w:t>Existing Next.js UI; scheduled for later removal and rebuild.</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API and edge</w:t>
            </w:r>
          </w:p>
        </w:tc>
        <w:tc>
          <w:tcPr>
            <w:tcW w:type="dxa" w:w="3830"/>
            <w:vAlign w:val="center"/>
            <w:shd w:fill="F5F6F8"/>
            <w:tcMar>
              <w:top w:w="75" w:type="dxa"/>
              <w:bottom w:w="75" w:type="dxa"/>
              <w:left w:w="75" w:type="dxa"/>
              <w:right w:w="75" w:type="dxa"/>
            </w:tcMar>
          </w:tcPr>
          <w:p>
            <w:pPr>
              <w:spacing w:after="40" w:line="245" w:lineRule="auto"/>
            </w:pPr>
            <w:r>
              <w:rPr>
                <w:b w:val="0"/>
                <w:sz w:val="20"/>
              </w:rPr>
              <w:t>Authentication, RBAC, validation, read APIs and streaming</w:t>
            </w:r>
          </w:p>
        </w:tc>
        <w:tc>
          <w:tcPr>
            <w:tcW w:type="dxa" w:w="3830"/>
            <w:vAlign w:val="center"/>
            <w:shd w:fill="F5F6F8"/>
            <w:tcMar>
              <w:top w:w="75" w:type="dxa"/>
              <w:bottom w:w="75" w:type="dxa"/>
              <w:left w:w="75" w:type="dxa"/>
              <w:right w:w="75" w:type="dxa"/>
            </w:tcMar>
          </w:tcPr>
          <w:p>
            <w:pPr>
              <w:spacing w:after="40" w:line="245" w:lineRule="auto"/>
            </w:pPr>
            <w:r>
              <w:rPr>
                <w:b w:val="0"/>
                <w:sz w:val="20"/>
              </w:rPr>
              <w:t>FastAPI and gateway deployed; full new role/API contract still requires migration.</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Events and orchestration</w:t>
            </w:r>
          </w:p>
        </w:tc>
        <w:tc>
          <w:tcPr>
            <w:tcW w:type="dxa" w:w="3830"/>
            <w:vAlign w:val="center"/>
            <w:shd w:fill="FFFFFF"/>
            <w:tcMar>
              <w:top w:w="75" w:type="dxa"/>
              <w:bottom w:w="75" w:type="dxa"/>
              <w:left w:w="75" w:type="dxa"/>
              <w:right w:w="75" w:type="dxa"/>
            </w:tcMar>
          </w:tcPr>
          <w:p>
            <w:pPr>
              <w:spacing w:after="40" w:line="245" w:lineRule="auto"/>
            </w:pPr>
            <w:r>
              <w:rPr>
                <w:b w:val="0"/>
                <w:sz w:val="20"/>
              </w:rPr>
              <w:t>Durable outbox, dispatch, retries and agent coordination</w:t>
            </w:r>
          </w:p>
        </w:tc>
        <w:tc>
          <w:tcPr>
            <w:tcW w:type="dxa" w:w="3830"/>
            <w:vAlign w:val="center"/>
            <w:shd w:fill="FFFFFF"/>
            <w:tcMar>
              <w:top w:w="75" w:type="dxa"/>
              <w:bottom w:w="75" w:type="dxa"/>
              <w:left w:w="75" w:type="dxa"/>
              <w:right w:w="75" w:type="dxa"/>
            </w:tcMar>
          </w:tcPr>
          <w:p>
            <w:pPr>
              <w:spacing w:after="40" w:line="245" w:lineRule="auto"/>
            </w:pPr>
            <w:r>
              <w:rPr>
                <w:b w:val="0"/>
                <w:sz w:val="20"/>
              </w:rPr>
              <w:t>Worker foundation deployed; latest coordinator built but not deployed.</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Intelligence and agents</w:t>
            </w:r>
          </w:p>
        </w:tc>
        <w:tc>
          <w:tcPr>
            <w:tcW w:type="dxa" w:w="3830"/>
            <w:vAlign w:val="center"/>
            <w:shd w:fill="F5F6F8"/>
            <w:tcMar>
              <w:top w:w="75" w:type="dxa"/>
              <w:bottom w:w="75" w:type="dxa"/>
              <w:left w:w="75" w:type="dxa"/>
              <w:right w:w="75" w:type="dxa"/>
            </w:tcMar>
          </w:tcPr>
          <w:p>
            <w:pPr>
              <w:spacing w:after="40" w:line="245" w:lineRule="auto"/>
            </w:pPr>
            <w:r>
              <w:rPr>
                <w:b w:val="0"/>
                <w:sz w:val="20"/>
              </w:rPr>
              <w:t>Triage, planning, governance, verification, graph and model reasoning</w:t>
            </w:r>
          </w:p>
        </w:tc>
        <w:tc>
          <w:tcPr>
            <w:tcW w:type="dxa" w:w="3830"/>
            <w:vAlign w:val="center"/>
            <w:shd w:fill="F5F6F8"/>
            <w:tcMar>
              <w:top w:w="75" w:type="dxa"/>
              <w:bottom w:w="75" w:type="dxa"/>
              <w:left w:w="75" w:type="dxa"/>
              <w:right w:w="75" w:type="dxa"/>
            </w:tcMar>
          </w:tcPr>
          <w:p>
            <w:pPr>
              <w:spacing w:after="40" w:line="245" w:lineRule="auto"/>
            </w:pPr>
            <w:r>
              <w:rPr>
                <w:b w:val="0"/>
                <w:sz w:val="20"/>
              </w:rPr>
              <w:t>Deterministic score/proposal logic exists; advanced models and causal inference pending.</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Data and learning</w:t>
            </w:r>
          </w:p>
        </w:tc>
        <w:tc>
          <w:tcPr>
            <w:tcW w:type="dxa" w:w="3830"/>
            <w:vAlign w:val="center"/>
            <w:shd w:fill="FFFFFF"/>
            <w:tcMar>
              <w:top w:w="75" w:type="dxa"/>
              <w:bottom w:w="75" w:type="dxa"/>
              <w:left w:w="75" w:type="dxa"/>
              <w:right w:w="75" w:type="dxa"/>
            </w:tcMar>
          </w:tcPr>
          <w:p>
            <w:pPr>
              <w:spacing w:after="40" w:line="245" w:lineRule="auto"/>
            </w:pPr>
            <w:r>
              <w:rPr>
                <w:b w:val="0"/>
                <w:sz w:val="20"/>
              </w:rPr>
              <w:t>Provenance, inventory, features, artifacts, outcomes and retraining</w:t>
            </w:r>
          </w:p>
        </w:tc>
        <w:tc>
          <w:tcPr>
            <w:tcW w:type="dxa" w:w="3830"/>
            <w:vAlign w:val="center"/>
            <w:shd w:fill="FFFFFF"/>
            <w:tcMar>
              <w:top w:w="75" w:type="dxa"/>
              <w:bottom w:w="75" w:type="dxa"/>
              <w:left w:w="75" w:type="dxa"/>
              <w:right w:w="75" w:type="dxa"/>
            </w:tcMar>
          </w:tcPr>
          <w:p>
            <w:pPr>
              <w:spacing w:after="40" w:line="245" w:lineRule="auto"/>
            </w:pPr>
            <w:r>
              <w:rPr>
                <w:b w:val="0"/>
                <w:sz w:val="20"/>
              </w:rPr>
              <w:t>PostgreSQL/Redis foundation; historical learning and outcome loop incomplete.</w:t>
            </w:r>
          </w:p>
        </w:tc>
      </w:tr>
    </w:tbl>
    <w:p>
      <w:pPr>
        <w:spacing w:after="0"/>
      </w:pPr>
    </w:p>
    <w:p>
      <w:r>
        <w:t>The intended flow is public intelligence → validated evidence → real asset relationships → versioned features → scoring → Supervisor and specialist stages → reviewable proposal → authorized connector → independent verification → outcome history → evaluated learning.</w:t>
      </w:r>
    </w:p>
    <w:p>
      <w:r>
        <w:t>A graph path describes a relationship or possible dependency. It does not prove a causal effect. Similarly, a GNN or SHAP explanation does not establish that a remediation will cause a particular business outcome. The causal part of ACID needs an explicit model, assumptions and outcome-based validation.</w:t>
      </w:r>
    </w:p>
    <w:p>
      <w:r>
        <w:br w:type="page"/>
      </w:r>
    </w:p>
    <w:p>
      <w:pPr>
        <w:pStyle w:val="Heading1"/>
      </w:pPr>
      <w:r>
        <w:t>5 Real Intelligence and Asset Integration</w:t>
      </w:r>
    </w:p>
    <w:p>
      <w:r>
        <w:t>The ingestion foundation stores source evidence and checksums, tracks feed runs and normalizes incoming records. NVD uses incremental API windows with bounded requests, rate controls and retry/backoff behavior. EPSS updates preserve score dates, KEV changes are detected, and CWE provides weakness classification. Exploit-DB and Metasploit integration consumes availability metadata; it does not execute exploits.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30"/>
        <w:gridCol w:w="3830"/>
      </w:tblGrid>
      <w:tr>
        <w:trPr>
          <w:cantSplit/>
          <w:tblHeader/>
        </w:trPr>
        <w:tc>
          <w:tcPr>
            <w:tcW w:type="dxa" w:w="2088"/>
            <w:vAlign w:val="center"/>
            <w:shd w:fill="E5EAF0"/>
            <w:tcMar>
              <w:top w:w="75" w:type="dxa"/>
              <w:bottom w:w="75" w:type="dxa"/>
              <w:left w:w="75" w:type="dxa"/>
              <w:right w:w="75" w:type="dxa"/>
            </w:tcMar>
          </w:tcPr>
          <w:p>
            <w:pPr>
              <w:spacing w:after="40" w:line="245" w:lineRule="auto"/>
            </w:pPr>
            <w:r>
              <w:rPr>
                <w:b/>
                <w:sz w:val="20"/>
              </w:rPr>
              <w:t>Evidence</w:t>
            </w:r>
          </w:p>
        </w:tc>
        <w:tc>
          <w:tcPr>
            <w:tcW w:type="dxa" w:w="3830"/>
            <w:vAlign w:val="center"/>
            <w:shd w:fill="E5EAF0"/>
            <w:tcMar>
              <w:top w:w="75" w:type="dxa"/>
              <w:bottom w:w="75" w:type="dxa"/>
              <w:left w:w="75" w:type="dxa"/>
              <w:right w:w="75" w:type="dxa"/>
            </w:tcMar>
          </w:tcPr>
          <w:p>
            <w:pPr>
              <w:spacing w:after="40" w:line="245" w:lineRule="auto"/>
            </w:pPr>
            <w:r>
              <w:rPr>
                <w:b/>
                <w:sz w:val="20"/>
              </w:rPr>
              <w:t>Recorded result</w:t>
            </w:r>
          </w:p>
        </w:tc>
        <w:tc>
          <w:tcPr>
            <w:tcW w:type="dxa" w:w="3830"/>
            <w:vAlign w:val="center"/>
            <w:shd w:fill="E5EAF0"/>
            <w:tcMar>
              <w:top w:w="75" w:type="dxa"/>
              <w:bottom w:w="75" w:type="dxa"/>
              <w:left w:w="75" w:type="dxa"/>
              <w:right w:w="75" w:type="dxa"/>
            </w:tcMar>
          </w:tcPr>
          <w:p>
            <w:pPr>
              <w:spacing w:after="40" w:line="245" w:lineRule="auto"/>
            </w:pPr>
            <w:r>
              <w:rPr>
                <w:b/>
                <w:sz w:val="20"/>
              </w:rPr>
              <w:t>Interpretation</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CVE catalog</w:t>
            </w:r>
          </w:p>
        </w:tc>
        <w:tc>
          <w:tcPr>
            <w:tcW w:type="dxa" w:w="3830"/>
            <w:vAlign w:val="center"/>
            <w:shd w:fill="FFFFFF"/>
            <w:tcMar>
              <w:top w:w="75" w:type="dxa"/>
              <w:bottom w:w="75" w:type="dxa"/>
              <w:left w:w="75" w:type="dxa"/>
              <w:right w:w="75" w:type="dxa"/>
            </w:tcMar>
          </w:tcPr>
          <w:p>
            <w:pPr>
              <w:spacing w:after="40" w:line="245" w:lineRule="auto"/>
            </w:pPr>
            <w:r>
              <w:rPr>
                <w:b w:val="0"/>
                <w:sz w:val="20"/>
              </w:rPr>
              <w:t>8,938 CVEs</w:t>
            </w:r>
          </w:p>
        </w:tc>
        <w:tc>
          <w:tcPr>
            <w:tcW w:type="dxa" w:w="3830"/>
            <w:vAlign w:val="center"/>
            <w:shd w:fill="FFFFFF"/>
            <w:tcMar>
              <w:top w:w="75" w:type="dxa"/>
              <w:bottom w:w="75" w:type="dxa"/>
              <w:left w:w="75" w:type="dxa"/>
              <w:right w:w="75" w:type="dxa"/>
            </w:tcMar>
          </w:tcPr>
          <w:p>
            <w:pPr>
              <w:spacing w:after="40" w:line="245" w:lineRule="auto"/>
            </w:pPr>
            <w:r>
              <w:rPr>
                <w:b w:val="0"/>
                <w:sz w:val="20"/>
              </w:rPr>
              <w:t>Stored benchmark snapshot, not all published CVEs.</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KEV</w:t>
            </w:r>
          </w:p>
        </w:tc>
        <w:tc>
          <w:tcPr>
            <w:tcW w:type="dxa" w:w="3830"/>
            <w:vAlign w:val="center"/>
            <w:shd w:fill="F5F6F8"/>
            <w:tcMar>
              <w:top w:w="75" w:type="dxa"/>
              <w:bottom w:w="75" w:type="dxa"/>
              <w:left w:w="75" w:type="dxa"/>
              <w:right w:w="75" w:type="dxa"/>
            </w:tcMar>
          </w:tcPr>
          <w:p>
            <w:pPr>
              <w:spacing w:after="40" w:line="245" w:lineRule="auto"/>
            </w:pPr>
            <w:r>
              <w:rPr>
                <w:b w:val="0"/>
                <w:sz w:val="20"/>
              </w:rPr>
              <w:t>1,709 entries</w:t>
            </w:r>
          </w:p>
        </w:tc>
        <w:tc>
          <w:tcPr>
            <w:tcW w:type="dxa" w:w="3830"/>
            <w:vAlign w:val="center"/>
            <w:shd w:fill="F5F6F8"/>
            <w:tcMar>
              <w:top w:w="75" w:type="dxa"/>
              <w:bottom w:w="75" w:type="dxa"/>
              <w:left w:w="75" w:type="dxa"/>
              <w:right w:w="75" w:type="dxa"/>
            </w:tcMar>
          </w:tcPr>
          <w:p>
            <w:pPr>
              <w:spacing w:after="40" w:line="245" w:lineRule="auto"/>
            </w:pPr>
            <w:r>
              <w:rPr>
                <w:b w:val="0"/>
                <w:sz w:val="20"/>
              </w:rPr>
              <w:t>All represented in the complete benchmark cohort after backfill.</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NVD KEV backfill</w:t>
            </w:r>
          </w:p>
        </w:tc>
        <w:tc>
          <w:tcPr>
            <w:tcW w:type="dxa" w:w="3830"/>
            <w:vAlign w:val="center"/>
            <w:shd w:fill="FFFFFF"/>
            <w:tcMar>
              <w:top w:w="75" w:type="dxa"/>
              <w:bottom w:w="75" w:type="dxa"/>
              <w:left w:w="75" w:type="dxa"/>
              <w:right w:w="75" w:type="dxa"/>
            </w:tcMar>
          </w:tcPr>
          <w:p>
            <w:pPr>
              <w:spacing w:after="40" w:line="245" w:lineRule="auto"/>
            </w:pPr>
            <w:r>
              <w:rPr>
                <w:b w:val="0"/>
                <w:sz w:val="20"/>
              </w:rPr>
              <w:t>1,709 retrieved; 1,696 changed</w:t>
            </w:r>
          </w:p>
        </w:tc>
        <w:tc>
          <w:tcPr>
            <w:tcW w:type="dxa" w:w="3830"/>
            <w:vAlign w:val="center"/>
            <w:shd w:fill="FFFFFF"/>
            <w:tcMar>
              <w:top w:w="75" w:type="dxa"/>
              <w:bottom w:w="75" w:type="dxa"/>
              <w:left w:w="75" w:type="dxa"/>
              <w:right w:w="75" w:type="dxa"/>
            </w:tcMar>
          </w:tcPr>
          <w:p>
            <w:pPr>
              <w:spacing w:after="40" w:line="245" w:lineRule="auto"/>
            </w:pPr>
            <w:r>
              <w:rPr>
                <w:b w:val="0"/>
                <w:sz w:val="20"/>
              </w:rPr>
              <w:t>Coverage improvement, not a model improvement.</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CWE</w:t>
            </w:r>
          </w:p>
        </w:tc>
        <w:tc>
          <w:tcPr>
            <w:tcW w:type="dxa" w:w="3830"/>
            <w:vAlign w:val="center"/>
            <w:shd w:fill="F5F6F8"/>
            <w:tcMar>
              <w:top w:w="75" w:type="dxa"/>
              <w:bottom w:w="75" w:type="dxa"/>
              <w:left w:w="75" w:type="dxa"/>
              <w:right w:w="75" w:type="dxa"/>
            </w:tcMar>
          </w:tcPr>
          <w:p>
            <w:pPr>
              <w:spacing w:after="40" w:line="245" w:lineRule="auto"/>
            </w:pPr>
            <w:r>
              <w:rPr>
                <w:b w:val="0"/>
                <w:sz w:val="20"/>
              </w:rPr>
              <w:t>969 records in ingestion evidence</w:t>
            </w:r>
          </w:p>
        </w:tc>
        <w:tc>
          <w:tcPr>
            <w:tcW w:type="dxa" w:w="3830"/>
            <w:vAlign w:val="center"/>
            <w:shd w:fill="F5F6F8"/>
            <w:tcMar>
              <w:top w:w="75" w:type="dxa"/>
              <w:bottom w:w="75" w:type="dxa"/>
              <w:left w:w="75" w:type="dxa"/>
              <w:right w:w="75" w:type="dxa"/>
            </w:tcMar>
          </w:tcPr>
          <w:p>
            <w:pPr>
              <w:spacing w:after="40" w:line="245" w:lineRule="auto"/>
            </w:pPr>
            <w:r>
              <w:rPr>
                <w:b w:val="0"/>
                <w:sz w:val="20"/>
              </w:rPr>
              <w:t>Classification data, not exploitation outcomes.</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Metasploit metadata</w:t>
            </w:r>
          </w:p>
        </w:tc>
        <w:tc>
          <w:tcPr>
            <w:tcW w:type="dxa" w:w="3830"/>
            <w:vAlign w:val="center"/>
            <w:shd w:fill="FFFFFF"/>
            <w:tcMar>
              <w:top w:w="75" w:type="dxa"/>
              <w:bottom w:w="75" w:type="dxa"/>
              <w:left w:w="75" w:type="dxa"/>
              <w:right w:w="75" w:type="dxa"/>
            </w:tcMar>
          </w:tcPr>
          <w:p>
            <w:pPr>
              <w:spacing w:after="40" w:line="245" w:lineRule="auto"/>
            </w:pPr>
            <w:r>
              <w:rPr>
                <w:b w:val="0"/>
                <w:sz w:val="20"/>
              </w:rPr>
              <w:t>527 signals</w:t>
            </w:r>
          </w:p>
        </w:tc>
        <w:tc>
          <w:tcPr>
            <w:tcW w:type="dxa" w:w="3830"/>
            <w:vAlign w:val="center"/>
            <w:shd w:fill="FFFFFF"/>
            <w:tcMar>
              <w:top w:w="75" w:type="dxa"/>
              <w:bottom w:w="75" w:type="dxa"/>
              <w:left w:w="75" w:type="dxa"/>
              <w:right w:w="75" w:type="dxa"/>
            </w:tcMar>
          </w:tcPr>
          <w:p>
            <w:pPr>
              <w:spacing w:after="40" w:line="245" w:lineRule="auto"/>
            </w:pPr>
            <w:r>
              <w:rPr>
                <w:b w:val="0"/>
                <w:sz w:val="20"/>
              </w:rPr>
              <w:t>Module availability, not proof of exploitation.</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Exploit-DB metadata</w:t>
            </w:r>
          </w:p>
        </w:tc>
        <w:tc>
          <w:tcPr>
            <w:tcW w:type="dxa" w:w="3830"/>
            <w:vAlign w:val="center"/>
            <w:shd w:fill="F5F6F8"/>
            <w:tcMar>
              <w:top w:w="75" w:type="dxa"/>
              <w:bottom w:w="75" w:type="dxa"/>
              <w:left w:w="75" w:type="dxa"/>
              <w:right w:w="75" w:type="dxa"/>
            </w:tcMar>
          </w:tcPr>
          <w:p>
            <w:pPr>
              <w:spacing w:after="40" w:line="245" w:lineRule="auto"/>
            </w:pPr>
            <w:r>
              <w:rPr>
                <w:b w:val="0"/>
                <w:sz w:val="20"/>
              </w:rPr>
              <w:t>454 signals</w:t>
            </w:r>
          </w:p>
        </w:tc>
        <w:tc>
          <w:tcPr>
            <w:tcW w:type="dxa" w:w="3830"/>
            <w:vAlign w:val="center"/>
            <w:shd w:fill="F5F6F8"/>
            <w:tcMar>
              <w:top w:w="75" w:type="dxa"/>
              <w:bottom w:w="75" w:type="dxa"/>
              <w:left w:w="75" w:type="dxa"/>
              <w:right w:w="75" w:type="dxa"/>
            </w:tcMar>
          </w:tcPr>
          <w:p>
            <w:pPr>
              <w:spacing w:after="40" w:line="245" w:lineRule="auto"/>
            </w:pPr>
            <w:r>
              <w:rPr>
                <w:b w:val="0"/>
                <w:sz w:val="20"/>
              </w:rPr>
              <w:t>Public availability metadata only.</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GHSA</w:t>
            </w:r>
          </w:p>
        </w:tc>
        <w:tc>
          <w:tcPr>
            <w:tcW w:type="dxa" w:w="3830"/>
            <w:vAlign w:val="center"/>
            <w:shd w:fill="FFFFFF"/>
            <w:tcMar>
              <w:top w:w="75" w:type="dxa"/>
              <w:bottom w:w="75" w:type="dxa"/>
              <w:left w:w="75" w:type="dxa"/>
              <w:right w:w="75" w:type="dxa"/>
            </w:tcMar>
          </w:tcPr>
          <w:p>
            <w:pPr>
              <w:spacing w:after="40" w:line="245" w:lineRule="auto"/>
            </w:pPr>
            <w:r>
              <w:rPr>
                <w:b w:val="0"/>
                <w:sz w:val="20"/>
              </w:rPr>
              <w:t>92 CVE-linked records</w:t>
            </w:r>
          </w:p>
        </w:tc>
        <w:tc>
          <w:tcPr>
            <w:tcW w:type="dxa" w:w="3830"/>
            <w:vAlign w:val="center"/>
            <w:shd w:fill="FFFFFF"/>
            <w:tcMar>
              <w:top w:w="75" w:type="dxa"/>
              <w:bottom w:w="75" w:type="dxa"/>
              <w:left w:w="75" w:type="dxa"/>
              <w:right w:w="75" w:type="dxa"/>
            </w:tcMar>
          </w:tcPr>
          <w:p>
            <w:pPr>
              <w:spacing w:after="40" w:line="245" w:lineRule="auto"/>
            </w:pPr>
            <w:r>
              <w:rPr>
                <w:b w:val="0"/>
                <w:sz w:val="20"/>
              </w:rPr>
              <w:t>Bounded reviewed-advisory import.</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CVE List V5</w:t>
            </w:r>
          </w:p>
        </w:tc>
        <w:tc>
          <w:tcPr>
            <w:tcW w:type="dxa" w:w="3830"/>
            <w:vAlign w:val="center"/>
            <w:shd w:fill="F5F6F8"/>
            <w:tcMar>
              <w:top w:w="75" w:type="dxa"/>
              <w:bottom w:w="75" w:type="dxa"/>
              <w:left w:w="75" w:type="dxa"/>
              <w:right w:w="75" w:type="dxa"/>
            </w:tcMar>
          </w:tcPr>
          <w:p>
            <w:pPr>
              <w:spacing w:after="40" w:line="245" w:lineRule="auto"/>
            </w:pPr>
            <w:r>
              <w:rPr>
                <w:b w:val="0"/>
                <w:sz w:val="20"/>
              </w:rPr>
              <w:t>25 evidence records</w:t>
            </w:r>
          </w:p>
        </w:tc>
        <w:tc>
          <w:tcPr>
            <w:tcW w:type="dxa" w:w="3830"/>
            <w:vAlign w:val="center"/>
            <w:shd w:fill="F5F6F8"/>
            <w:tcMar>
              <w:top w:w="75" w:type="dxa"/>
              <w:bottom w:w="75" w:type="dxa"/>
              <w:left w:w="75" w:type="dxa"/>
              <w:right w:w="75" w:type="dxa"/>
            </w:tcMar>
          </w:tcPr>
          <w:p>
            <w:pPr>
              <w:spacing w:after="40" w:line="245" w:lineRule="auto"/>
            </w:pPr>
            <w:r>
              <w:rPr>
                <w:b w:val="0"/>
                <w:sz w:val="20"/>
              </w:rPr>
              <w:t>Bounded tracked-CVE import.</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CPE evidence</w:t>
            </w:r>
          </w:p>
        </w:tc>
        <w:tc>
          <w:tcPr>
            <w:tcW w:type="dxa" w:w="3830"/>
            <w:vAlign w:val="center"/>
            <w:shd w:fill="FFFFFF"/>
            <w:tcMar>
              <w:top w:w="75" w:type="dxa"/>
              <w:bottom w:w="75" w:type="dxa"/>
              <w:left w:w="75" w:type="dxa"/>
              <w:right w:w="75" w:type="dxa"/>
            </w:tcMar>
          </w:tcPr>
          <w:p>
            <w:pPr>
              <w:spacing w:after="40" w:line="245" w:lineRule="auto"/>
            </w:pPr>
            <w:r>
              <w:rPr>
                <w:b w:val="0"/>
                <w:sz w:val="20"/>
              </w:rPr>
              <w:t>185 verified revisions</w:t>
            </w:r>
          </w:p>
        </w:tc>
        <w:tc>
          <w:tcPr>
            <w:tcW w:type="dxa" w:w="3830"/>
            <w:vAlign w:val="center"/>
            <w:shd w:fill="FFFFFF"/>
            <w:tcMar>
              <w:top w:w="75" w:type="dxa"/>
              <w:bottom w:w="75" w:type="dxa"/>
              <w:left w:w="75" w:type="dxa"/>
              <w:right w:w="75" w:type="dxa"/>
            </w:tcMar>
          </w:tcPr>
          <w:p>
            <w:pPr>
              <w:spacing w:after="40" w:line="245" w:lineRule="auto"/>
            </w:pPr>
            <w:r>
              <w:rPr>
                <w:b w:val="0"/>
                <w:sz w:val="20"/>
              </w:rPr>
              <w:t>Ten observed criteria queried with bounded results.</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Real organizational assets</w:t>
            </w:r>
          </w:p>
        </w:tc>
        <w:tc>
          <w:tcPr>
            <w:tcW w:type="dxa" w:w="3830"/>
            <w:vAlign w:val="center"/>
            <w:shd w:fill="F5F6F8"/>
            <w:tcMar>
              <w:top w:w="75" w:type="dxa"/>
              <w:bottom w:w="75" w:type="dxa"/>
              <w:left w:w="75" w:type="dxa"/>
              <w:right w:w="75" w:type="dxa"/>
            </w:tcMar>
          </w:tcPr>
          <w:p>
            <w:pPr>
              <w:spacing w:after="40" w:line="245" w:lineRule="auto"/>
            </w:pPr>
            <w:r>
              <w:rPr>
                <w:b w:val="0"/>
                <w:sz w:val="20"/>
              </w:rPr>
              <w:t>0</w:t>
            </w:r>
          </w:p>
        </w:tc>
        <w:tc>
          <w:tcPr>
            <w:tcW w:type="dxa" w:w="3830"/>
            <w:vAlign w:val="center"/>
            <w:shd w:fill="F5F6F8"/>
            <w:tcMar>
              <w:top w:w="75" w:type="dxa"/>
              <w:bottom w:w="75" w:type="dxa"/>
              <w:left w:w="75" w:type="dxa"/>
              <w:right w:w="75" w:type="dxa"/>
            </w:tcMar>
          </w:tcPr>
          <w:p>
            <w:pPr>
              <w:spacing w:after="40" w:line="245" w:lineRule="auto"/>
            </w:pPr>
            <w:r>
              <w:rPr>
                <w:b w:val="0"/>
                <w:sz w:val="20"/>
              </w:rPr>
              <w:t>No fabricated inventory substituted.</w:t>
            </w:r>
          </w:p>
        </w:tc>
      </w:tr>
    </w:tbl>
    <w:p>
      <w:pPr>
        <w:spacing w:after="0"/>
      </w:pPr>
    </w:p>
    <w:p>
      <w:r>
        <w:t>All 117 GHSA/CVE List evidence checksums and the 185 CPE records were reported verified. These counts measure different entities and must not be added to the CVE count. Feed runs with zero changed records can still be successful.</w:t>
      </w:r>
    </w:p>
    <w:p>
      <w:r>
        <w:t>Inventory ingestion supports CSV/JSON and software/context attributes such as owner, team, environment, exposure, sensitivity and business importance. CycloneDX/SPDX SBOM handling uses actual CPE relationships. Dependency traversal supports bounded reachability. Vendor-specific version semantics, comprehensive PURL/OSV matching and real graph coverage need further work.</w:t>
      </w:r>
    </w:p>
    <w:p>
      <w:r>
        <w:t>OTX, abuse.ch and MISP integration paths are optional and need configured access. Their existence in configuration is not proof of successful provider ingestion. OSV/package mapping and MITRE ATT&amp;CK/CAPEC enrichment are future ACID work where not already represented by reviewed metadata.</w:t>
      </w:r>
    </w:p>
    <w:p>
      <w:r>
        <w:t>No full historical NVD archive, full CPE dictionary or all-source synchronization is claimed. Real inventory and historical observations remain essential inputs to scoring and learning acceptance.</w:t>
      </w:r>
    </w:p>
    <w:p>
      <w:r>
        <w:br w:type="page"/>
      </w:r>
    </w:p>
    <w:p>
      <w:pPr>
        <w:pStyle w:val="Heading1"/>
      </w:pPr>
      <w:r>
        <w:t>6 Feature Store Scoring and Model Pipeline</w:t>
      </w:r>
    </w:p>
    <w:p>
      <w:r>
        <w:t>The feature foundation uses PostgreSQL materialized views for offline data and Redis for online access. Versioned feature vectors and source fingerprints support reproducibility. Training and serving use shared transformations to reduce skew. These mechanisms still need validation on an actual organizational workload.</w:t>
      </w:r>
    </w:p>
    <w:p>
      <w:pPr>
        <w:pStyle w:val="Heading2"/>
      </w:pPr>
      <w:r>
        <w:t>Current deterministic methodology</w:t>
      </w:r>
    </w:p>
    <w:p>
      <w:r>
        <w:t>CVSS weight is CVSS divided by 10, using v4 where available and otherwise v3. CWE frequency is normalized against the most frequent associated weakness in the observed catalog; CWE weight is one plus that normalized frequency. KRI equals EPSS multiplied by CVSS weight and CWE weight.</w:t>
      </w:r>
    </w:p>
    <w:p>
      <w:r>
        <w:t>Context equals 0.5 plus 0.5 times the mean of normalized criticality, business impact, data sensitivity, exposure and production status. The base risk score is 50 × KRI × Context, bounded to 0–100. KEV plus exposure imposes a 95 floor; KEV plus criticality of at least 4/5 imposes a 90 floor. The result is a prioritization score, not a calibrated breach probability or financial loss estimate.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30"/>
        <w:gridCol w:w="3830"/>
      </w:tblGrid>
      <w:tr>
        <w:trPr>
          <w:cantSplit/>
          <w:tblHeader/>
        </w:trPr>
        <w:tc>
          <w:tcPr>
            <w:tcW w:type="dxa" w:w="2088"/>
            <w:vAlign w:val="center"/>
            <w:shd w:fill="E5EAF0"/>
            <w:tcMar>
              <w:top w:w="75" w:type="dxa"/>
              <w:bottom w:w="75" w:type="dxa"/>
              <w:left w:w="75" w:type="dxa"/>
              <w:right w:w="75" w:type="dxa"/>
            </w:tcMar>
          </w:tcPr>
          <w:p>
            <w:pPr>
              <w:spacing w:after="40" w:line="245" w:lineRule="auto"/>
            </w:pPr>
            <w:r>
              <w:rPr>
                <w:b/>
                <w:sz w:val="20"/>
              </w:rPr>
              <w:t>Priority</w:t>
            </w:r>
          </w:p>
        </w:tc>
        <w:tc>
          <w:tcPr>
            <w:tcW w:type="dxa" w:w="3830"/>
            <w:vAlign w:val="center"/>
            <w:shd w:fill="E5EAF0"/>
            <w:tcMar>
              <w:top w:w="75" w:type="dxa"/>
              <w:bottom w:w="75" w:type="dxa"/>
              <w:left w:w="75" w:type="dxa"/>
              <w:right w:w="75" w:type="dxa"/>
            </w:tcMar>
          </w:tcPr>
          <w:p>
            <w:pPr>
              <w:spacing w:after="40" w:line="245" w:lineRule="auto"/>
            </w:pPr>
            <w:r>
              <w:rPr>
                <w:b/>
                <w:sz w:val="20"/>
              </w:rPr>
              <w:t>Score threshold</w:t>
            </w:r>
          </w:p>
        </w:tc>
        <w:tc>
          <w:tcPr>
            <w:tcW w:type="dxa" w:w="3830"/>
            <w:vAlign w:val="center"/>
            <w:shd w:fill="E5EAF0"/>
            <w:tcMar>
              <w:top w:w="75" w:type="dxa"/>
              <w:bottom w:w="75" w:type="dxa"/>
              <w:left w:w="75" w:type="dxa"/>
              <w:right w:w="75" w:type="dxa"/>
            </w:tcMar>
          </w:tcPr>
          <w:p>
            <w:pPr>
              <w:spacing w:after="40" w:line="245" w:lineRule="auto"/>
            </w:pPr>
            <w:r>
              <w:rPr>
                <w:b/>
                <w:sz w:val="20"/>
              </w:rPr>
              <w:t>Recorded SLA policy</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P0</w:t>
            </w:r>
          </w:p>
        </w:tc>
        <w:tc>
          <w:tcPr>
            <w:tcW w:type="dxa" w:w="3830"/>
            <w:vAlign w:val="center"/>
            <w:shd w:fill="FFFFFF"/>
            <w:tcMar>
              <w:top w:w="75" w:type="dxa"/>
              <w:bottom w:w="75" w:type="dxa"/>
              <w:left w:w="75" w:type="dxa"/>
              <w:right w:w="75" w:type="dxa"/>
            </w:tcMar>
          </w:tcPr>
          <w:p>
            <w:pPr>
              <w:spacing w:after="40" w:line="245" w:lineRule="auto"/>
            </w:pPr>
            <w:r>
              <w:rPr>
                <w:b w:val="0"/>
                <w:sz w:val="20"/>
              </w:rPr>
              <w:t>At least 90</w:t>
            </w:r>
          </w:p>
        </w:tc>
        <w:tc>
          <w:tcPr>
            <w:tcW w:type="dxa" w:w="3830"/>
            <w:vAlign w:val="center"/>
            <w:shd w:fill="FFFFFF"/>
            <w:tcMar>
              <w:top w:w="75" w:type="dxa"/>
              <w:bottom w:w="75" w:type="dxa"/>
              <w:left w:w="75" w:type="dxa"/>
              <w:right w:w="75" w:type="dxa"/>
            </w:tcMar>
          </w:tcPr>
          <w:p>
            <w:pPr>
              <w:spacing w:after="40" w:line="245" w:lineRule="auto"/>
            </w:pPr>
            <w:r>
              <w:rPr>
                <w:b w:val="0"/>
                <w:sz w:val="20"/>
              </w:rPr>
              <w:t>Immediate attention</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P1</w:t>
            </w:r>
          </w:p>
        </w:tc>
        <w:tc>
          <w:tcPr>
            <w:tcW w:type="dxa" w:w="3830"/>
            <w:vAlign w:val="center"/>
            <w:shd w:fill="F5F6F8"/>
            <w:tcMar>
              <w:top w:w="75" w:type="dxa"/>
              <w:bottom w:w="75" w:type="dxa"/>
              <w:left w:w="75" w:type="dxa"/>
              <w:right w:w="75" w:type="dxa"/>
            </w:tcMar>
          </w:tcPr>
          <w:p>
            <w:pPr>
              <w:spacing w:after="40" w:line="245" w:lineRule="auto"/>
            </w:pPr>
            <w:r>
              <w:rPr>
                <w:b w:val="0"/>
                <w:sz w:val="20"/>
              </w:rPr>
              <w:t>At least 70 and below 90</w:t>
            </w:r>
          </w:p>
        </w:tc>
        <w:tc>
          <w:tcPr>
            <w:tcW w:type="dxa" w:w="3830"/>
            <w:vAlign w:val="center"/>
            <w:shd w:fill="F5F6F8"/>
            <w:tcMar>
              <w:top w:w="75" w:type="dxa"/>
              <w:bottom w:w="75" w:type="dxa"/>
              <w:left w:w="75" w:type="dxa"/>
              <w:right w:w="75" w:type="dxa"/>
            </w:tcMar>
          </w:tcPr>
          <w:p>
            <w:pPr>
              <w:spacing w:after="40" w:line="245" w:lineRule="auto"/>
            </w:pPr>
            <w:r>
              <w:rPr>
                <w:b w:val="0"/>
                <w:sz w:val="20"/>
              </w:rPr>
              <w:t>Seven days</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P2</w:t>
            </w:r>
          </w:p>
        </w:tc>
        <w:tc>
          <w:tcPr>
            <w:tcW w:type="dxa" w:w="3830"/>
            <w:vAlign w:val="center"/>
            <w:shd w:fill="FFFFFF"/>
            <w:tcMar>
              <w:top w:w="75" w:type="dxa"/>
              <w:bottom w:w="75" w:type="dxa"/>
              <w:left w:w="75" w:type="dxa"/>
              <w:right w:w="75" w:type="dxa"/>
            </w:tcMar>
          </w:tcPr>
          <w:p>
            <w:pPr>
              <w:spacing w:after="40" w:line="245" w:lineRule="auto"/>
            </w:pPr>
            <w:r>
              <w:rPr>
                <w:b w:val="0"/>
                <w:sz w:val="20"/>
              </w:rPr>
              <w:t>At least 40 and below 70</w:t>
            </w:r>
          </w:p>
        </w:tc>
        <w:tc>
          <w:tcPr>
            <w:tcW w:type="dxa" w:w="3830"/>
            <w:vAlign w:val="center"/>
            <w:shd w:fill="FFFFFF"/>
            <w:tcMar>
              <w:top w:w="75" w:type="dxa"/>
              <w:bottom w:w="75" w:type="dxa"/>
              <w:left w:w="75" w:type="dxa"/>
              <w:right w:w="75" w:type="dxa"/>
            </w:tcMar>
          </w:tcPr>
          <w:p>
            <w:pPr>
              <w:spacing w:after="40" w:line="245" w:lineRule="auto"/>
            </w:pPr>
            <w:r>
              <w:rPr>
                <w:b w:val="0"/>
                <w:sz w:val="20"/>
              </w:rPr>
              <w:t>Thirty days</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P3</w:t>
            </w:r>
          </w:p>
        </w:tc>
        <w:tc>
          <w:tcPr>
            <w:tcW w:type="dxa" w:w="3830"/>
            <w:vAlign w:val="center"/>
            <w:shd w:fill="F5F6F8"/>
            <w:tcMar>
              <w:top w:w="75" w:type="dxa"/>
              <w:bottom w:w="75" w:type="dxa"/>
              <w:left w:w="75" w:type="dxa"/>
              <w:right w:w="75" w:type="dxa"/>
            </w:tcMar>
          </w:tcPr>
          <w:p>
            <w:pPr>
              <w:spacing w:after="40" w:line="245" w:lineRule="auto"/>
            </w:pPr>
            <w:r>
              <w:rPr>
                <w:b w:val="0"/>
                <w:sz w:val="20"/>
              </w:rPr>
              <w:t>Below 40</w:t>
            </w:r>
          </w:p>
        </w:tc>
        <w:tc>
          <w:tcPr>
            <w:tcW w:type="dxa" w:w="3830"/>
            <w:vAlign w:val="center"/>
            <w:shd w:fill="F5F6F8"/>
            <w:tcMar>
              <w:top w:w="75" w:type="dxa"/>
              <w:bottom w:w="75" w:type="dxa"/>
              <w:left w:w="75" w:type="dxa"/>
              <w:right w:w="75" w:type="dxa"/>
            </w:tcMar>
          </w:tcPr>
          <w:p>
            <w:pPr>
              <w:spacing w:after="40" w:line="245" w:lineRule="auto"/>
            </w:pPr>
            <w:r>
              <w:rPr>
                <w:b w:val="0"/>
                <w:sz w:val="20"/>
              </w:rPr>
              <w:t>Ninety days or documented acceptance</w:t>
            </w:r>
          </w:p>
        </w:tc>
      </w:tr>
    </w:tbl>
    <w:p>
      <w:pPr>
        <w:spacing w:after="0"/>
      </w:pPr>
    </w:p>
    <w:p>
      <w:r>
        <w:t>Only actual linked assets with required observed measurements receive scores. Without a validated model, the ML contribution is zero. Exact rule attribution explains the deterministic calculation; ML SHAP requires a real validated artifact. Recommendations currently use deterministic evidence and templates. An LLM recommendation service is not enabled.</w:t>
      </w:r>
    </w:p>
    <w:p>
      <w:pPr>
        <w:pStyle w:val="Heading2"/>
      </w:pPr>
      <w:r>
        <w:t>Training and learning implementation</w:t>
      </w:r>
    </w:p>
    <w:p>
      <w:r>
        <w:t>The training path includes provenance requirements, temporal separation, grouped records, cost-sensitive learning and nested cross-validation with five outer and three inner folds using seed 42. XGBoost, LightGBM and Random Forest are intended ensemble members. Hybrid weighting uses training out-of-fold predictions rather than tuning on the future holdout. No SMOTE is used.</w:t>
      </w:r>
    </w:p>
    <w:p>
      <w:r>
        <w:t>Artifact integrity and optional object-storage configuration exist. No model has been demonstrated trained on a sufficient real historical cohort. Foundation-Sec-8B, SecureBERT, graph models and causal models are not installed as validated production intelligence. KS-based drift scaffolding exists; the requested Jensen–Shannon/ADWIN fast loop, outcome-driven retraining and safe promotion require further implementation and measurement.</w:t>
      </w:r>
    </w:p>
    <w:p>
      <w:r>
        <w:t>Known scoring gaps include source-withdrawal invalidation and efficient catalog-wide CWE frequency updates. These can affect score freshness and must be resolved before large-scale asset scoring is accepted.</w:t>
      </w:r>
    </w:p>
    <w:p>
      <w:r>
        <w:br w:type="page"/>
      </w:r>
    </w:p>
    <w:p>
      <w:pPr>
        <w:pStyle w:val="Heading1"/>
      </w:pPr>
      <w:r>
        <w:t>7 Measured Evaluation and Its Limits</w:t>
      </w:r>
    </w:p>
    <w:p>
      <w:r>
        <w:t>The preserved benchmark is explicitly a current-catalog descriptive KEV retrieval evaluation. Its input contains 8,938 CVEs, including 1,709 KEV entries. Complete measurements are available for 8,556 CVEs, including all 1,709 KEV entries. Missing CVSS affects 268 records and missing EPSS affects 145; these exclusion categories overlap.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555"/>
        <w:gridCol w:w="1555"/>
        <w:gridCol w:w="1555"/>
        <w:gridCol w:w="1555"/>
      </w:tblGrid>
      <w:tr>
        <w:trPr>
          <w:cantSplit/>
          <w:tblHeader/>
        </w:trPr>
        <w:tc>
          <w:tcPr>
            <w:tcW w:type="dxa" w:w="3528"/>
            <w:vAlign w:val="center"/>
            <w:shd w:fill="E5EAF0"/>
            <w:tcMar>
              <w:top w:w="75" w:type="dxa"/>
              <w:bottom w:w="75" w:type="dxa"/>
              <w:left w:w="75" w:type="dxa"/>
              <w:right w:w="75" w:type="dxa"/>
            </w:tcMar>
          </w:tcPr>
          <w:p>
            <w:pPr>
              <w:spacing w:after="40" w:line="245" w:lineRule="auto"/>
            </w:pPr>
            <w:r>
              <w:rPr>
                <w:b/>
                <w:sz w:val="20"/>
              </w:rPr>
              <w:t>Method</w:t>
            </w:r>
          </w:p>
        </w:tc>
        <w:tc>
          <w:tcPr>
            <w:tcW w:type="dxa" w:w="1555"/>
            <w:vAlign w:val="center"/>
            <w:shd w:fill="E5EAF0"/>
            <w:tcMar>
              <w:top w:w="75" w:type="dxa"/>
              <w:bottom w:w="75" w:type="dxa"/>
              <w:left w:w="75" w:type="dxa"/>
              <w:right w:w="75" w:type="dxa"/>
            </w:tcMar>
          </w:tcPr>
          <w:p>
            <w:pPr>
              <w:spacing w:after="40" w:line="245" w:lineRule="auto"/>
              <w:jc w:val="center"/>
            </w:pPr>
            <w:r>
              <w:rPr>
                <w:b/>
                <w:sz w:val="20"/>
              </w:rPr>
              <w:t>ROC AUC</w:t>
            </w:r>
          </w:p>
        </w:tc>
        <w:tc>
          <w:tcPr>
            <w:tcW w:type="dxa" w:w="1555"/>
            <w:vAlign w:val="center"/>
            <w:shd w:fill="E5EAF0"/>
            <w:tcMar>
              <w:top w:w="75" w:type="dxa"/>
              <w:bottom w:w="75" w:type="dxa"/>
              <w:left w:w="75" w:type="dxa"/>
              <w:right w:w="75" w:type="dxa"/>
            </w:tcMar>
          </w:tcPr>
          <w:p>
            <w:pPr>
              <w:spacing w:after="40" w:line="245" w:lineRule="auto"/>
              <w:jc w:val="center"/>
            </w:pPr>
            <w:r>
              <w:rPr>
                <w:b/>
                <w:sz w:val="20"/>
              </w:rPr>
              <w:t>Average precision</w:t>
            </w:r>
          </w:p>
        </w:tc>
        <w:tc>
          <w:tcPr>
            <w:tcW w:type="dxa" w:w="1555"/>
            <w:vAlign w:val="center"/>
            <w:shd w:fill="E5EAF0"/>
            <w:tcMar>
              <w:top w:w="75" w:type="dxa"/>
              <w:bottom w:w="75" w:type="dxa"/>
              <w:left w:w="75" w:type="dxa"/>
              <w:right w:w="75" w:type="dxa"/>
            </w:tcMar>
          </w:tcPr>
          <w:p>
            <w:pPr>
              <w:spacing w:after="40" w:line="245" w:lineRule="auto"/>
              <w:jc w:val="center"/>
            </w:pPr>
            <w:r>
              <w:rPr>
                <w:b/>
                <w:sz w:val="20"/>
              </w:rPr>
              <w:t>Precision at 100</w:t>
            </w:r>
          </w:p>
        </w:tc>
        <w:tc>
          <w:tcPr>
            <w:tcW w:type="dxa" w:w="1555"/>
            <w:vAlign w:val="center"/>
            <w:shd w:fill="E5EAF0"/>
            <w:tcMar>
              <w:top w:w="75" w:type="dxa"/>
              <w:bottom w:w="75" w:type="dxa"/>
              <w:left w:w="75" w:type="dxa"/>
              <w:right w:w="75" w:type="dxa"/>
            </w:tcMar>
          </w:tcPr>
          <w:p>
            <w:pPr>
              <w:spacing w:after="40" w:line="245" w:lineRule="auto"/>
              <w:jc w:val="center"/>
            </w:pPr>
            <w:r>
              <w:rPr>
                <w:b/>
                <w:sz w:val="20"/>
              </w:rPr>
              <w:t>Recall at 100</w:t>
            </w:r>
          </w:p>
        </w:tc>
      </w:tr>
      <w:tr>
        <w:trPr>
          <w:cantSplit/>
        </w:trPr>
        <w:tc>
          <w:tcPr>
            <w:tcW w:type="dxa" w:w="3528"/>
            <w:vAlign w:val="center"/>
            <w:shd w:fill="FFFFFF"/>
            <w:tcMar>
              <w:top w:w="75" w:type="dxa"/>
              <w:bottom w:w="75" w:type="dxa"/>
              <w:left w:w="75" w:type="dxa"/>
              <w:right w:w="75" w:type="dxa"/>
            </w:tcMar>
          </w:tcPr>
          <w:p>
            <w:pPr>
              <w:spacing w:after="40" w:line="245" w:lineRule="auto"/>
            </w:pPr>
            <w:r>
              <w:rPr>
                <w:b w:val="0"/>
                <w:sz w:val="20"/>
              </w:rPr>
              <w:t>CVSS only</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0.7283</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0.4098</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64.0%</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3.74%</w:t>
            </w:r>
          </w:p>
        </w:tc>
      </w:tr>
      <w:tr>
        <w:trPr>
          <w:cantSplit/>
        </w:trPr>
        <w:tc>
          <w:tcPr>
            <w:tcW w:type="dxa" w:w="3528"/>
            <w:vAlign w:val="center"/>
            <w:shd w:fill="F5F6F8"/>
            <w:tcMar>
              <w:top w:w="75" w:type="dxa"/>
              <w:bottom w:w="75" w:type="dxa"/>
              <w:left w:w="75" w:type="dxa"/>
              <w:right w:w="75" w:type="dxa"/>
            </w:tcMar>
          </w:tcPr>
          <w:p>
            <w:pPr>
              <w:spacing w:after="40" w:line="245" w:lineRule="auto"/>
            </w:pPr>
            <w:r>
              <w:rPr>
                <w:b w:val="0"/>
                <w:sz w:val="20"/>
              </w:rPr>
              <w:t>EPSS only</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0.9943</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0.9841</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100.0%</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5.85%</w:t>
            </w:r>
          </w:p>
        </w:tc>
      </w:tr>
      <w:tr>
        <w:trPr>
          <w:cantSplit/>
        </w:trPr>
        <w:tc>
          <w:tcPr>
            <w:tcW w:type="dxa" w:w="3528"/>
            <w:vAlign w:val="center"/>
            <w:shd w:fill="FFFFFF"/>
            <w:tcMar>
              <w:top w:w="75" w:type="dxa"/>
              <w:bottom w:w="75" w:type="dxa"/>
              <w:left w:w="75" w:type="dxa"/>
              <w:right w:w="75" w:type="dxa"/>
            </w:tcMar>
          </w:tcPr>
          <w:p>
            <w:pPr>
              <w:spacing w:after="40" w:line="245" w:lineRule="auto"/>
            </w:pPr>
            <w:r>
              <w:rPr>
                <w:b w:val="0"/>
                <w:sz w:val="20"/>
              </w:rPr>
              <w:t>Equal CVSS and EPSS</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0.9067</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0.8446</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100.0%</w:t>
            </w:r>
          </w:p>
        </w:tc>
        <w:tc>
          <w:tcPr>
            <w:tcW w:type="dxa" w:w="1555"/>
            <w:vAlign w:val="center"/>
            <w:shd w:fill="FFFFFF"/>
            <w:tcMar>
              <w:top w:w="75" w:type="dxa"/>
              <w:bottom w:w="75" w:type="dxa"/>
              <w:left w:w="75" w:type="dxa"/>
              <w:right w:w="75" w:type="dxa"/>
            </w:tcMar>
          </w:tcPr>
          <w:p>
            <w:pPr>
              <w:spacing w:after="40" w:line="245" w:lineRule="auto"/>
              <w:jc w:val="center"/>
            </w:pPr>
            <w:r>
              <w:rPr>
                <w:b w:val="0"/>
                <w:sz w:val="20"/>
              </w:rPr>
              <w:t>5.85%</w:t>
            </w:r>
          </w:p>
        </w:tc>
      </w:tr>
      <w:tr>
        <w:trPr>
          <w:cantSplit/>
        </w:trPr>
        <w:tc>
          <w:tcPr>
            <w:tcW w:type="dxa" w:w="3528"/>
            <w:vAlign w:val="center"/>
            <w:shd w:fill="F5F6F8"/>
            <w:tcMar>
              <w:top w:w="75" w:type="dxa"/>
              <w:bottom w:w="75" w:type="dxa"/>
              <w:left w:w="75" w:type="dxa"/>
              <w:right w:w="75" w:type="dxa"/>
            </w:tcMar>
          </w:tcPr>
          <w:p>
            <w:pPr>
              <w:spacing w:after="40" w:line="245" w:lineRule="auto"/>
            </w:pPr>
            <w:r>
              <w:rPr>
                <w:b w:val="0"/>
                <w:sz w:val="20"/>
              </w:rPr>
              <w:t>KRI</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0.9910</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0.9782</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100.0%</w:t>
            </w:r>
          </w:p>
        </w:tc>
        <w:tc>
          <w:tcPr>
            <w:tcW w:type="dxa" w:w="1555"/>
            <w:vAlign w:val="center"/>
            <w:shd w:fill="F5F6F8"/>
            <w:tcMar>
              <w:top w:w="75" w:type="dxa"/>
              <w:bottom w:w="75" w:type="dxa"/>
              <w:left w:w="75" w:type="dxa"/>
              <w:right w:w="75" w:type="dxa"/>
            </w:tcMar>
          </w:tcPr>
          <w:p>
            <w:pPr>
              <w:spacing w:after="40" w:line="245" w:lineRule="auto"/>
              <w:jc w:val="center"/>
            </w:pPr>
            <w:r>
              <w:rPr>
                <w:b w:val="0"/>
                <w:sz w:val="20"/>
              </w:rPr>
              <w:t>5.85%</w:t>
            </w:r>
          </w:p>
        </w:tc>
      </w:tr>
    </w:tbl>
    <w:p>
      <w:pPr>
        <w:spacing w:after="0"/>
      </w:pPr>
    </w:p>
    <w:p>
      <w:r>
        <w:t>Average precision is reported as computed by the harness; it should not be silently relabeled as a different numerical integration of the precision–recall curve. Top-100 precision of 100% means those 100 records are KEV-listed. It does not mean all vulnerable systems are correctly prioritized: only 5.85% of eligible KEV records are covered at that cutoff.</w:t>
      </w:r>
    </w:p>
    <w:p>
      <w:r>
        <w:t>The cohort contains comprehensive KEV enrichment and a limited selection of other CVEs. This creates selection bias. Current EPSS and CVSS signals may postdate known exploitation. Unlisted CVEs are not confirmed unexploited controls. KEV is excluded as a predictor in this benchmark to avoid directly copying the evaluation target. Deterministic CVE-ID tie ordering also affects top-K results.</w:t>
      </w:r>
    </w:p>
    <w:p>
      <w:r>
        <w:t>Before the KEV backfill, only 23 KEV records were present among 6,870 complete cases. After backfill, 1,709 were present among 8,556. The resulting change in metrics must not be presented as a model improvement because the evaluation population changed.</w:t>
      </w:r>
    </w:p>
    <w:p>
      <w:r>
        <w:t>The snapshot SHA-256 is 10a2156c1d3c04353fbc92acc318aa0307884dca39b2bfc5ec195ff5a48badd6. The report is stored in docs/catalog-benchmark.json and the input in data/catalog-benchmark-input.json. The benchmark timestamp is 13 September 2026 at 20:53:27 UTC.</w:t>
      </w:r>
    </w:p>
    <w:p>
      <w:r>
        <w:t>Future predictive evaluation requires historical features captured as of each decision time, an explicit outcome horizon, temporally separated cohorts, duplicate/group controls and honest treatment of unobserved exploitation. EPSS can be a feature or a separate distillation target, but it is not an observed exploitation label. No full-model accuracy, causal accuracy, workload reduction or autonomous remediation success rate has yet been established.</w:t>
      </w:r>
    </w:p>
    <w:p>
      <w:r>
        <w:br w:type="page"/>
      </w:r>
    </w:p>
    <w:p>
      <w:pPr>
        <w:pStyle w:val="Heading1"/>
      </w:pPr>
      <w:r>
        <w:t>8 The Five Application Agents</w:t>
      </w:r>
    </w:p>
    <w:p>
      <w:r>
        <w:t>The latest implementation introduces deterministic coordination for Supervisor, Triage, Remediation, Governance and Verification. These are application stages that consume stored evidence. They are not five trained LLMs or proof that autonomous defense is operating.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30"/>
        <w:gridCol w:w="3830"/>
      </w:tblGrid>
      <w:tr>
        <w:trPr>
          <w:cantSplit/>
          <w:tblHeader/>
        </w:trPr>
        <w:tc>
          <w:tcPr>
            <w:tcW w:type="dxa" w:w="2088"/>
            <w:vAlign w:val="center"/>
            <w:shd w:fill="E5EAF0"/>
            <w:tcMar>
              <w:top w:w="75" w:type="dxa"/>
              <w:bottom w:w="75" w:type="dxa"/>
              <w:left w:w="75" w:type="dxa"/>
              <w:right w:w="75" w:type="dxa"/>
            </w:tcMar>
          </w:tcPr>
          <w:p>
            <w:pPr>
              <w:spacing w:after="40" w:line="245" w:lineRule="auto"/>
            </w:pPr>
            <w:r>
              <w:rPr>
                <w:b/>
                <w:sz w:val="20"/>
              </w:rPr>
              <w:t>Agent</w:t>
            </w:r>
          </w:p>
        </w:tc>
        <w:tc>
          <w:tcPr>
            <w:tcW w:type="dxa" w:w="3830"/>
            <w:vAlign w:val="center"/>
            <w:shd w:fill="E5EAF0"/>
            <w:tcMar>
              <w:top w:w="75" w:type="dxa"/>
              <w:bottom w:w="75" w:type="dxa"/>
              <w:left w:w="75" w:type="dxa"/>
              <w:right w:w="75" w:type="dxa"/>
            </w:tcMar>
          </w:tcPr>
          <w:p>
            <w:pPr>
              <w:spacing w:after="40" w:line="245" w:lineRule="auto"/>
            </w:pPr>
            <w:r>
              <w:rPr>
                <w:b/>
                <w:sz w:val="20"/>
              </w:rPr>
              <w:t>Implemented behavior in latest code</w:t>
            </w:r>
          </w:p>
        </w:tc>
        <w:tc>
          <w:tcPr>
            <w:tcW w:type="dxa" w:w="3830"/>
            <w:vAlign w:val="center"/>
            <w:shd w:fill="E5EAF0"/>
            <w:tcMar>
              <w:top w:w="75" w:type="dxa"/>
              <w:bottom w:w="75" w:type="dxa"/>
              <w:left w:w="75" w:type="dxa"/>
              <w:right w:w="75" w:type="dxa"/>
            </w:tcMar>
          </w:tcPr>
          <w:p>
            <w:pPr>
              <w:spacing w:after="40" w:line="245" w:lineRule="auto"/>
            </w:pPr>
            <w:r>
              <w:rPr>
                <w:b/>
                <w:sz w:val="20"/>
              </w:rPr>
              <w:t>Work required for the target</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Supervisor</w:t>
            </w:r>
          </w:p>
        </w:tc>
        <w:tc>
          <w:tcPr>
            <w:tcW w:type="dxa" w:w="3830"/>
            <w:vAlign w:val="center"/>
            <w:shd w:fill="FFFFFF"/>
            <w:tcMar>
              <w:top w:w="75" w:type="dxa"/>
              <w:bottom w:w="75" w:type="dxa"/>
              <w:left w:w="75" w:type="dxa"/>
              <w:right w:w="75" w:type="dxa"/>
            </w:tcMar>
          </w:tcPr>
          <w:p>
            <w:pPr>
              <w:spacing w:after="40" w:line="245" w:lineRule="auto"/>
            </w:pPr>
            <w:r>
              <w:rPr>
                <w:b w:val="0"/>
                <w:sz w:val="20"/>
              </w:rPr>
              <w:t>Routes supported durable events and records actual context.</w:t>
            </w:r>
          </w:p>
        </w:tc>
        <w:tc>
          <w:tcPr>
            <w:tcW w:type="dxa" w:w="3830"/>
            <w:vAlign w:val="center"/>
            <w:shd w:fill="FFFFFF"/>
            <w:tcMar>
              <w:top w:w="75" w:type="dxa"/>
              <w:bottom w:w="75" w:type="dxa"/>
              <w:left w:w="75" w:type="dxa"/>
              <w:right w:w="75" w:type="dxa"/>
            </w:tcMar>
          </w:tcPr>
          <w:p>
            <w:pPr>
              <w:spacing w:after="40" w:line="245" w:lineRule="auto"/>
            </w:pPr>
            <w:r>
              <w:rPr>
                <w:b w:val="0"/>
                <w:sz w:val="20"/>
              </w:rPr>
              <w:t>Bounded orchestration, cancellation, recovery and complete execution lifecycle.</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Triage</w:t>
            </w:r>
          </w:p>
        </w:tc>
        <w:tc>
          <w:tcPr>
            <w:tcW w:type="dxa" w:w="3830"/>
            <w:vAlign w:val="center"/>
            <w:shd w:fill="F5F6F8"/>
            <w:tcMar>
              <w:top w:w="75" w:type="dxa"/>
              <w:bottom w:w="75" w:type="dxa"/>
              <w:left w:w="75" w:type="dxa"/>
              <w:right w:w="75" w:type="dxa"/>
            </w:tcMar>
          </w:tcPr>
          <w:p>
            <w:pPr>
              <w:spacing w:after="40" w:line="245" w:lineRule="auto"/>
            </w:pPr>
            <w:r>
              <w:rPr>
                <w:b w:val="0"/>
                <w:sz w:val="20"/>
              </w:rPr>
              <w:t>Reads the current stored risk score and its identity.</w:t>
            </w:r>
          </w:p>
        </w:tc>
        <w:tc>
          <w:tcPr>
            <w:tcW w:type="dxa" w:w="3830"/>
            <w:vAlign w:val="center"/>
            <w:shd w:fill="F5F6F8"/>
            <w:tcMar>
              <w:top w:w="75" w:type="dxa"/>
              <w:bottom w:w="75" w:type="dxa"/>
              <w:left w:w="75" w:type="dxa"/>
              <w:right w:w="75" w:type="dxa"/>
            </w:tcMar>
          </w:tcPr>
          <w:p>
            <w:pPr>
              <w:spacing w:after="40" w:line="245" w:lineRule="auto"/>
            </w:pPr>
            <w:r>
              <w:rPr>
                <w:b w:val="0"/>
                <w:sz w:val="20"/>
              </w:rPr>
              <w:t>Validated model-backed interpretation, richer evidence and evaluated confidence.</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Remediation</w:t>
            </w:r>
          </w:p>
        </w:tc>
        <w:tc>
          <w:tcPr>
            <w:tcW w:type="dxa" w:w="3830"/>
            <w:vAlign w:val="center"/>
            <w:shd w:fill="FFFFFF"/>
            <w:tcMar>
              <w:top w:w="75" w:type="dxa"/>
              <w:bottom w:w="75" w:type="dxa"/>
              <w:left w:w="75" w:type="dxa"/>
              <w:right w:w="75" w:type="dxa"/>
            </w:tcMar>
          </w:tcPr>
          <w:p>
            <w:pPr>
              <w:spacing w:after="40" w:line="245" w:lineRule="auto"/>
            </w:pPr>
            <w:r>
              <w:rPr>
                <w:b w:val="0"/>
                <w:sz w:val="20"/>
              </w:rPr>
              <w:t>Presents a stored proposal or existing score recommendation.</w:t>
            </w:r>
          </w:p>
        </w:tc>
        <w:tc>
          <w:tcPr>
            <w:tcW w:type="dxa" w:w="3830"/>
            <w:vAlign w:val="center"/>
            <w:shd w:fill="FFFFFF"/>
            <w:tcMar>
              <w:top w:w="75" w:type="dxa"/>
              <w:bottom w:w="75" w:type="dxa"/>
              <w:left w:w="75" w:type="dxa"/>
              <w:right w:w="75" w:type="dxa"/>
            </w:tcMar>
          </w:tcPr>
          <w:p>
            <w:pPr>
              <w:spacing w:after="40" w:line="245" w:lineRule="auto"/>
            </w:pPr>
            <w:r>
              <w:rPr>
                <w:b w:val="0"/>
                <w:sz w:val="20"/>
              </w:rPr>
              <w:t>Evidence-grounded planning, reviewed diffs, connector-specific actions and rollback validation.</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Governance</w:t>
            </w:r>
          </w:p>
        </w:tc>
        <w:tc>
          <w:tcPr>
            <w:tcW w:type="dxa" w:w="3830"/>
            <w:vAlign w:val="center"/>
            <w:shd w:fill="F5F6F8"/>
            <w:tcMar>
              <w:top w:w="75" w:type="dxa"/>
              <w:bottom w:w="75" w:type="dxa"/>
              <w:left w:w="75" w:type="dxa"/>
              <w:right w:w="75" w:type="dxa"/>
            </w:tcMar>
          </w:tcPr>
          <w:p>
            <w:pPr>
              <w:spacing w:after="40" w:line="245" w:lineRule="auto"/>
            </w:pPr>
            <w:r>
              <w:rPr>
                <w:b w:val="0"/>
                <w:sz w:val="20"/>
              </w:rPr>
              <w:t>Checks effective proposal state, expiry and context.</w:t>
            </w:r>
          </w:p>
        </w:tc>
        <w:tc>
          <w:tcPr>
            <w:tcW w:type="dxa" w:w="3830"/>
            <w:vAlign w:val="center"/>
            <w:shd w:fill="F5F6F8"/>
            <w:tcMar>
              <w:top w:w="75" w:type="dxa"/>
              <w:bottom w:w="75" w:type="dxa"/>
              <w:left w:w="75" w:type="dxa"/>
              <w:right w:w="75" w:type="dxa"/>
            </w:tcMar>
          </w:tcPr>
          <w:p>
            <w:pPr>
              <w:spacing w:after="40" w:line="245" w:lineRule="auto"/>
            </w:pPr>
            <w:r>
              <w:rPr>
                <w:b w:val="0"/>
                <w:sz w:val="20"/>
              </w:rPr>
              <w:t>Complete scope policy, execution-time revalidation and authorization enforcement at connectors.</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Verification</w:t>
            </w:r>
          </w:p>
        </w:tc>
        <w:tc>
          <w:tcPr>
            <w:tcW w:type="dxa" w:w="3830"/>
            <w:vAlign w:val="center"/>
            <w:shd w:fill="FFFFFF"/>
            <w:tcMar>
              <w:top w:w="75" w:type="dxa"/>
              <w:bottom w:w="75" w:type="dxa"/>
              <w:left w:w="75" w:type="dxa"/>
              <w:right w:w="75" w:type="dxa"/>
            </w:tcMar>
          </w:tcPr>
          <w:p>
            <w:pPr>
              <w:spacing w:after="40" w:line="245" w:lineRule="auto"/>
            </w:pPr>
            <w:r>
              <w:rPr>
                <w:b w:val="0"/>
                <w:sz w:val="20"/>
              </w:rPr>
              <w:t>Records a blocked state without a connector and signed evidence.</w:t>
            </w:r>
          </w:p>
        </w:tc>
        <w:tc>
          <w:tcPr>
            <w:tcW w:type="dxa" w:w="3830"/>
            <w:vAlign w:val="center"/>
            <w:shd w:fill="FFFFFF"/>
            <w:tcMar>
              <w:top w:w="75" w:type="dxa"/>
              <w:bottom w:w="75" w:type="dxa"/>
              <w:left w:w="75" w:type="dxa"/>
              <w:right w:w="75" w:type="dxa"/>
            </w:tcMar>
          </w:tcPr>
          <w:p>
            <w:pPr>
              <w:spacing w:after="40" w:line="245" w:lineRule="auto"/>
            </w:pPr>
            <w:r>
              <w:rPr>
                <w:b w:val="0"/>
                <w:sz w:val="20"/>
              </w:rPr>
              <w:t>Independent real observations, signature validation and success/failure reconciliation.</w:t>
            </w:r>
          </w:p>
        </w:tc>
      </w:tr>
    </w:tbl>
    <w:p>
      <w:pPr>
        <w:spacing w:after="0"/>
      </w:pPr>
    </w:p>
    <w:p>
      <w:r>
        <w:t>Migration 0008 introduces append-only agent_runs keyed uniquely to the durable outbox event. The worker handles score.updated, remediation.proposed and remediation.reviewed. Proposal creation and review add their events in the same database transaction as the decision record. The unique event/run relationship is intended to prevent duplicate histories on replay.</w:t>
      </w:r>
    </w:p>
    <w:p>
      <w:r>
        <w:t>The authenticated agent-history endpoint joins records through scoped findings. History is a point-in-time observation, not an authorization token. An approved proposal still produces a blocked-no-execution-connector outcome. The stages cannot grant their own approval or mark a finding remediated.</w:t>
      </w:r>
    </w:p>
    <w:p>
      <w:r>
        <w:t>Backend and frontend images were built successfully. The subsequent deployment command was rejected by automatic approval review because of a usage limit, before execution. Therefore the running services are last known to contain the earlier proposal workflow. Migration 0008 and the five new agent tests have not been verified deployed or passed. The last successful regression result remains 24 passed and 1 skipped.</w:t>
      </w:r>
    </w:p>
    <w:p>
      <w:r>
        <w:t>Completing the agents means proving their contracts, failure handling, replay behavior and evidence boundaries on real records before adding advanced model behavior. Merely naming five functions does not satisfy the full AI-agent requirement.</w:t>
      </w:r>
    </w:p>
    <w:p>
      <w:r>
        <w:br w:type="page"/>
      </w:r>
    </w:p>
    <w:p>
      <w:pPr>
        <w:pStyle w:val="Heading1"/>
      </w:pPr>
      <w:r>
        <w:t>9 Governance and Remediation Control</w:t>
      </w:r>
    </w:p>
    <w:p>
      <w:r>
        <w:t>Migration 0007 and the proposal/review workflow are deployed. Proposals and decisions are append-only, with database restrictions and immutable-record protections. A proposal binds its plan to the actual finding, asset and vulnerability versions, score identity and fingerprint, team, environment and policy context.</w:t>
      </w:r>
    </w:p>
    <w:p>
      <w:r>
        <w:t>Blue members and appropriate Blue team administrators can propose patch, mitigation or isolation plans for existing open scored findings. The plan must include change, verification and rollback details, with an expiry between one and 168 hours. These action names describe reviewable intent; no external action is enabled by submitting a proposal.</w:t>
      </w:r>
    </w:p>
    <w:p>
      <w:r>
        <w:t>Reviewers must be independent of the proposer. White reviewers can review across teams. Other authorized owning Blue reviewers can review only P2/P3 proposals outside production. P0/P1 and production proposals require White review. Super Admin cannot propose or approve through this new workflow, preserving the intended separation between administration and security decisions.</w:t>
      </w:r>
    </w:p>
    <w:p>
      <w:r>
        <w:t>The allowed stored decisions are proposed → approved or rejected, and approved → revoked. Expiry and changed context affect the effective state without rewriting history. Reviews validate the expected proposal digest and serialize competing decisions with a PostgreSQL advisory lock.</w:t>
      </w:r>
    </w:p>
    <w:p>
      <w:r>
        <w:t>Execution remains disabled. A future connector must revalidate target scope, approval, reviewer authority, policy and evidence immediately before acting. Approval at an earlier time is insufficient if the asset, finding, score or authorization has changed. Verification must provide actual evidence of the result rather than accepting an agent's self-reported success.</w:t>
      </w:r>
    </w:p>
    <w:p>
      <w:r>
        <w:t>The older manual remediation endpoint remains a separate operator-evidence workflow and has not been fully migrated to the new approval protocol. Until that migration is complete, the entire platform cannot be described as uniformly governed by the ACID state machine.</w:t>
      </w:r>
    </w:p>
    <w:p>
      <w:r>
        <w:t>The recorded environment contains zero proposals because it has no real scored findings. Live checks proved access restrictions and empty-state behavior. Successful real proposal review, concurrent transitions and external verification still require actual records and an authorized target.</w:t>
      </w:r>
    </w:p>
    <w:p>
      <w:r>
        <w:br w:type="page"/>
      </w:r>
    </w:p>
    <w:p>
      <w:pPr>
        <w:pStyle w:val="Heading1"/>
      </w:pPr>
      <w:r>
        <w:t>10 Authentication Roles Credits and User Experience</w:t>
      </w:r>
    </w:p>
    <w:p>
      <w:r>
        <w:t>WebAuthn support requires user verification and discoverable credentials, with short-lived single-use challenges, RP/origin validation and credential/sign-count handling. Access tokens last 15 minutes and refresh tokens seven days, with rotation and replay-family controls. Recovery codes provide a fallback. The implementation stores public-key credential information rather than biometric images.</w:t>
      </w:r>
    </w:p>
    <w:p>
      <w:r>
        <w:t>Local biometrics and phone-mediated passkeys depend on the user's authenticator and browser. QR/Bluetooth pairing is performed by supported platform authenticator flows, not by an independently implemented application biometric system. Actual device enrollment and login were not demonstrated in the recorded checks. Optional face enrollment and liveness detection are not delivered.</w:t>
      </w:r>
    </w:p>
    <w:p>
      <w:r>
        <w:t>Self-registration captures account details and creates a Viewer without a team. Account/passkey management is available, while organizational access requires assignment. Administrative role/team fields cannot be supplied through registration. Contact email is unverified, and email-based recovery is not available.</w:t>
      </w:r>
    </w:p>
    <w:p>
      <w:r>
        <w:t>The administrator received one audited allocation of 1,000 local platform credits. Starter allocation is idempotent. The ledger denies runtime UPDATE, DELETE and TRUNCATE. Charging is disabled; these credits have no cash value. Metered debiting, quotas, transfers and paid billing are not implemented.</w:t>
      </w:r>
    </w:p>
    <w:p>
      <w:r>
        <w:t>Role controls include Super Admin, team administration, Red, Blue, Purple, White, Viewer and API Consumer concepts. Existing cross-team readers include Super Admin, Purple and White; team-bound access uses actual finding ownership. The latest specification requires further work on stricter Admin duties, Viewer export restrictions and the API Consumer bearer-key /api/v1 contract. Current API-key behavior uses scoped read access and a custom header.</w:t>
      </w:r>
    </w:p>
    <w:p>
      <w:r>
        <w:t>Dark+ styling was applied across tables, forms, dialogs, charts, account management and explanations. Seven calculated foreground/background pairs were at least 8.11:1. This is a limited contrast check, not WCAG certification. Production builds and HTTP page delivery passed, but browser rendering, keyboard/screen-reader behavior and mobile layout were not visually verified.</w:t>
      </w:r>
    </w:p>
    <w:p>
      <w:r>
        <w:t>The frontend will be rebuilt later under the latest user instruction. Existing UI code is retained for this reporting turn. Authentication APIs, evidence, migrations and governance services must remain available independently of that future deletion.</w:t>
      </w:r>
    </w:p>
    <w:p>
      <w:r>
        <w:br w:type="page"/>
      </w:r>
    </w:p>
    <w:p>
      <w:pPr>
        <w:pStyle w:val="Heading1"/>
      </w:pPr>
      <w:r>
        <w:t>11 Deployment Operations and Security</w:t>
      </w:r>
    </w:p>
    <w:p>
      <w:r>
        <w:t>The local deployment uses the dvirs-real Compose project. FastAPI, Celery workers and beat, PostgreSQL, Redis, Next.js and an Nginx gateway provide the application. Prometheus and Grafana provide local monitoring. The recorded main website is http://localhost:8088; Prometheus uses localhost:9090 and Grafana localhost:3001.</w:t>
      </w:r>
    </w:p>
    <w:p>
      <w:r>
        <w:t>The deployment distinguishes long-running services from initialization jobs. The last service review recorded API, gateway, database, Redis, workers, scheduler and monitoring as available. Secrets initialization, migration and ingestion jobs exited successfully; an exited initialization job is not necessarily a failed service.</w:t>
      </w:r>
    </w:p>
    <w:p>
      <w:r>
        <w:t>Backend hardening includes a non-root runtime identity, read-only filesystem, bounded temporary storage, dropped capabilities and no-new-privileges. Runtime application credentials are separated from the migration owner and bootstrap administrator secrets. The API database connection uses the restricted dvirs role. Administrator and database-owner password files were confirmed absent from the API runtime mount.</w:t>
      </w:r>
    </w:p>
    <w:p>
      <w:r>
        <w:t>The local gateway currently uses HTTP. TLS deployment, host/storage encryption, complete network segmentation, Vault, OIDC, pgAudit and read replicas are outstanding. Application-level append-only protections do not establish compliance certification or prove immutability against every privileged database operator. GDPR, HIPAA and SOC 2 remain readiness objectives rather than certifications.</w:t>
      </w:r>
    </w:p>
    <w:p>
      <w:r>
        <w:t>Prometheus reported the API target UP. Grafana reported database and datasource health OK and loaded a four-panel API health dashboard. GitHub Actions and deployment configuration are authored, but successful execution in GitHub or a cloud environment is not established by local builds. Dependency/security scan configuration is not equivalent to a completed current scan.</w:t>
      </w:r>
    </w:p>
    <w:p>
      <w:pPr>
        <w:pStyle w:val="Heading2"/>
      </w:pPr>
      <w:r>
        <w:t>Operational starting point</w:t>
      </w:r>
    </w:p>
    <w:p>
      <w:r>
        <w:t>Run Compose commands from dynamic-vulnerability-intelligence, which contains docker-compose.yml. The earlier error “no configuration file provided” occurred when commands were issued from the parent D-VIRS directory. Operators should inspect service state, migration status and feed jobs before interpreting empty dashboard data as failure.</w:t>
      </w:r>
    </w:p>
    <w:p>
      <w:r>
        <w:t>Preserve real database volumes, source evidence, model artifacts and secret volumes through any frontend removal. A backend-only Compose/gateway configuration must be verified before the current frontend dependency is removed. No production deployment, destructive data migration or new external remediation action is performed by this report.</w:t>
      </w:r>
    </w:p>
    <w:p>
      <w:r>
        <w:br w:type="page"/>
      </w:r>
    </w:p>
    <w:p>
      <w:pPr>
        <w:pStyle w:val="Heading1"/>
      </w:pPr>
      <w:r>
        <w:t>12 Validation Record and Remaining Acceptance</w:t>
      </w:r>
    </w:p>
    <w:p>
      <w:r>
        <w:t>The validation record contains increasing test coverage as the implementation evolved. These are separate checkpoints, not results to add together. The archived synthetic suite is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69"/>
      </w:tblGrid>
      <w:tr>
        <w:trPr>
          <w:cantSplit/>
          <w:tblHeader/>
        </w:trPr>
        <w:tc>
          <w:tcPr>
            <w:tcW w:type="dxa" w:w="2880"/>
            <w:vAlign w:val="center"/>
            <w:shd w:fill="E5EAF0"/>
            <w:tcMar>
              <w:top w:w="75" w:type="dxa"/>
              <w:bottom w:w="75" w:type="dxa"/>
              <w:left w:w="75" w:type="dxa"/>
              <w:right w:w="75" w:type="dxa"/>
            </w:tcMar>
          </w:tcPr>
          <w:p>
            <w:pPr>
              <w:spacing w:after="40" w:line="245" w:lineRule="auto"/>
            </w:pPr>
            <w:r>
              <w:rPr>
                <w:b/>
                <w:sz w:val="20"/>
              </w:rPr>
              <w:t>Checkpoint</w:t>
            </w:r>
          </w:p>
        </w:tc>
        <w:tc>
          <w:tcPr>
            <w:tcW w:type="dxa" w:w="6869"/>
            <w:vAlign w:val="center"/>
            <w:shd w:fill="E5EAF0"/>
            <w:tcMar>
              <w:top w:w="75" w:type="dxa"/>
              <w:bottom w:w="75" w:type="dxa"/>
              <w:left w:w="75" w:type="dxa"/>
              <w:right w:w="75" w:type="dxa"/>
            </w:tcMar>
          </w:tcPr>
          <w:p>
            <w:pPr>
              <w:spacing w:after="40" w:line="245" w:lineRule="auto"/>
            </w:pPr>
            <w:r>
              <w:rPr>
                <w:b/>
                <w:sz w:val="20"/>
              </w:rPr>
              <w:t>Recorded evidence</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Real-data baseline</w:t>
            </w:r>
          </w:p>
        </w:tc>
        <w:tc>
          <w:tcPr>
            <w:tcW w:type="dxa" w:w="6869"/>
            <w:vAlign w:val="center"/>
            <w:shd w:fill="FFFFFF"/>
            <w:tcMar>
              <w:top w:w="75" w:type="dxa"/>
              <w:bottom w:w="75" w:type="dxa"/>
              <w:left w:w="75" w:type="dxa"/>
              <w:right w:w="75" w:type="dxa"/>
            </w:tcMar>
          </w:tcPr>
          <w:p>
            <w:pPr>
              <w:spacing w:after="40" w:line="245" w:lineRule="auto"/>
            </w:pPr>
            <w:r>
              <w:rPr>
                <w:b w:val="0"/>
                <w:sz w:val="20"/>
              </w:rPr>
              <w:t>6 tests passed, 1 skipped; source/database checks and frontend build passed.</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Registration and credits</w:t>
            </w:r>
          </w:p>
        </w:tc>
        <w:tc>
          <w:tcPr>
            <w:tcW w:type="dxa" w:w="6869"/>
            <w:vAlign w:val="center"/>
            <w:shd w:fill="F5F6F8"/>
            <w:tcMar>
              <w:top w:w="75" w:type="dxa"/>
              <w:bottom w:w="75" w:type="dxa"/>
              <w:left w:w="75" w:type="dxa"/>
              <w:right w:w="75" w:type="dxa"/>
            </w:tcMar>
          </w:tcPr>
          <w:p>
            <w:pPr>
              <w:spacing w:after="40" w:line="245" w:lineRule="auto"/>
            </w:pPr>
            <w:r>
              <w:rPr>
                <w:b w:val="0"/>
                <w:sz w:val="20"/>
              </w:rPr>
              <w:t>Ledger allocation and immutability checked; account authorization and enrollment options checked.</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Administrator services</w:t>
            </w:r>
          </w:p>
        </w:tc>
        <w:tc>
          <w:tcPr>
            <w:tcW w:type="dxa" w:w="6869"/>
            <w:vAlign w:val="center"/>
            <w:shd w:fill="FFFFFF"/>
            <w:tcMar>
              <w:top w:w="75" w:type="dxa"/>
              <w:bottom w:w="75" w:type="dxa"/>
              <w:left w:w="75" w:type="dxa"/>
              <w:right w:w="75" w:type="dxa"/>
            </w:tcMar>
          </w:tcPr>
          <w:p>
            <w:pPr>
              <w:spacing w:after="40" w:line="245" w:lineRule="auto"/>
            </w:pPr>
            <w:r>
              <w:rPr>
                <w:b w:val="0"/>
                <w:sz w:val="20"/>
              </w:rPr>
              <w:t>Authenticated API reads, database, Redis, worker, event and monitoring checks succeeded.</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WebSocket authorization</w:t>
            </w:r>
          </w:p>
        </w:tc>
        <w:tc>
          <w:tcPr>
            <w:tcW w:type="dxa" w:w="6869"/>
            <w:vAlign w:val="center"/>
            <w:shd w:fill="F5F6F8"/>
            <w:tcMar>
              <w:top w:w="75" w:type="dxa"/>
              <w:bottom w:w="75" w:type="dxa"/>
              <w:left w:w="75" w:type="dxa"/>
              <w:right w:w="75" w:type="dxa"/>
            </w:tcMar>
          </w:tcPr>
          <w:p>
            <w:pPr>
              <w:spacing w:after="40" w:line="245" w:lineRule="auto"/>
            </w:pPr>
            <w:r>
              <w:rPr>
                <w:b w:val="0"/>
                <w:sz w:val="20"/>
              </w:rPr>
              <w:t>15 tests passed, 1 skipped; administrator connection and heartbeat verified.</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Governed proposals</w:t>
            </w:r>
          </w:p>
        </w:tc>
        <w:tc>
          <w:tcPr>
            <w:tcW w:type="dxa" w:w="6869"/>
            <w:vAlign w:val="center"/>
            <w:shd w:fill="FFFFFF"/>
            <w:tcMar>
              <w:top w:w="75" w:type="dxa"/>
              <w:bottom w:w="75" w:type="dxa"/>
              <w:left w:w="75" w:type="dxa"/>
              <w:right w:w="75" w:type="dxa"/>
            </w:tcMar>
          </w:tcPr>
          <w:p>
            <w:pPr>
              <w:spacing w:after="40" w:line="245" w:lineRule="auto"/>
            </w:pPr>
            <w:r>
              <w:rPr>
                <w:b w:val="0"/>
                <w:sz w:val="20"/>
              </w:rPr>
              <w:t>24 tests passed, 1 skipped in 1.30 seconds; build/TypeScript passed with 15 static pages.</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Latest agent increment</w:t>
            </w:r>
          </w:p>
        </w:tc>
        <w:tc>
          <w:tcPr>
            <w:tcW w:type="dxa" w:w="6869"/>
            <w:vAlign w:val="center"/>
            <w:shd w:fill="F5F6F8"/>
            <w:tcMar>
              <w:top w:w="75" w:type="dxa"/>
              <w:bottom w:w="75" w:type="dxa"/>
              <w:left w:w="75" w:type="dxa"/>
              <w:right w:w="75" w:type="dxa"/>
            </w:tcMar>
          </w:tcPr>
          <w:p>
            <w:pPr>
              <w:spacing w:after="40" w:line="245" w:lineRule="auto"/>
            </w:pPr>
            <w:r>
              <w:rPr>
                <w:b w:val="0"/>
                <w:sz w:val="20"/>
              </w:rPr>
              <w:t>Images built; five additional tests authored but not run; deployment pending.</w:t>
            </w:r>
          </w:p>
        </w:tc>
      </w:tr>
    </w:tbl>
    <w:p>
      <w:pPr>
        <w:spacing w:after="0"/>
      </w:pPr>
    </w:p>
    <w:p>
      <w:r>
        <w:t>An earlier source review identified that authenticated WebSocket subscribers could receive updates without per-message role/team filtering. That implementation gap was corrected. Current code drops unknown events, restricts global notices to allowlisted fields, reconstructs scores from authorized database records and rechecks sessions after blocking reads. Policy tests passed. Integration involving actual multi-team findings remains unverified because no such inventory exists.</w:t>
      </w:r>
    </w:p>
    <w:p>
      <w:r>
        <w:t>Recorded local sequential API checks varied across runs: one administrator review measured a median of 97.63 ms and a maximum of 128.27 ms over twelve reads. These observations are not concurrent load results, browser paint measurements or evidence that every interaction is sub-second. They must not be extrapolated to production scale.</w:t>
      </w:r>
    </w:p>
    <w:p>
      <w:r>
        <w:t>Live proposal checks returned 401 for unauthenticated reads, successful administrator list responses with execution disabled, denial of administrator proposal writes and HTTP 200 for the remediation page. No actual proposal was created merely to populate the interface.</w:t>
      </w:r>
    </w:p>
    <w:p>
      <w:r>
        <w:t>Acceptance still requires real asset-to-CVE matching, score freshness under changing inputs, scoped multi-team integration, proposal/review concurrency, event replay, agent failure recovery, real passkey hardware, rendered UI accessibility and an authorized verified remediation. The browser tool repeatedly reported no available browser, so HTTP delivery is the strongest recorded website evidence.</w:t>
      </w:r>
    </w:p>
    <w:p>
      <w:r>
        <w:t>No fresh live service audit is claimed by this document. The report preserves the distinction between historical observations and current untested code.</w:t>
      </w:r>
    </w:p>
    <w:p>
      <w:r>
        <w:br w:type="page"/>
      </w:r>
    </w:p>
    <w:p>
      <w:pPr>
        <w:pStyle w:val="Heading1"/>
      </w:pPr>
      <w:r>
        <w:t>13 Dataset Expansion and Research Boundaries</w:t>
      </w:r>
    </w:p>
    <w:p>
      <w:r>
        <w:t>The 34-entry catalog is a source-management inventory, not a claim that all datasets have been imported or used for training. Appendix A reproduces its current names, statuses and notes. All catalog training flags remain disabled. Official upstream ingestion can be useful even when a duplicate mirror is not imported.</w:t>
      </w:r>
    </w:p>
    <w:p>
      <w:r>
        <w:t>The broader user lists also included CVEfixes, Devign, Big-Vul, LineVul, CTI-Bench, malware corpora and traffic datasets. These address different tasks. Function vulnerability labels do not directly label exploitation of an enterprise CVE, and network attack scenarios do not automatically provide valid asset-level remediation outcomes. Such sources require separate task definitions and evaluation protocols.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30"/>
        <w:gridCol w:w="3830"/>
      </w:tblGrid>
      <w:tr>
        <w:trPr>
          <w:cantSplit/>
          <w:tblHeader/>
        </w:trPr>
        <w:tc>
          <w:tcPr>
            <w:tcW w:type="dxa" w:w="2088"/>
            <w:vAlign w:val="center"/>
            <w:shd w:fill="E5EAF0"/>
            <w:tcMar>
              <w:top w:w="75" w:type="dxa"/>
              <w:bottom w:w="75" w:type="dxa"/>
              <w:left w:w="75" w:type="dxa"/>
              <w:right w:w="75" w:type="dxa"/>
            </w:tcMar>
          </w:tcPr>
          <w:p>
            <w:pPr>
              <w:spacing w:after="40" w:line="245" w:lineRule="auto"/>
            </w:pPr>
            <w:r>
              <w:rPr>
                <w:b/>
                <w:sz w:val="20"/>
              </w:rPr>
              <w:t>Supplied release</w:t>
            </w:r>
          </w:p>
        </w:tc>
        <w:tc>
          <w:tcPr>
            <w:tcW w:type="dxa" w:w="3830"/>
            <w:vAlign w:val="center"/>
            <w:shd w:fill="E5EAF0"/>
            <w:tcMar>
              <w:top w:w="75" w:type="dxa"/>
              <w:bottom w:w="75" w:type="dxa"/>
              <w:left w:w="75" w:type="dxa"/>
              <w:right w:w="75" w:type="dxa"/>
            </w:tcMar>
          </w:tcPr>
          <w:p>
            <w:pPr>
              <w:spacing w:after="40" w:line="245" w:lineRule="auto"/>
            </w:pPr>
            <w:r>
              <w:rPr>
                <w:b/>
                <w:sz w:val="20"/>
              </w:rPr>
              <w:t>Verified metadata or access finding</w:t>
            </w:r>
          </w:p>
        </w:tc>
        <w:tc>
          <w:tcPr>
            <w:tcW w:type="dxa" w:w="3830"/>
            <w:vAlign w:val="center"/>
            <w:shd w:fill="E5EAF0"/>
            <w:tcMar>
              <w:top w:w="75" w:type="dxa"/>
              <w:bottom w:w="75" w:type="dxa"/>
              <w:left w:w="75" w:type="dxa"/>
              <w:right w:w="75" w:type="dxa"/>
            </w:tcMar>
          </w:tcPr>
          <w:p>
            <w:pPr>
              <w:spacing w:after="40" w:line="245" w:lineRule="auto"/>
            </w:pPr>
            <w:r>
              <w:rPr>
                <w:b/>
                <w:sz w:val="20"/>
              </w:rPr>
              <w:t>Import position</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COMISET 15375146</w:t>
            </w:r>
          </w:p>
        </w:tc>
        <w:tc>
          <w:tcPr>
            <w:tcW w:type="dxa" w:w="3830"/>
            <w:vAlign w:val="center"/>
            <w:shd w:fill="FFFFFF"/>
            <w:tcMar>
              <w:top w:w="75" w:type="dxa"/>
              <w:bottom w:w="75" w:type="dxa"/>
              <w:left w:w="75" w:type="dxa"/>
              <w:right w:w="75" w:type="dxa"/>
            </w:tcMar>
          </w:tcPr>
          <w:p>
            <w:pPr>
              <w:spacing w:after="40" w:line="245" w:lineRule="auto"/>
            </w:pPr>
            <w:r>
              <w:rPr>
                <w:b w:val="0"/>
                <w:sz w:val="20"/>
              </w:rPr>
              <w:t>About 36.614 GB compressed; lab and real-environment material distinguished.</w:t>
            </w:r>
          </w:p>
        </w:tc>
        <w:tc>
          <w:tcPr>
            <w:tcW w:type="dxa" w:w="3830"/>
            <w:vAlign w:val="center"/>
            <w:shd w:fill="FFFFFF"/>
            <w:tcMar>
              <w:top w:w="75" w:type="dxa"/>
              <w:bottom w:w="75" w:type="dxa"/>
              <w:left w:w="75" w:type="dxa"/>
              <w:right w:w="75" w:type="dxa"/>
            </w:tcMar>
          </w:tcPr>
          <w:p>
            <w:pPr>
              <w:spacing w:after="40" w:line="245" w:lineRule="auto"/>
            </w:pPr>
            <w:r>
              <w:rPr>
                <w:b w:val="0"/>
                <w:sz w:val="20"/>
              </w:rPr>
              <w:t>Metadata reviewed; bulk archives not imported.</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MABEL repository</w:t>
            </w:r>
          </w:p>
        </w:tc>
        <w:tc>
          <w:tcPr>
            <w:tcW w:type="dxa" w:w="3830"/>
            <w:vAlign w:val="center"/>
            <w:shd w:fill="F5F6F8"/>
            <w:tcMar>
              <w:top w:w="75" w:type="dxa"/>
              <w:bottom w:w="75" w:type="dxa"/>
              <w:left w:w="75" w:type="dxa"/>
              <w:right w:w="75" w:type="dxa"/>
            </w:tcMar>
          </w:tcPr>
          <w:p>
            <w:pPr>
              <w:spacing w:after="40" w:line="245" w:lineRule="auto"/>
            </w:pPr>
            <w:r>
              <w:rPr>
                <w:b w:val="0"/>
                <w:sz w:val="20"/>
              </w:rPr>
              <w:t>Repository identified; file-tree API failed twice.</w:t>
            </w:r>
          </w:p>
        </w:tc>
        <w:tc>
          <w:tcPr>
            <w:tcW w:type="dxa" w:w="3830"/>
            <w:vAlign w:val="center"/>
            <w:shd w:fill="F5F6F8"/>
            <w:tcMar>
              <w:top w:w="75" w:type="dxa"/>
              <w:bottom w:w="75" w:type="dxa"/>
              <w:left w:w="75" w:type="dxa"/>
              <w:right w:w="75" w:type="dxa"/>
            </w:tcMar>
          </w:tcPr>
          <w:p>
            <w:pPr>
              <w:spacing w:after="40" w:line="245" w:lineRule="auto"/>
            </w:pPr>
            <w:r>
              <w:rPr>
                <w:b w:val="0"/>
                <w:sz w:val="20"/>
              </w:rPr>
              <w:t>Complete release manifest not verified.</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HiGraph on Hugging Face</w:t>
            </w:r>
          </w:p>
        </w:tc>
        <w:tc>
          <w:tcPr>
            <w:tcW w:type="dxa" w:w="3830"/>
            <w:vAlign w:val="center"/>
            <w:shd w:fill="FFFFFF"/>
            <w:tcMar>
              <w:top w:w="75" w:type="dxa"/>
              <w:bottom w:w="75" w:type="dxa"/>
              <w:left w:w="75" w:type="dxa"/>
              <w:right w:w="75" w:type="dxa"/>
            </w:tcMar>
          </w:tcPr>
          <w:p>
            <w:pPr>
              <w:spacing w:after="40" w:line="245" w:lineRule="auto"/>
            </w:pPr>
            <w:r>
              <w:rPr>
                <w:b w:val="0"/>
                <w:sz w:val="20"/>
              </w:rPr>
              <w:t>Manifest captured; non-commercial share-alike license noted.</w:t>
            </w:r>
          </w:p>
        </w:tc>
        <w:tc>
          <w:tcPr>
            <w:tcW w:type="dxa" w:w="3830"/>
            <w:vAlign w:val="center"/>
            <w:shd w:fill="FFFFFF"/>
            <w:tcMar>
              <w:top w:w="75" w:type="dxa"/>
              <w:bottom w:w="75" w:type="dxa"/>
              <w:left w:w="75" w:type="dxa"/>
              <w:right w:w="75" w:type="dxa"/>
            </w:tcMar>
          </w:tcPr>
          <w:p>
            <w:pPr>
              <w:spacing w:after="40" w:line="245" w:lineRule="auto"/>
            </w:pPr>
            <w:r>
              <w:rPr>
                <w:b w:val="0"/>
                <w:sz w:val="20"/>
              </w:rPr>
              <w:t>Bulk graph corpus not imported.</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GeNIS 14919237</w:t>
            </w:r>
          </w:p>
        </w:tc>
        <w:tc>
          <w:tcPr>
            <w:tcW w:type="dxa" w:w="3830"/>
            <w:vAlign w:val="center"/>
            <w:shd w:fill="F5F6F8"/>
            <w:tcMar>
              <w:top w:w="75" w:type="dxa"/>
              <w:bottom w:w="75" w:type="dxa"/>
              <w:left w:w="75" w:type="dxa"/>
              <w:right w:w="75" w:type="dxa"/>
            </w:tcMar>
          </w:tcPr>
          <w:p>
            <w:pPr>
              <w:spacing w:after="40" w:line="245" w:lineRule="auto"/>
            </w:pPr>
            <w:r>
              <w:rPr>
                <w:b w:val="0"/>
                <w:sz w:val="20"/>
              </w:rPr>
              <w:t>About 2.501 GB, rather than the supplied 12.2 kB estimate; CyberRange simulation identified.</w:t>
            </w:r>
          </w:p>
        </w:tc>
        <w:tc>
          <w:tcPr>
            <w:tcW w:type="dxa" w:w="3830"/>
            <w:vAlign w:val="center"/>
            <w:shd w:fill="F5F6F8"/>
            <w:tcMar>
              <w:top w:w="75" w:type="dxa"/>
              <w:bottom w:w="75" w:type="dxa"/>
              <w:left w:w="75" w:type="dxa"/>
              <w:right w:w="75" w:type="dxa"/>
            </w:tcMar>
          </w:tcPr>
          <w:p>
            <w:pPr>
              <w:spacing w:after="40" w:line="245" w:lineRule="auto"/>
            </w:pPr>
            <w:r>
              <w:rPr>
                <w:b w:val="0"/>
                <w:sz w:val="20"/>
              </w:rPr>
              <w:t>Small information archive checked; real-only policy conflict remains.</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Wild SBOMs 17397281</w:t>
            </w:r>
          </w:p>
        </w:tc>
        <w:tc>
          <w:tcPr>
            <w:tcW w:type="dxa" w:w="3830"/>
            <w:vAlign w:val="center"/>
            <w:shd w:fill="FFFFFF"/>
            <w:tcMar>
              <w:top w:w="75" w:type="dxa"/>
              <w:bottom w:w="75" w:type="dxa"/>
              <w:left w:w="75" w:type="dxa"/>
              <w:right w:w="75" w:type="dxa"/>
            </w:tcMar>
          </w:tcPr>
          <w:p>
            <w:pPr>
              <w:spacing w:after="40" w:line="245" w:lineRule="auto"/>
            </w:pPr>
            <w:r>
              <w:rPr>
                <w:b w:val="0"/>
                <w:sz w:val="20"/>
              </w:rPr>
              <w:t>About 6.004 GB compressed; README verified.</w:t>
            </w:r>
          </w:p>
        </w:tc>
        <w:tc>
          <w:tcPr>
            <w:tcW w:type="dxa" w:w="3830"/>
            <w:vAlign w:val="center"/>
            <w:shd w:fill="FFFFFF"/>
            <w:tcMar>
              <w:top w:w="75" w:type="dxa"/>
              <w:bottom w:w="75" w:type="dxa"/>
              <w:left w:w="75" w:type="dxa"/>
              <w:right w:w="75" w:type="dxa"/>
            </w:tcMar>
          </w:tcPr>
          <w:p>
            <w:pPr>
              <w:spacing w:after="40" w:line="245" w:lineRule="auto"/>
            </w:pPr>
            <w:r>
              <w:rPr>
                <w:b w:val="0"/>
                <w:sz w:val="20"/>
              </w:rPr>
              <w:t>Metadata reviewed; full SBOM corpus not imported.</w:t>
            </w:r>
          </w:p>
        </w:tc>
      </w:tr>
    </w:tbl>
    <w:p>
      <w:pPr>
        <w:spacing w:after="0"/>
      </w:pPr>
    </w:p>
    <w:p>
      <w:r>
        <w:t>The user supplied release locations but did not establish a storage destination or disk budget for the large imports. A previously observed free-space figure is not a committed allocation. Compressed file size also understates extraction and processing requirements.</w:t>
      </w:r>
    </w:p>
    <w:p>
      <w:r>
        <w:t>The real-only rule excludes synthetic inventory and simulated training records unless the user explicitly changes that rule. Sources containing mixed material require filtering supported by provenance. Licenses, task fit, version identifiers, checksums and accessible artifacts must be confirmed before enabling training. None of the paper metrics supplied in prompts are treated as results produced by this project.</w:t>
      </w:r>
    </w:p>
    <w:p>
      <w:r>
        <w:t>Large dataset ingestion should follow the needs of the agents: authoritative vulnerability and package evidence, actual inventory, reviewable fix metadata and verified outcomes. Model architecture should follow the learning task and available labels rather than the size of a corpus.</w:t>
      </w:r>
    </w:p>
    <w:p>
      <w:r>
        <w:br w:type="page"/>
      </w:r>
    </w:p>
    <w:p>
      <w:pPr>
        <w:pStyle w:val="Heading1"/>
      </w:pPr>
      <w:r>
        <w:t>14 Revised Roadmap with Agents First</w:t>
      </w:r>
    </w:p>
    <w:p>
      <w:r>
        <w:t>The latest user instruction establishes the sequence: document the project now, complete the application agents next, remove the current frontend during the subsequent implementation work and rebuild it later. The following acceptance gates define that sequence without inventing deadlines or claiming that blocked model work is already complete.</w:t>
      </w:r>
    </w:p>
    <w:p>
      <w:pPr>
        <w:pStyle w:val="Heading2"/>
      </w:pPr>
      <w:r>
        <w:t>Stage 1 Establish the agent baseline</w:t>
      </w:r>
    </w:p>
    <w:p>
      <w:r>
        <w:t>Confirm the pending migration and images, deploy the deterministic coordinator, run the existing and new tests, and verify endpoint scope and empty-state behavior. Exercise replay and duplicate-event behavior using actual available evidence. Record deployment and test results in project memory. Do not create invented business records to simulate success.</w:t>
      </w:r>
    </w:p>
    <w:p>
      <w:pPr>
        <w:pStyle w:val="Heading2"/>
      </w:pPr>
      <w:r>
        <w:t>Stage 2 Complete agent contracts and governance</w:t>
      </w:r>
    </w:p>
    <w:p>
      <w:r>
        <w:t>Define typed inputs, outputs, errors, evidence references, policy versions, cancellation, retry limits and durable state transitions for all five agents. Migrate older remediation routes into the common governance boundary. Add execution-time approval and scope checks, explicit failure states and observable histories. Separate recommendations from authorizations.</w:t>
      </w:r>
    </w:p>
    <w:p>
      <w:pPr>
        <w:pStyle w:val="Heading2"/>
      </w:pPr>
      <w:r>
        <w:t>Stage 3 Remove frontend dependencies safely</w:t>
      </w:r>
    </w:p>
    <w:p>
      <w:r>
        <w:t>Remove current frontend source and build/deployment wiring only as part of the authorized follow-on implementation. First identify gateway routing, Compose dependencies, CI steps and documentation that depend on it. Preserve backend APIs, real evidence, volumes, secrets and migrations. Record the removal scope and verify a backend-only deployment. Any retained reference archive should be clearly separated from active application code.</w:t>
      </w:r>
    </w:p>
    <w:p>
      <w:pPr>
        <w:pStyle w:val="Heading2"/>
      </w:pPr>
      <w:r>
        <w:t>Stage 4 Add real intelligence to the agents</w:t>
      </w:r>
    </w:p>
    <w:p>
      <w:r>
        <w:t>Obtain actual asset inventory, package/SBOM identifiers and historical observations. Complete relevant OSV/package evidence integration and training data validation. Train and evaluate model candidates with temporal isolation. Add foundation-model or graph reasoning only after resource, license and quality gates are satisfied. Agent completion cannot be represented as model-backed autonomy until these dependencies are met.</w:t>
      </w:r>
    </w:p>
    <w:p>
      <w:pPr>
        <w:pStyle w:val="Heading2"/>
      </w:pPr>
      <w:r>
        <w:t>Stage 5 Prove controlled action and verification</w:t>
      </w:r>
    </w:p>
    <w:p>
      <w:r>
        <w:t>Configure an explicitly authorized CI/CD, IaC or management destination. Produce a dry-run change, independent approval, idempotent execution and rollback plan. Verification must consume signed or otherwise authenticated independent evidence. Demonstrate one actual governed remediation before enabling predefined low-risk autonomy.</w:t>
      </w:r>
    </w:p>
    <w:p>
      <w:pPr>
        <w:pStyle w:val="Heading2"/>
      </w:pPr>
      <w:r>
        <w:t>Stage 6 Rebuild the frontend from the accepted backend</w:t>
      </w:r>
    </w:p>
    <w:p>
      <w:r>
        <w:t>Design a new interface around tested agent contracts and actual operational needs. Restore account/passkey flows, role-specific queues, review decisions, evidence, agent histories and system health. Test browser behavior, accessibility, mobile layouts, live updates and performance against realistic workloads.</w:t>
      </w:r>
    </w:p>
    <w:p>
      <w:pPr>
        <w:pStyle w:val="Heading2"/>
      </w:pPr>
      <w:r>
        <w:t>Stage 7 Measure learning and production readiness</w:t>
      </w:r>
    </w:p>
    <w:p>
      <w:r>
        <w:t>Capture outcomes, monitor drift, evaluate retraining candidates and enforce promotion/rollback gates. Complete security deployment controls and operational recovery exercises. The original month-based roadmap remains a user-specified planning concept; it is not a verified project schedule or delivery commitment.</w:t>
      </w:r>
    </w:p>
    <w:p>
      <w:r>
        <w:br w:type="page"/>
      </w:r>
    </w:p>
    <w:p>
      <w:pPr>
        <w:pStyle w:val="Heading1"/>
      </w:pPr>
      <w:r>
        <w:t>15 Dependencies Risks and Success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30"/>
        <w:gridCol w:w="3830"/>
      </w:tblGrid>
      <w:tr>
        <w:trPr>
          <w:cantSplit/>
          <w:tblHeader/>
        </w:trPr>
        <w:tc>
          <w:tcPr>
            <w:tcW w:type="dxa" w:w="2088"/>
            <w:vAlign w:val="center"/>
            <w:shd w:fill="E5EAF0"/>
            <w:tcMar>
              <w:top w:w="75" w:type="dxa"/>
              <w:bottom w:w="75" w:type="dxa"/>
              <w:left w:w="75" w:type="dxa"/>
              <w:right w:w="75" w:type="dxa"/>
            </w:tcMar>
          </w:tcPr>
          <w:p>
            <w:pPr>
              <w:spacing w:after="40" w:line="245" w:lineRule="auto"/>
            </w:pPr>
            <w:r>
              <w:rPr>
                <w:b/>
                <w:sz w:val="20"/>
              </w:rPr>
              <w:t>Dependency or risk</w:t>
            </w:r>
          </w:p>
        </w:tc>
        <w:tc>
          <w:tcPr>
            <w:tcW w:type="dxa" w:w="3830"/>
            <w:vAlign w:val="center"/>
            <w:shd w:fill="E5EAF0"/>
            <w:tcMar>
              <w:top w:w="75" w:type="dxa"/>
              <w:bottom w:w="75" w:type="dxa"/>
              <w:left w:w="75" w:type="dxa"/>
              <w:right w:w="75" w:type="dxa"/>
            </w:tcMar>
          </w:tcPr>
          <w:p>
            <w:pPr>
              <w:spacing w:after="40" w:line="245" w:lineRule="auto"/>
            </w:pPr>
            <w:r>
              <w:rPr>
                <w:b/>
                <w:sz w:val="20"/>
              </w:rPr>
              <w:t>Consequence</w:t>
            </w:r>
          </w:p>
        </w:tc>
        <w:tc>
          <w:tcPr>
            <w:tcW w:type="dxa" w:w="3830"/>
            <w:vAlign w:val="center"/>
            <w:shd w:fill="E5EAF0"/>
            <w:tcMar>
              <w:top w:w="75" w:type="dxa"/>
              <w:bottom w:w="75" w:type="dxa"/>
              <w:left w:w="75" w:type="dxa"/>
              <w:right w:w="75" w:type="dxa"/>
            </w:tcMar>
          </w:tcPr>
          <w:p>
            <w:pPr>
              <w:spacing w:after="40" w:line="245" w:lineRule="auto"/>
            </w:pPr>
            <w:r>
              <w:rPr>
                <w:b/>
                <w:sz w:val="20"/>
              </w:rPr>
              <w:t>Required next evidence</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No organizational inventory</w:t>
            </w:r>
          </w:p>
        </w:tc>
        <w:tc>
          <w:tcPr>
            <w:tcW w:type="dxa" w:w="3830"/>
            <w:vAlign w:val="center"/>
            <w:shd w:fill="FFFFFF"/>
            <w:tcMar>
              <w:top w:w="75" w:type="dxa"/>
              <w:bottom w:w="75" w:type="dxa"/>
              <w:left w:w="75" w:type="dxa"/>
              <w:right w:w="75" w:type="dxa"/>
            </w:tcMar>
          </w:tcPr>
          <w:p>
            <w:pPr>
              <w:spacing w:after="40" w:line="245" w:lineRule="auto"/>
            </w:pPr>
            <w:r>
              <w:rPr>
                <w:b w:val="0"/>
                <w:sz w:val="20"/>
              </w:rPr>
              <w:t>No actual pair scoring or end-to-end finding workflow</w:t>
            </w:r>
          </w:p>
        </w:tc>
        <w:tc>
          <w:tcPr>
            <w:tcW w:type="dxa" w:w="3830"/>
            <w:vAlign w:val="center"/>
            <w:shd w:fill="FFFFFF"/>
            <w:tcMar>
              <w:top w:w="75" w:type="dxa"/>
              <w:bottom w:w="75" w:type="dxa"/>
              <w:left w:w="75" w:type="dxa"/>
              <w:right w:w="75" w:type="dxa"/>
            </w:tcMar>
          </w:tcPr>
          <w:p>
            <w:pPr>
              <w:spacing w:after="40" w:line="245" w:lineRule="auto"/>
            </w:pPr>
            <w:r>
              <w:rPr>
                <w:b w:val="0"/>
                <w:sz w:val="20"/>
              </w:rPr>
              <w:t>Authorized inventory with software, ownership and context.</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No historical outcome cohort</w:t>
            </w:r>
          </w:p>
        </w:tc>
        <w:tc>
          <w:tcPr>
            <w:tcW w:type="dxa" w:w="3830"/>
            <w:vAlign w:val="center"/>
            <w:shd w:fill="F5F6F8"/>
            <w:tcMar>
              <w:top w:w="75" w:type="dxa"/>
              <w:bottom w:w="75" w:type="dxa"/>
              <w:left w:w="75" w:type="dxa"/>
              <w:right w:w="75" w:type="dxa"/>
            </w:tcMar>
          </w:tcPr>
          <w:p>
            <w:pPr>
              <w:spacing w:after="40" w:line="245" w:lineRule="auto"/>
            </w:pPr>
            <w:r>
              <w:rPr>
                <w:b w:val="0"/>
                <w:sz w:val="20"/>
              </w:rPr>
              <w:t>Predictive accuracy cannot be established</w:t>
            </w:r>
          </w:p>
        </w:tc>
        <w:tc>
          <w:tcPr>
            <w:tcW w:type="dxa" w:w="3830"/>
            <w:vAlign w:val="center"/>
            <w:shd w:fill="F5F6F8"/>
            <w:tcMar>
              <w:top w:w="75" w:type="dxa"/>
              <w:bottom w:w="75" w:type="dxa"/>
              <w:left w:w="75" w:type="dxa"/>
              <w:right w:w="75" w:type="dxa"/>
            </w:tcMar>
          </w:tcPr>
          <w:p>
            <w:pPr>
              <w:spacing w:after="40" w:line="245" w:lineRule="auto"/>
            </w:pPr>
            <w:r>
              <w:rPr>
                <w:b w:val="0"/>
                <w:sz w:val="20"/>
              </w:rPr>
              <w:t>As-of features, outcome horizons and defensible labels.</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Agent migration pending</w:t>
            </w:r>
          </w:p>
        </w:tc>
        <w:tc>
          <w:tcPr>
            <w:tcW w:type="dxa" w:w="3830"/>
            <w:vAlign w:val="center"/>
            <w:shd w:fill="FFFFFF"/>
            <w:tcMar>
              <w:top w:w="75" w:type="dxa"/>
              <w:bottom w:w="75" w:type="dxa"/>
              <w:left w:w="75" w:type="dxa"/>
              <w:right w:w="75" w:type="dxa"/>
            </w:tcMar>
          </w:tcPr>
          <w:p>
            <w:pPr>
              <w:spacing w:after="40" w:line="245" w:lineRule="auto"/>
            </w:pPr>
            <w:r>
              <w:rPr>
                <w:b w:val="0"/>
                <w:sz w:val="20"/>
              </w:rPr>
              <w:t>Built code is not proven in the running stack</w:t>
            </w:r>
          </w:p>
        </w:tc>
        <w:tc>
          <w:tcPr>
            <w:tcW w:type="dxa" w:w="3830"/>
            <w:vAlign w:val="center"/>
            <w:shd w:fill="FFFFFF"/>
            <w:tcMar>
              <w:top w:w="75" w:type="dxa"/>
              <w:bottom w:w="75" w:type="dxa"/>
              <w:left w:w="75" w:type="dxa"/>
              <w:right w:w="75" w:type="dxa"/>
            </w:tcMar>
          </w:tcPr>
          <w:p>
            <w:pPr>
              <w:spacing w:after="40" w:line="245" w:lineRule="auto"/>
            </w:pPr>
            <w:r>
              <w:rPr>
                <w:b w:val="0"/>
                <w:sz w:val="20"/>
              </w:rPr>
              <w:t>Successful migration, regression and scoped runtime checks.</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No execution destination</w:t>
            </w:r>
          </w:p>
        </w:tc>
        <w:tc>
          <w:tcPr>
            <w:tcW w:type="dxa" w:w="3830"/>
            <w:vAlign w:val="center"/>
            <w:shd w:fill="F5F6F8"/>
            <w:tcMar>
              <w:top w:w="75" w:type="dxa"/>
              <w:bottom w:w="75" w:type="dxa"/>
              <w:left w:w="75" w:type="dxa"/>
              <w:right w:w="75" w:type="dxa"/>
            </w:tcMar>
          </w:tcPr>
          <w:p>
            <w:pPr>
              <w:spacing w:after="40" w:line="245" w:lineRule="auto"/>
            </w:pPr>
            <w:r>
              <w:rPr>
                <w:b w:val="0"/>
                <w:sz w:val="20"/>
              </w:rPr>
              <w:t>Approved plans cannot perform remediation</w:t>
            </w:r>
          </w:p>
        </w:tc>
        <w:tc>
          <w:tcPr>
            <w:tcW w:type="dxa" w:w="3830"/>
            <w:vAlign w:val="center"/>
            <w:shd w:fill="F5F6F8"/>
            <w:tcMar>
              <w:top w:w="75" w:type="dxa"/>
              <w:bottom w:w="75" w:type="dxa"/>
              <w:left w:w="75" w:type="dxa"/>
              <w:right w:w="75" w:type="dxa"/>
            </w:tcMar>
          </w:tcPr>
          <w:p>
            <w:pPr>
              <w:spacing w:after="40" w:line="245" w:lineRule="auto"/>
            </w:pPr>
            <w:r>
              <w:rPr>
                <w:b w:val="0"/>
                <w:sz w:val="20"/>
              </w:rPr>
              <w:t>Configured target, service identity, scope and rollback procedure.</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Causal assumptions untested</w:t>
            </w:r>
          </w:p>
        </w:tc>
        <w:tc>
          <w:tcPr>
            <w:tcW w:type="dxa" w:w="3830"/>
            <w:vAlign w:val="center"/>
            <w:shd w:fill="FFFFFF"/>
            <w:tcMar>
              <w:top w:w="75" w:type="dxa"/>
              <w:bottom w:w="75" w:type="dxa"/>
              <w:left w:w="75" w:type="dxa"/>
              <w:right w:w="75" w:type="dxa"/>
            </w:tcMar>
          </w:tcPr>
          <w:p>
            <w:pPr>
              <w:spacing w:after="40" w:line="245" w:lineRule="auto"/>
            </w:pPr>
            <w:r>
              <w:rPr>
                <w:b w:val="0"/>
                <w:sz w:val="20"/>
              </w:rPr>
              <w:t>Business-impact claims would be unsupported</w:t>
            </w:r>
          </w:p>
        </w:tc>
        <w:tc>
          <w:tcPr>
            <w:tcW w:type="dxa" w:w="3830"/>
            <w:vAlign w:val="center"/>
            <w:shd w:fill="FFFFFF"/>
            <w:tcMar>
              <w:top w:w="75" w:type="dxa"/>
              <w:bottom w:w="75" w:type="dxa"/>
              <w:left w:w="75" w:type="dxa"/>
              <w:right w:w="75" w:type="dxa"/>
            </w:tcMar>
          </w:tcPr>
          <w:p>
            <w:pPr>
              <w:spacing w:after="40" w:line="245" w:lineRule="auto"/>
            </w:pPr>
            <w:r>
              <w:rPr>
                <w:b w:val="0"/>
                <w:sz w:val="20"/>
              </w:rPr>
              <w:t>Structural model and real outcome validation.</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Dataset licensing and provenance</w:t>
            </w:r>
          </w:p>
        </w:tc>
        <w:tc>
          <w:tcPr>
            <w:tcW w:type="dxa" w:w="3830"/>
            <w:vAlign w:val="center"/>
            <w:shd w:fill="F5F6F8"/>
            <w:tcMar>
              <w:top w:w="75" w:type="dxa"/>
              <w:bottom w:w="75" w:type="dxa"/>
              <w:left w:w="75" w:type="dxa"/>
              <w:right w:w="75" w:type="dxa"/>
            </w:tcMar>
          </w:tcPr>
          <w:p>
            <w:pPr>
              <w:spacing w:after="40" w:line="245" w:lineRule="auto"/>
            </w:pPr>
            <w:r>
              <w:rPr>
                <w:b w:val="0"/>
                <w:sz w:val="20"/>
              </w:rPr>
              <w:t>Some corpora cannot enter the intended training task</w:t>
            </w:r>
          </w:p>
        </w:tc>
        <w:tc>
          <w:tcPr>
            <w:tcW w:type="dxa" w:w="3830"/>
            <w:vAlign w:val="center"/>
            <w:shd w:fill="F5F6F8"/>
            <w:tcMar>
              <w:top w:w="75" w:type="dxa"/>
              <w:bottom w:w="75" w:type="dxa"/>
              <w:left w:w="75" w:type="dxa"/>
              <w:right w:w="75" w:type="dxa"/>
            </w:tcMar>
          </w:tcPr>
          <w:p>
            <w:pPr>
              <w:spacing w:after="40" w:line="245" w:lineRule="auto"/>
            </w:pPr>
            <w:r>
              <w:rPr>
                <w:b w:val="0"/>
                <w:sz w:val="20"/>
              </w:rPr>
              <w:t>Versioned manifests, permitted use and record-level review.</w:t>
            </w:r>
          </w:p>
        </w:tc>
      </w:tr>
      <w:tr>
        <w:trPr>
          <w:cantSplit/>
        </w:trPr>
        <w:tc>
          <w:tcPr>
            <w:tcW w:type="dxa" w:w="2088"/>
            <w:vAlign w:val="center"/>
            <w:shd w:fill="FFFFFF"/>
            <w:tcMar>
              <w:top w:w="75" w:type="dxa"/>
              <w:bottom w:w="75" w:type="dxa"/>
              <w:left w:w="75" w:type="dxa"/>
              <w:right w:w="75" w:type="dxa"/>
            </w:tcMar>
          </w:tcPr>
          <w:p>
            <w:pPr>
              <w:spacing w:after="40" w:line="245" w:lineRule="auto"/>
            </w:pPr>
            <w:r>
              <w:rPr>
                <w:b w:val="0"/>
                <w:sz w:val="20"/>
              </w:rPr>
              <w:t>Frontend removal dependencies</w:t>
            </w:r>
          </w:p>
        </w:tc>
        <w:tc>
          <w:tcPr>
            <w:tcW w:type="dxa" w:w="3830"/>
            <w:vAlign w:val="center"/>
            <w:shd w:fill="FFFFFF"/>
            <w:tcMar>
              <w:top w:w="75" w:type="dxa"/>
              <w:bottom w:w="75" w:type="dxa"/>
              <w:left w:w="75" w:type="dxa"/>
              <w:right w:w="75" w:type="dxa"/>
            </w:tcMar>
          </w:tcPr>
          <w:p>
            <w:pPr>
              <w:spacing w:after="40" w:line="245" w:lineRule="auto"/>
            </w:pPr>
            <w:r>
              <w:rPr>
                <w:b w:val="0"/>
                <w:sz w:val="20"/>
              </w:rPr>
              <w:t>Gateway/build failures if wiring remains</w:t>
            </w:r>
          </w:p>
        </w:tc>
        <w:tc>
          <w:tcPr>
            <w:tcW w:type="dxa" w:w="3830"/>
            <w:vAlign w:val="center"/>
            <w:shd w:fill="FFFFFF"/>
            <w:tcMar>
              <w:top w:w="75" w:type="dxa"/>
              <w:bottom w:w="75" w:type="dxa"/>
              <w:left w:w="75" w:type="dxa"/>
              <w:right w:w="75" w:type="dxa"/>
            </w:tcMar>
          </w:tcPr>
          <w:p>
            <w:pPr>
              <w:spacing w:after="40" w:line="245" w:lineRule="auto"/>
            </w:pPr>
            <w:r>
              <w:rPr>
                <w:b w:val="0"/>
                <w:sz w:val="20"/>
              </w:rPr>
              <w:t>Backend-only Compose, routes and CI checks.</w:t>
            </w:r>
          </w:p>
        </w:tc>
      </w:tr>
      <w:tr>
        <w:trPr>
          <w:cantSplit/>
        </w:trPr>
        <w:tc>
          <w:tcPr>
            <w:tcW w:type="dxa" w:w="2088"/>
            <w:vAlign w:val="center"/>
            <w:shd w:fill="F5F6F8"/>
            <w:tcMar>
              <w:top w:w="75" w:type="dxa"/>
              <w:bottom w:w="75" w:type="dxa"/>
              <w:left w:w="75" w:type="dxa"/>
              <w:right w:w="75" w:type="dxa"/>
            </w:tcMar>
          </w:tcPr>
          <w:p>
            <w:pPr>
              <w:spacing w:after="40" w:line="245" w:lineRule="auto"/>
            </w:pPr>
            <w:r>
              <w:rPr>
                <w:b w:val="0"/>
                <w:sz w:val="20"/>
              </w:rPr>
              <w:t>Incomplete production controls</w:t>
            </w:r>
          </w:p>
        </w:tc>
        <w:tc>
          <w:tcPr>
            <w:tcW w:type="dxa" w:w="3830"/>
            <w:vAlign w:val="center"/>
            <w:shd w:fill="F5F6F8"/>
            <w:tcMar>
              <w:top w:w="75" w:type="dxa"/>
              <w:bottom w:w="75" w:type="dxa"/>
              <w:left w:w="75" w:type="dxa"/>
              <w:right w:w="75" w:type="dxa"/>
            </w:tcMar>
          </w:tcPr>
          <w:p>
            <w:pPr>
              <w:spacing w:after="40" w:line="245" w:lineRule="auto"/>
            </w:pPr>
            <w:r>
              <w:rPr>
                <w:b w:val="0"/>
                <w:sz w:val="20"/>
              </w:rPr>
              <w:t>Local success does not establish secure deployment</w:t>
            </w:r>
          </w:p>
        </w:tc>
        <w:tc>
          <w:tcPr>
            <w:tcW w:type="dxa" w:w="3830"/>
            <w:vAlign w:val="center"/>
            <w:shd w:fill="F5F6F8"/>
            <w:tcMar>
              <w:top w:w="75" w:type="dxa"/>
              <w:bottom w:w="75" w:type="dxa"/>
              <w:left w:w="75" w:type="dxa"/>
              <w:right w:w="75" w:type="dxa"/>
            </w:tcMar>
          </w:tcPr>
          <w:p>
            <w:pPr>
              <w:spacing w:after="40" w:line="245" w:lineRule="auto"/>
            </w:pPr>
            <w:r>
              <w:rPr>
                <w:b w:val="0"/>
                <w:sz w:val="20"/>
              </w:rPr>
              <w:t>TLS, secret policy, isolation, audit and recovery evidence.</w:t>
            </w:r>
          </w:p>
        </w:tc>
      </w:tr>
    </w:tbl>
    <w:p>
      <w:pPr>
        <w:spacing w:after="0"/>
      </w:pPr>
    </w:p>
    <w:p>
      <w:r>
        <w:t>The ACID prompt defines ambitious outcome targets: more than 60% autonomous remediation for P2/P3, mean time to autonomously remediate below 15 minutes, causal impact accuracy above 85%, escalation below 20%, rollback below 5%, ranking correlation above 0.7 and workload reduction above 50%. None has been measured for this platform. Denominators, eligible actions, observation windows and outcome definitions must be agreed before reporting achievement.</w:t>
      </w:r>
    </w:p>
    <w:p>
      <w:r>
        <w:t>Human approval remains the initial action policy. Any eventual P2/P3 autonomy must be limited to predefined playbooks and authorized scope. P0/P1 and production review requirements must remain enforced by the governance layer rather than by model instructions alone.</w:t>
      </w:r>
    </w:p>
    <w:p>
      <w:r>
        <w:t>The defensive boundary remains unchanged: no exploit generation, payloads, malware creation, unauthorized scanning or attack simulation. Public exploit references are intelligence signals. Red and Purple roles use them for defensive prioritization and coverage analysis, not offensive execution.</w:t>
      </w:r>
    </w:p>
    <w:p>
      <w:r>
        <w:t>Project continuity is maintained in docs/PROJECT_MEMORY.md and the preserved acid-user-specification.txt. This is a workspace handoff mechanism, not a guarantee of assistant memory outside the repository. The latest instruction and the pending agent deployment must remain visible to the next implementation session.</w:t>
      </w:r>
    </w:p>
    <w:p>
      <w:r>
        <w:br w:type="page"/>
      </w:r>
    </w:p>
    <w:p>
      <w:pPr>
        <w:pStyle w:val="Heading1"/>
      </w:pPr>
      <w:r>
        <w:t>16 Evidence Register and Document Control</w:t>
      </w:r>
    </w:p>
    <w:p>
      <w:r>
        <w:t>This report uses project records as its evidence base. It does not independently validate every external publication or dataset claim included in earlier prompts. Original specifications are retained for exact requirements; implementation and validation records describe what has actually been done.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69"/>
      </w:tblGrid>
      <w:tr>
        <w:trPr>
          <w:cantSplit/>
          <w:tblHeader/>
        </w:trPr>
        <w:tc>
          <w:tcPr>
            <w:tcW w:type="dxa" w:w="2880"/>
            <w:vAlign w:val="center"/>
            <w:shd w:fill="E5EAF0"/>
            <w:tcMar>
              <w:top w:w="75" w:type="dxa"/>
              <w:bottom w:w="75" w:type="dxa"/>
              <w:left w:w="75" w:type="dxa"/>
              <w:right w:w="75" w:type="dxa"/>
            </w:tcMar>
          </w:tcPr>
          <w:p>
            <w:pPr>
              <w:spacing w:after="40" w:line="245" w:lineRule="auto"/>
            </w:pPr>
            <w:r>
              <w:rPr>
                <w:b/>
                <w:sz w:val="20"/>
              </w:rPr>
              <w:t>Workspace record</w:t>
            </w:r>
          </w:p>
        </w:tc>
        <w:tc>
          <w:tcPr>
            <w:tcW w:type="dxa" w:w="6869"/>
            <w:vAlign w:val="center"/>
            <w:shd w:fill="E5EAF0"/>
            <w:tcMar>
              <w:top w:w="75" w:type="dxa"/>
              <w:bottom w:w="75" w:type="dxa"/>
              <w:left w:w="75" w:type="dxa"/>
              <w:right w:w="75" w:type="dxa"/>
            </w:tcMar>
          </w:tcPr>
          <w:p>
            <w:pPr>
              <w:spacing w:after="40" w:line="245" w:lineRule="auto"/>
            </w:pPr>
            <w:r>
              <w:rPr>
                <w:b/>
                <w:sz w:val="20"/>
              </w:rPr>
              <w:t>Purpose</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docs/acid-user-specification.txt</w:t>
            </w:r>
          </w:p>
        </w:tc>
        <w:tc>
          <w:tcPr>
            <w:tcW w:type="dxa" w:w="6869"/>
            <w:vAlign w:val="center"/>
            <w:shd w:fill="FFFFFF"/>
            <w:tcMar>
              <w:top w:w="75" w:type="dxa"/>
              <w:bottom w:w="75" w:type="dxa"/>
              <w:left w:w="75" w:type="dxa"/>
              <w:right w:w="75" w:type="dxa"/>
            </w:tcMar>
          </w:tcPr>
          <w:p>
            <w:pPr>
              <w:spacing w:after="40" w:line="245" w:lineRule="auto"/>
            </w:pPr>
            <w:r>
              <w:rPr>
                <w:b w:val="0"/>
                <w:sz w:val="20"/>
              </w:rPr>
              <w:t>Preserved authoritative ACID prompt.</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docs/PROJECT_MEMORY.md</w:t>
            </w:r>
          </w:p>
        </w:tc>
        <w:tc>
          <w:tcPr>
            <w:tcW w:type="dxa" w:w="6869"/>
            <w:vAlign w:val="center"/>
            <w:shd w:fill="F5F6F8"/>
            <w:tcMar>
              <w:top w:w="75" w:type="dxa"/>
              <w:bottom w:w="75" w:type="dxa"/>
              <w:left w:w="75" w:type="dxa"/>
              <w:right w:w="75" w:type="dxa"/>
            </w:tcMar>
          </w:tcPr>
          <w:p>
            <w:pPr>
              <w:spacing w:after="40" w:line="245" w:lineRule="auto"/>
            </w:pPr>
            <w:r>
              <w:rPr>
                <w:b w:val="0"/>
                <w:sz w:val="20"/>
              </w:rPr>
              <w:t>Current implementation handoff and latest user direction.</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docs/acid-implementation.md</w:t>
            </w:r>
          </w:p>
        </w:tc>
        <w:tc>
          <w:tcPr>
            <w:tcW w:type="dxa" w:w="6869"/>
            <w:vAlign w:val="center"/>
            <w:shd w:fill="FFFFFF"/>
            <w:tcMar>
              <w:top w:w="75" w:type="dxa"/>
              <w:bottom w:w="75" w:type="dxa"/>
              <w:left w:w="75" w:type="dxa"/>
              <w:right w:w="75" w:type="dxa"/>
            </w:tcMar>
          </w:tcPr>
          <w:p>
            <w:pPr>
              <w:spacing w:after="40" w:line="245" w:lineRule="auto"/>
            </w:pPr>
            <w:r>
              <w:rPr>
                <w:b w:val="0"/>
                <w:sz w:val="20"/>
              </w:rPr>
              <w:t>ACID stages, boundaries, proposal policy and agent interpretation.</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docs/validation.md</w:t>
            </w:r>
          </w:p>
        </w:tc>
        <w:tc>
          <w:tcPr>
            <w:tcW w:type="dxa" w:w="6869"/>
            <w:vAlign w:val="center"/>
            <w:shd w:fill="F5F6F8"/>
            <w:tcMar>
              <w:top w:w="75" w:type="dxa"/>
              <w:bottom w:w="75" w:type="dxa"/>
              <w:left w:w="75" w:type="dxa"/>
              <w:right w:w="75" w:type="dxa"/>
            </w:tcMar>
          </w:tcPr>
          <w:p>
            <w:pPr>
              <w:spacing w:after="40" w:line="245" w:lineRule="auto"/>
            </w:pPr>
            <w:r>
              <w:rPr>
                <w:b w:val="0"/>
                <w:sz w:val="20"/>
              </w:rPr>
              <w:t>Observed tests, service checks and limitations.</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docs/data-evaluation.md</w:t>
            </w:r>
          </w:p>
        </w:tc>
        <w:tc>
          <w:tcPr>
            <w:tcW w:type="dxa" w:w="6869"/>
            <w:vAlign w:val="center"/>
            <w:shd w:fill="FFFFFF"/>
            <w:tcMar>
              <w:top w:w="75" w:type="dxa"/>
              <w:bottom w:w="75" w:type="dxa"/>
              <w:left w:w="75" w:type="dxa"/>
              <w:right w:w="75" w:type="dxa"/>
            </w:tcMar>
          </w:tcPr>
          <w:p>
            <w:pPr>
              <w:spacing w:after="40" w:line="245" w:lineRule="auto"/>
            </w:pPr>
            <w:r>
              <w:rPr>
                <w:b w:val="0"/>
                <w:sz w:val="20"/>
              </w:rPr>
              <w:t>Evaluation methodology, coverage and interpretation.</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docs/catalog-benchmark.json</w:t>
            </w:r>
          </w:p>
        </w:tc>
        <w:tc>
          <w:tcPr>
            <w:tcW w:type="dxa" w:w="6869"/>
            <w:vAlign w:val="center"/>
            <w:shd w:fill="F5F6F8"/>
            <w:tcMar>
              <w:top w:w="75" w:type="dxa"/>
              <w:bottom w:w="75" w:type="dxa"/>
              <w:left w:w="75" w:type="dxa"/>
              <w:right w:w="75" w:type="dxa"/>
            </w:tcMar>
          </w:tcPr>
          <w:p>
            <w:pPr>
              <w:spacing w:after="40" w:line="245" w:lineRule="auto"/>
            </w:pPr>
            <w:r>
              <w:rPr>
                <w:b w:val="0"/>
                <w:sz w:val="20"/>
              </w:rPr>
              <w:t>Current-catalog descriptive metrics and input checksum.</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docs/catalog-benchmark-before-backfill.json</w:t>
            </w:r>
          </w:p>
        </w:tc>
        <w:tc>
          <w:tcPr>
            <w:tcW w:type="dxa" w:w="6869"/>
            <w:vAlign w:val="center"/>
            <w:shd w:fill="FFFFFF"/>
            <w:tcMar>
              <w:top w:w="75" w:type="dxa"/>
              <w:bottom w:w="75" w:type="dxa"/>
              <w:left w:w="75" w:type="dxa"/>
              <w:right w:w="75" w:type="dxa"/>
            </w:tcMar>
          </w:tcPr>
          <w:p>
            <w:pPr>
              <w:spacing w:after="40" w:line="245" w:lineRule="auto"/>
            </w:pPr>
            <w:r>
              <w:rPr>
                <w:b w:val="0"/>
                <w:sz w:val="20"/>
              </w:rPr>
              <w:t>Earlier cohort retained for comparison with limitations.</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docs/dataset-integrations.md</w:t>
            </w:r>
          </w:p>
        </w:tc>
        <w:tc>
          <w:tcPr>
            <w:tcW w:type="dxa" w:w="6869"/>
            <w:vAlign w:val="center"/>
            <w:shd w:fill="F5F6F8"/>
            <w:tcMar>
              <w:top w:w="75" w:type="dxa"/>
              <w:bottom w:w="75" w:type="dxa"/>
              <w:left w:w="75" w:type="dxa"/>
              <w:right w:w="75" w:type="dxa"/>
            </w:tcMar>
          </w:tcPr>
          <w:p>
            <w:pPr>
              <w:spacing w:after="40" w:line="245" w:lineRule="auto"/>
            </w:pPr>
            <w:r>
              <w:rPr>
                <w:b w:val="0"/>
                <w:sz w:val="20"/>
              </w:rPr>
              <w:t>Source integration and release metadata status.</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backend/app/services/dataset_catalog.json</w:t>
            </w:r>
          </w:p>
        </w:tc>
        <w:tc>
          <w:tcPr>
            <w:tcW w:type="dxa" w:w="6869"/>
            <w:vAlign w:val="center"/>
            <w:shd w:fill="FFFFFF"/>
            <w:tcMar>
              <w:top w:w="75" w:type="dxa"/>
              <w:bottom w:w="75" w:type="dxa"/>
              <w:left w:w="75" w:type="dxa"/>
              <w:right w:w="75" w:type="dxa"/>
            </w:tcMar>
          </w:tcPr>
          <w:p>
            <w:pPr>
              <w:spacing w:after="40" w:line="245" w:lineRule="auto"/>
            </w:pPr>
            <w:r>
              <w:rPr>
                <w:b w:val="0"/>
                <w:sz w:val="20"/>
              </w:rPr>
              <w:t>Machine-readable 34-entry source catalog.</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docs/scoring_methodology.md</w:t>
            </w:r>
          </w:p>
        </w:tc>
        <w:tc>
          <w:tcPr>
            <w:tcW w:type="dxa" w:w="6869"/>
            <w:vAlign w:val="center"/>
            <w:shd w:fill="F5F6F8"/>
            <w:tcMar>
              <w:top w:w="75" w:type="dxa"/>
              <w:bottom w:w="75" w:type="dxa"/>
              <w:left w:w="75" w:type="dxa"/>
              <w:right w:w="75" w:type="dxa"/>
            </w:tcMar>
          </w:tcPr>
          <w:p>
            <w:pPr>
              <w:spacing w:after="40" w:line="245" w:lineRule="auto"/>
            </w:pPr>
            <w:r>
              <w:rPr>
                <w:b w:val="0"/>
                <w:sz w:val="20"/>
              </w:rPr>
              <w:t>Current KRI, context, attribution and priority policy.</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docs/architecture.md and docs/integrations.md</w:t>
            </w:r>
          </w:p>
        </w:tc>
        <w:tc>
          <w:tcPr>
            <w:tcW w:type="dxa" w:w="6869"/>
            <w:vAlign w:val="center"/>
            <w:shd w:fill="FFFFFF"/>
            <w:tcMar>
              <w:top w:w="75" w:type="dxa"/>
              <w:bottom w:w="75" w:type="dxa"/>
              <w:left w:w="75" w:type="dxa"/>
              <w:right w:w="75" w:type="dxa"/>
            </w:tcMar>
          </w:tcPr>
          <w:p>
            <w:pPr>
              <w:spacing w:after="40" w:line="245" w:lineRule="auto"/>
            </w:pPr>
            <w:r>
              <w:rPr>
                <w:b w:val="0"/>
                <w:sz w:val="20"/>
              </w:rPr>
              <w:t>Component design and integration guidance.</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docker-compose.yml and deployment</w:t>
            </w:r>
          </w:p>
        </w:tc>
        <w:tc>
          <w:tcPr>
            <w:tcW w:type="dxa" w:w="6869"/>
            <w:vAlign w:val="center"/>
            <w:shd w:fill="F5F6F8"/>
            <w:tcMar>
              <w:top w:w="75" w:type="dxa"/>
              <w:bottom w:w="75" w:type="dxa"/>
              <w:left w:w="75" w:type="dxa"/>
              <w:right w:w="75" w:type="dxa"/>
            </w:tcMar>
          </w:tcPr>
          <w:p>
            <w:pPr>
              <w:spacing w:after="40" w:line="245" w:lineRule="auto"/>
            </w:pPr>
            <w:r>
              <w:rPr>
                <w:b w:val="0"/>
                <w:sz w:val="20"/>
              </w:rPr>
              <w:t>Local service topology and deployment configuration.</w:t>
            </w:r>
          </w:p>
        </w:tc>
      </w:tr>
      <w:tr>
        <w:trPr>
          <w:cantSplit/>
        </w:trPr>
        <w:tc>
          <w:tcPr>
            <w:tcW w:type="dxa" w:w="2880"/>
            <w:vAlign w:val="center"/>
            <w:shd w:fill="FFFFFF"/>
            <w:tcMar>
              <w:top w:w="75" w:type="dxa"/>
              <w:bottom w:w="75" w:type="dxa"/>
              <w:left w:w="75" w:type="dxa"/>
              <w:right w:w="75" w:type="dxa"/>
            </w:tcMar>
          </w:tcPr>
          <w:p>
            <w:pPr>
              <w:spacing w:after="40" w:line="245" w:lineRule="auto"/>
            </w:pPr>
            <w:r>
              <w:rPr>
                <w:b w:val="0"/>
                <w:sz w:val="20"/>
              </w:rPr>
              <w:t>backend/app/services/agents.py</w:t>
            </w:r>
          </w:p>
        </w:tc>
        <w:tc>
          <w:tcPr>
            <w:tcW w:type="dxa" w:w="6869"/>
            <w:vAlign w:val="center"/>
            <w:shd w:fill="FFFFFF"/>
            <w:tcMar>
              <w:top w:w="75" w:type="dxa"/>
              <w:bottom w:w="75" w:type="dxa"/>
              <w:left w:w="75" w:type="dxa"/>
              <w:right w:w="75" w:type="dxa"/>
            </w:tcMar>
          </w:tcPr>
          <w:p>
            <w:pPr>
              <w:spacing w:after="40" w:line="245" w:lineRule="auto"/>
            </w:pPr>
            <w:r>
              <w:rPr>
                <w:b w:val="0"/>
                <w:sz w:val="20"/>
              </w:rPr>
              <w:t>Latest deterministic agent coordinator.</w:t>
            </w:r>
          </w:p>
        </w:tc>
      </w:tr>
      <w:tr>
        <w:trPr>
          <w:cantSplit/>
        </w:trPr>
        <w:tc>
          <w:tcPr>
            <w:tcW w:type="dxa" w:w="2880"/>
            <w:vAlign w:val="center"/>
            <w:shd w:fill="F5F6F8"/>
            <w:tcMar>
              <w:top w:w="75" w:type="dxa"/>
              <w:bottom w:w="75" w:type="dxa"/>
              <w:left w:w="75" w:type="dxa"/>
              <w:right w:w="75" w:type="dxa"/>
            </w:tcMar>
          </w:tcPr>
          <w:p>
            <w:pPr>
              <w:spacing w:after="40" w:line="245" w:lineRule="auto"/>
            </w:pPr>
            <w:r>
              <w:rPr>
                <w:b w:val="0"/>
                <w:sz w:val="20"/>
              </w:rPr>
              <w:t>backend/app/api/remediation.py</w:t>
            </w:r>
          </w:p>
        </w:tc>
        <w:tc>
          <w:tcPr>
            <w:tcW w:type="dxa" w:w="6869"/>
            <w:vAlign w:val="center"/>
            <w:shd w:fill="F5F6F8"/>
            <w:tcMar>
              <w:top w:w="75" w:type="dxa"/>
              <w:bottom w:w="75" w:type="dxa"/>
              <w:left w:w="75" w:type="dxa"/>
              <w:right w:w="75" w:type="dxa"/>
            </w:tcMar>
          </w:tcPr>
          <w:p>
            <w:pPr>
              <w:spacing w:after="40" w:line="245" w:lineRule="auto"/>
            </w:pPr>
            <w:r>
              <w:rPr>
                <w:b w:val="0"/>
                <w:sz w:val="20"/>
              </w:rPr>
              <w:t>Proposal/review and scoped agent-history APIs.</w:t>
            </w:r>
          </w:p>
        </w:tc>
      </w:tr>
    </w:tbl>
    <w:p>
      <w:pPr>
        <w:spacing w:after="0"/>
      </w:pPr>
    </w:p>
    <w:p>
      <w:r>
        <w:t>Source conflicts are resolved conservatively: later explicit user requirements supersede older scope; stored measured results are distinguished from targets; built code is distinguished from deployed and tested code. The previously unresolved WebSocket issue is recorded as corrected, while its remaining real multi-team integration gap is retained.</w:t>
      </w:r>
    </w:p>
    <w:p>
      <w:r>
        <w:t>This version is a project progress baseline dated 15 September 2026. Subsequent implementation should update the report or publish a new version with actual migration, test, model and remediation evidence. No credentials are included, and the report does not authorize a new external target or change the project's defensive boundaries.</w:t>
      </w:r>
    </w:p>
    <w:p>
      <w:r>
        <w:br w:type="page"/>
      </w:r>
    </w:p>
    <w:p>
      <w:pPr>
        <w:pStyle w:val="Heading1"/>
      </w:pPr>
      <w:r>
        <w:t>Appendix A Dataset Catalog</w:t>
      </w:r>
    </w:p>
    <w:p>
      <w:r>
        <w:t>Records 1 to 9 of 34. Status names are copied from the source catalog. Training is disabled for every entry at this checkpoint. Registration alone does not establish ingestion or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429"/>
      </w:tblGrid>
      <w:tr>
        <w:trPr>
          <w:cantSplit/>
          <w:tblHeader/>
        </w:trPr>
        <w:tc>
          <w:tcPr>
            <w:tcW w:type="dxa" w:w="2376"/>
            <w:vAlign w:val="center"/>
            <w:shd w:fill="E5EAF0"/>
            <w:tcMar>
              <w:top w:w="75" w:type="dxa"/>
              <w:bottom w:w="75" w:type="dxa"/>
              <w:left w:w="75" w:type="dxa"/>
              <w:right w:w="75" w:type="dxa"/>
            </w:tcMar>
          </w:tcPr>
          <w:p>
            <w:pPr>
              <w:spacing w:after="40" w:line="245" w:lineRule="auto"/>
            </w:pPr>
            <w:r>
              <w:rPr>
                <w:b/>
                <w:sz w:val="20"/>
              </w:rPr>
              <w:t>Dataset</w:t>
            </w:r>
          </w:p>
        </w:tc>
        <w:tc>
          <w:tcPr>
            <w:tcW w:type="dxa" w:w="1944"/>
            <w:vAlign w:val="center"/>
            <w:shd w:fill="E5EAF0"/>
            <w:tcMar>
              <w:top w:w="75" w:type="dxa"/>
              <w:bottom w:w="75" w:type="dxa"/>
              <w:left w:w="75" w:type="dxa"/>
              <w:right w:w="75" w:type="dxa"/>
            </w:tcMar>
          </w:tcPr>
          <w:p>
            <w:pPr>
              <w:spacing w:after="40" w:line="245" w:lineRule="auto"/>
            </w:pPr>
            <w:r>
              <w:rPr>
                <w:b/>
                <w:sz w:val="20"/>
              </w:rPr>
              <w:t>Recorded status</w:t>
            </w:r>
          </w:p>
        </w:tc>
        <w:tc>
          <w:tcPr>
            <w:tcW w:type="dxa" w:w="5429"/>
            <w:vAlign w:val="center"/>
            <w:shd w:fill="E5EAF0"/>
            <w:tcMar>
              <w:top w:w="75" w:type="dxa"/>
              <w:bottom w:w="75" w:type="dxa"/>
              <w:left w:w="75" w:type="dxa"/>
              <w:right w:w="75" w:type="dxa"/>
            </w:tcMar>
          </w:tcPr>
          <w:p>
            <w:pPr>
              <w:spacing w:after="40" w:line="245" w:lineRule="auto"/>
            </w:pPr>
            <w:r>
              <w:rPr>
                <w:b/>
                <w:sz w:val="20"/>
              </w:rPr>
              <w:t>Integration note</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Cybersecurity Master Dataset</w:t>
            </w:r>
          </w:p>
        </w:tc>
        <w:tc>
          <w:tcPr>
            <w:tcW w:type="dxa" w:w="1944"/>
            <w:vAlign w:val="center"/>
            <w:shd w:fill="FFFFFF"/>
            <w:tcMar>
              <w:top w:w="75" w:type="dxa"/>
              <w:bottom w:w="75" w:type="dxa"/>
              <w:left w:w="75" w:type="dxa"/>
              <w:right w:w="75" w:type="dxa"/>
            </w:tcMar>
          </w:tcPr>
          <w:p>
            <w:pPr>
              <w:spacing w:after="40" w:line="245" w:lineRule="auto"/>
            </w:pPr>
            <w:r>
              <w:rPr>
                <w:b w:val="0"/>
                <w:sz w:val="20"/>
              </w:rPr>
              <w:t>review required</w:t>
            </w:r>
          </w:p>
        </w:tc>
        <w:tc>
          <w:tcPr>
            <w:tcW w:type="dxa" w:w="5429"/>
            <w:vAlign w:val="center"/>
            <w:shd w:fill="FFFFFF"/>
            <w:tcMar>
              <w:top w:w="75" w:type="dxa"/>
              <w:bottom w:w="75" w:type="dxa"/>
              <w:left w:w="75" w:type="dxa"/>
              <w:right w:w="75" w:type="dxa"/>
            </w:tcMar>
          </w:tcPr>
          <w:p>
            <w:pPr>
              <w:spacing w:after="40" w:line="245" w:lineRule="auto"/>
            </w:pPr>
            <w:r>
              <w:rPr>
                <w:b w:val="0"/>
                <w:sz w:val="20"/>
              </w:rPr>
              <w:t>Conversational transformation of upstream sources; verify row-level provenance before any training.</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NVD Cybersecurity (Kaggle)</w:t>
            </w:r>
          </w:p>
        </w:tc>
        <w:tc>
          <w:tcPr>
            <w:tcW w:type="dxa" w:w="1944"/>
            <w:vAlign w:val="center"/>
            <w:shd w:fill="F5F6F8"/>
            <w:tcMar>
              <w:top w:w="75" w:type="dxa"/>
              <w:bottom w:w="75" w:type="dxa"/>
              <w:left w:w="75" w:type="dxa"/>
              <w:right w:w="75" w:type="dxa"/>
            </w:tcMar>
          </w:tcPr>
          <w:p>
            <w:pPr>
              <w:spacing w:after="40" w:line="245" w:lineRule="auto"/>
            </w:pPr>
            <w:r>
              <w:rPr>
                <w:b w:val="0"/>
                <w:sz w:val="20"/>
              </w:rPr>
              <w:t>upstream used</w:t>
            </w:r>
          </w:p>
        </w:tc>
        <w:tc>
          <w:tcPr>
            <w:tcW w:type="dxa" w:w="5429"/>
            <w:vAlign w:val="center"/>
            <w:shd w:fill="F5F6F8"/>
            <w:tcMar>
              <w:top w:w="75" w:type="dxa"/>
              <w:bottom w:w="75" w:type="dxa"/>
              <w:left w:w="75" w:type="dxa"/>
              <w:right w:w="75" w:type="dxa"/>
            </w:tcMar>
          </w:tcPr>
          <w:p>
            <w:pPr>
              <w:spacing w:after="40" w:line="245" w:lineRule="auto"/>
            </w:pPr>
            <w:r>
              <w:rPr>
                <w:b w:val="0"/>
                <w:sz w:val="20"/>
              </w:rPr>
              <w:t>Official NVD is already ingested; mirror data needs deduplication and version verification.</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MoreFixes</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Fix-commit metadata may enrich remediation; function detection needs a separate model.</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C3-VULMAP</w:t>
            </w:r>
          </w:p>
        </w:tc>
        <w:tc>
          <w:tcPr>
            <w:tcW w:type="dxa" w:w="1944"/>
            <w:vAlign w:val="center"/>
            <w:shd w:fill="F5F6F8"/>
            <w:tcMar>
              <w:top w:w="75" w:type="dxa"/>
              <w:bottom w:w="75" w:type="dxa"/>
              <w:left w:w="75" w:type="dxa"/>
              <w:right w:w="75" w:type="dxa"/>
            </w:tcMar>
          </w:tcPr>
          <w:p>
            <w:pPr>
              <w:spacing w:after="40" w:line="245" w:lineRule="auto"/>
            </w:pPr>
            <w:r>
              <w:rPr>
                <w:b w:val="0"/>
                <w:sz w:val="20"/>
              </w:rPr>
              <w:t>review required</w:t>
            </w:r>
          </w:p>
        </w:tc>
        <w:tc>
          <w:tcPr>
            <w:tcW w:type="dxa" w:w="5429"/>
            <w:vAlign w:val="center"/>
            <w:shd w:fill="F5F6F8"/>
            <w:tcMar>
              <w:top w:w="75" w:type="dxa"/>
              <w:bottom w:w="75" w:type="dxa"/>
              <w:left w:w="75" w:type="dxa"/>
              <w:right w:w="75" w:type="dxa"/>
            </w:tcMar>
          </w:tcPr>
          <w:p>
            <w:pPr>
              <w:spacing w:after="40" w:line="245" w:lineRule="auto"/>
            </w:pPr>
            <w:r>
              <w:rPr>
                <w:b w:val="0"/>
                <w:sz w:val="20"/>
              </w:rPr>
              <w:t>Verify exact artifact, labeling methodology, provenance and license.</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MegaVul</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Code-level classification; not exploitation outcome labels.</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CVE &amp; CWE Dataset</w:t>
            </w:r>
          </w:p>
        </w:tc>
        <w:tc>
          <w:tcPr>
            <w:tcW w:type="dxa" w:w="1944"/>
            <w:vAlign w:val="center"/>
            <w:shd w:fill="F5F6F8"/>
            <w:tcMar>
              <w:top w:w="75" w:type="dxa"/>
              <w:bottom w:w="75" w:type="dxa"/>
              <w:left w:w="75" w:type="dxa"/>
              <w:right w:w="75" w:type="dxa"/>
            </w:tcMar>
          </w:tcPr>
          <w:p>
            <w:pPr>
              <w:spacing w:after="40" w:line="245" w:lineRule="auto"/>
            </w:pPr>
            <w:r>
              <w:rPr>
                <w:b w:val="0"/>
                <w:sz w:val="20"/>
              </w:rPr>
              <w:t>review required</w:t>
            </w:r>
          </w:p>
        </w:tc>
        <w:tc>
          <w:tcPr>
            <w:tcW w:type="dxa" w:w="5429"/>
            <w:vAlign w:val="center"/>
            <w:shd w:fill="F5F6F8"/>
            <w:tcMar>
              <w:top w:w="75" w:type="dxa"/>
              <w:bottom w:w="75" w:type="dxa"/>
              <w:left w:w="75" w:type="dxa"/>
              <w:right w:w="75" w:type="dxa"/>
            </w:tcMar>
          </w:tcPr>
          <w:p>
            <w:pPr>
              <w:spacing w:after="40" w:line="245" w:lineRule="auto"/>
            </w:pPr>
            <w:r>
              <w:rPr>
                <w:b w:val="0"/>
                <w:sz w:val="20"/>
              </w:rPr>
              <w:t>Historical mirror; verify as-of dates and deduplicate against NVD.</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Exploit-DB</w:t>
            </w:r>
          </w:p>
        </w:tc>
        <w:tc>
          <w:tcPr>
            <w:tcW w:type="dxa" w:w="1944"/>
            <w:vAlign w:val="center"/>
            <w:shd w:fill="FFFFFF"/>
            <w:tcMar>
              <w:top w:w="75" w:type="dxa"/>
              <w:bottom w:w="75" w:type="dxa"/>
              <w:left w:w="75" w:type="dxa"/>
              <w:right w:w="75" w:type="dxa"/>
            </w:tcMar>
          </w:tcPr>
          <w:p>
            <w:pPr>
              <w:spacing w:after="40" w:line="245" w:lineRule="auto"/>
            </w:pPr>
            <w:r>
              <w:rPr>
                <w:b w:val="0"/>
                <w:sz w:val="20"/>
              </w:rPr>
              <w:t>metadata ingested</w:t>
            </w:r>
          </w:p>
        </w:tc>
        <w:tc>
          <w:tcPr>
            <w:tcW w:type="dxa" w:w="5429"/>
            <w:vAlign w:val="center"/>
            <w:shd w:fill="FFFFFF"/>
            <w:tcMar>
              <w:top w:w="75" w:type="dxa"/>
              <w:bottom w:w="75" w:type="dxa"/>
              <w:left w:w="75" w:type="dxa"/>
              <w:right w:w="75" w:type="dxa"/>
            </w:tcMar>
          </w:tcPr>
          <w:p>
            <w:pPr>
              <w:spacing w:after="40" w:line="245" w:lineRule="auto"/>
            </w:pPr>
            <w:r>
              <w:rPr>
                <w:b w:val="0"/>
                <w:sz w:val="20"/>
              </w:rPr>
              <w:t>Passive CVE availability metadata only.</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ExploitDB Q&amp;A</w:t>
            </w:r>
          </w:p>
        </w:tc>
        <w:tc>
          <w:tcPr>
            <w:tcW w:type="dxa" w:w="1944"/>
            <w:vAlign w:val="center"/>
            <w:shd w:fill="F5F6F8"/>
            <w:tcMar>
              <w:top w:w="75" w:type="dxa"/>
              <w:bottom w:w="75" w:type="dxa"/>
              <w:left w:w="75" w:type="dxa"/>
              <w:right w:w="75" w:type="dxa"/>
            </w:tcMar>
          </w:tcPr>
          <w:p>
            <w:pPr>
              <w:spacing w:after="40" w:line="245" w:lineRule="auto"/>
            </w:pPr>
            <w:r>
              <w:rPr>
                <w:b w:val="0"/>
                <w:sz w:val="20"/>
              </w:rPr>
              <w:t>review required</w:t>
            </w:r>
          </w:p>
        </w:tc>
        <w:tc>
          <w:tcPr>
            <w:tcW w:type="dxa" w:w="5429"/>
            <w:vAlign w:val="center"/>
            <w:shd w:fill="F5F6F8"/>
            <w:tcMar>
              <w:top w:w="75" w:type="dxa"/>
              <w:bottom w:w="75" w:type="dxa"/>
              <w:left w:w="75" w:type="dxa"/>
              <w:right w:w="75" w:type="dxa"/>
            </w:tcMar>
          </w:tcPr>
          <w:p>
            <w:pPr>
              <w:spacing w:after="40" w:line="245" w:lineRule="auto"/>
            </w:pPr>
            <w:r>
              <w:rPr>
                <w:b w:val="0"/>
                <w:sz w:val="20"/>
              </w:rPr>
              <w:t>Q&amp;A transformation requires provenance review; no payload execution.</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Exploit-DB Scraper</w:t>
            </w:r>
          </w:p>
        </w:tc>
        <w:tc>
          <w:tcPr>
            <w:tcW w:type="dxa" w:w="1944"/>
            <w:vAlign w:val="center"/>
            <w:shd w:fill="FFFFFF"/>
            <w:tcMar>
              <w:top w:w="75" w:type="dxa"/>
              <w:bottom w:w="75" w:type="dxa"/>
              <w:left w:w="75" w:type="dxa"/>
              <w:right w:w="75" w:type="dxa"/>
            </w:tcMar>
          </w:tcPr>
          <w:p>
            <w:pPr>
              <w:spacing w:after="40" w:line="245" w:lineRule="auto"/>
            </w:pPr>
            <w:r>
              <w:rPr>
                <w:b w:val="0"/>
                <w:sz w:val="20"/>
              </w:rPr>
              <w:t>locator required</w:t>
            </w:r>
          </w:p>
        </w:tc>
        <w:tc>
          <w:tcPr>
            <w:tcW w:type="dxa" w:w="5429"/>
            <w:vAlign w:val="center"/>
            <w:shd w:fill="FFFFFF"/>
            <w:tcMar>
              <w:top w:w="75" w:type="dxa"/>
              <w:bottom w:w="75" w:type="dxa"/>
              <w:left w:w="75" w:type="dxa"/>
              <w:right w:w="75" w:type="dxa"/>
            </w:tcMar>
          </w:tcPr>
          <w:p>
            <w:pPr>
              <w:spacing w:after="40" w:line="245" w:lineRule="auto"/>
            </w:pPr>
            <w:r>
              <w:rPr>
                <w:b w:val="0"/>
                <w:sz w:val="20"/>
              </w:rPr>
              <w:t>Exact actor URL and account requirements needed; use official metadata source first.</w:t>
            </w:r>
          </w:p>
        </w:tc>
      </w:tr>
    </w:tbl>
    <w:p>
      <w:pPr>
        <w:spacing w:after="0"/>
      </w:pPr>
    </w:p>
    <w:p>
      <w:r>
        <w:br w:type="page"/>
      </w:r>
    </w:p>
    <w:p>
      <w:pPr>
        <w:pStyle w:val="Heading1"/>
      </w:pPr>
      <w:r>
        <w:t>Appendix A Dataset Catalog Continued</w:t>
      </w:r>
    </w:p>
    <w:p>
      <w:r>
        <w:t>Records 10 to 18 of 34. Status names are copied from the source catalog. Training is disabled for every entry at this checkpoint. Registration alone does not establish ingestion or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429"/>
      </w:tblGrid>
      <w:tr>
        <w:trPr>
          <w:cantSplit/>
          <w:tblHeader/>
        </w:trPr>
        <w:tc>
          <w:tcPr>
            <w:tcW w:type="dxa" w:w="2376"/>
            <w:vAlign w:val="center"/>
            <w:shd w:fill="E5EAF0"/>
            <w:tcMar>
              <w:top w:w="75" w:type="dxa"/>
              <w:bottom w:w="75" w:type="dxa"/>
              <w:left w:w="75" w:type="dxa"/>
              <w:right w:w="75" w:type="dxa"/>
            </w:tcMar>
          </w:tcPr>
          <w:p>
            <w:pPr>
              <w:spacing w:after="40" w:line="245" w:lineRule="auto"/>
            </w:pPr>
            <w:r>
              <w:rPr>
                <w:b/>
                <w:sz w:val="20"/>
              </w:rPr>
              <w:t>Dataset</w:t>
            </w:r>
          </w:p>
        </w:tc>
        <w:tc>
          <w:tcPr>
            <w:tcW w:type="dxa" w:w="1944"/>
            <w:vAlign w:val="center"/>
            <w:shd w:fill="E5EAF0"/>
            <w:tcMar>
              <w:top w:w="75" w:type="dxa"/>
              <w:bottom w:w="75" w:type="dxa"/>
              <w:left w:w="75" w:type="dxa"/>
              <w:right w:w="75" w:type="dxa"/>
            </w:tcMar>
          </w:tcPr>
          <w:p>
            <w:pPr>
              <w:spacing w:after="40" w:line="245" w:lineRule="auto"/>
            </w:pPr>
            <w:r>
              <w:rPr>
                <w:b/>
                <w:sz w:val="20"/>
              </w:rPr>
              <w:t>Recorded status</w:t>
            </w:r>
          </w:p>
        </w:tc>
        <w:tc>
          <w:tcPr>
            <w:tcW w:type="dxa" w:w="5429"/>
            <w:vAlign w:val="center"/>
            <w:shd w:fill="E5EAF0"/>
            <w:tcMar>
              <w:top w:w="75" w:type="dxa"/>
              <w:bottom w:w="75" w:type="dxa"/>
              <w:left w:w="75" w:type="dxa"/>
              <w:right w:w="75" w:type="dxa"/>
            </w:tcMar>
          </w:tcPr>
          <w:p>
            <w:pPr>
              <w:spacing w:after="40" w:line="245" w:lineRule="auto"/>
            </w:pPr>
            <w:r>
              <w:rPr>
                <w:b/>
                <w:sz w:val="20"/>
              </w:rPr>
              <w:t>Integration note</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OpenPoC</w:t>
            </w:r>
          </w:p>
        </w:tc>
        <w:tc>
          <w:tcPr>
            <w:tcW w:type="dxa" w:w="1944"/>
            <w:vAlign w:val="center"/>
            <w:shd w:fill="FFFFFF"/>
            <w:tcMar>
              <w:top w:w="75" w:type="dxa"/>
              <w:bottom w:w="75" w:type="dxa"/>
              <w:left w:w="75" w:type="dxa"/>
              <w:right w:w="75" w:type="dxa"/>
            </w:tcMar>
          </w:tcPr>
          <w:p>
            <w:pPr>
              <w:spacing w:after="40" w:line="245" w:lineRule="auto"/>
            </w:pPr>
            <w:r>
              <w:rPr>
                <w:b w:val="0"/>
                <w:sz w:val="20"/>
              </w:rPr>
              <w:t>review required</w:t>
            </w:r>
          </w:p>
        </w:tc>
        <w:tc>
          <w:tcPr>
            <w:tcW w:type="dxa" w:w="5429"/>
            <w:vAlign w:val="center"/>
            <w:shd w:fill="FFFFFF"/>
            <w:tcMar>
              <w:top w:w="75" w:type="dxa"/>
              <w:bottom w:w="75" w:type="dxa"/>
              <w:left w:w="75" w:type="dxa"/>
              <w:right w:w="75" w:type="dxa"/>
            </w:tcMar>
          </w:tcPr>
          <w:p>
            <w:pPr>
              <w:spacing w:after="40" w:line="245" w:lineRule="auto"/>
            </w:pPr>
            <w:r>
              <w:rPr>
                <w:b w:val="0"/>
                <w:sz w:val="20"/>
              </w:rPr>
              <w:t>Review schema and metadata-only export before adding a connector.</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COMISET</w:t>
            </w:r>
          </w:p>
        </w:tc>
        <w:tc>
          <w:tcPr>
            <w:tcW w:type="dxa" w:w="1944"/>
            <w:vAlign w:val="center"/>
            <w:shd w:fill="F5F6F8"/>
            <w:tcMar>
              <w:top w:w="75" w:type="dxa"/>
              <w:bottom w:w="75" w:type="dxa"/>
              <w:left w:w="75" w:type="dxa"/>
              <w:right w:w="75" w:type="dxa"/>
            </w:tcMar>
          </w:tcPr>
          <w:p>
            <w:pPr>
              <w:spacing w:after="40" w:line="245" w:lineRule="auto"/>
            </w:pPr>
            <w:r>
              <w:rPr>
                <w:b w:val="0"/>
                <w:sz w:val="20"/>
              </w:rPr>
              <w:t>release verified</w:t>
            </w:r>
          </w:p>
        </w:tc>
        <w:tc>
          <w:tcPr>
            <w:tcW w:type="dxa" w:w="5429"/>
            <w:vAlign w:val="center"/>
            <w:shd w:fill="F5F6F8"/>
            <w:tcMar>
              <w:top w:w="75" w:type="dxa"/>
              <w:bottom w:w="75" w:type="dxa"/>
              <w:left w:w="75" w:type="dxa"/>
              <w:right w:w="75" w:type="dxa"/>
            </w:tcMar>
          </w:tcPr>
          <w:p>
            <w:pPr>
              <w:spacing w:after="40" w:line="245" w:lineRule="auto"/>
            </w:pPr>
            <w:r>
              <w:rPr>
                <w:b w:val="0"/>
                <w:sz w:val="20"/>
              </w:rPr>
              <w:t>36.61 GB compressed, CC-BY-4.0. Only REAL partition is a candidate under real-only policy; LAB has executed attack scenarios. Storage budget and event-model integration pending.</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WitFoo Precinct6</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SOC event/graph classifier; verify license, sanitization and outcome definitions.</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WitFoo Precinct6 100M</w:t>
            </w:r>
          </w:p>
        </w:tc>
        <w:tc>
          <w:tcPr>
            <w:tcW w:type="dxa" w:w="1944"/>
            <w:vAlign w:val="center"/>
            <w:shd w:fill="F5F6F8"/>
            <w:tcMar>
              <w:top w:w="75" w:type="dxa"/>
              <w:bottom w:w="75" w:type="dxa"/>
              <w:left w:w="75" w:type="dxa"/>
              <w:right w:w="75" w:type="dxa"/>
            </w:tcMar>
          </w:tcPr>
          <w:p>
            <w:pPr>
              <w:spacing w:after="40" w:line="245" w:lineRule="auto"/>
            </w:pPr>
            <w:r>
              <w:rPr>
                <w:b w:val="0"/>
                <w:sz w:val="20"/>
              </w:rPr>
              <w:t>separate task</w:t>
            </w:r>
          </w:p>
        </w:tc>
        <w:tc>
          <w:tcPr>
            <w:tcW w:type="dxa" w:w="5429"/>
            <w:vAlign w:val="center"/>
            <w:shd w:fill="F5F6F8"/>
            <w:tcMar>
              <w:top w:w="75" w:type="dxa"/>
              <w:bottom w:w="75" w:type="dxa"/>
              <w:left w:w="75" w:type="dxa"/>
              <w:right w:w="75" w:type="dxa"/>
            </w:tcMar>
          </w:tcPr>
          <w:p>
            <w:pPr>
              <w:spacing w:after="40" w:line="245" w:lineRule="auto"/>
            </w:pPr>
            <w:r>
              <w:rPr>
                <w:b w:val="0"/>
                <w:sz w:val="20"/>
              </w:rPr>
              <w:t>Large SOC dataset; requires storage sizing and a separate validated ingestion schema.</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FADE</w:t>
            </w:r>
          </w:p>
        </w:tc>
        <w:tc>
          <w:tcPr>
            <w:tcW w:type="dxa" w:w="1944"/>
            <w:vAlign w:val="center"/>
            <w:shd w:fill="FFFFFF"/>
            <w:tcMar>
              <w:top w:w="75" w:type="dxa"/>
              <w:bottom w:w="75" w:type="dxa"/>
              <w:left w:w="75" w:type="dxa"/>
              <w:right w:w="75" w:type="dxa"/>
            </w:tcMar>
          </w:tcPr>
          <w:p>
            <w:pPr>
              <w:spacing w:after="40" w:line="245" w:lineRule="auto"/>
            </w:pPr>
            <w:r>
              <w:rPr>
                <w:b w:val="0"/>
                <w:sz w:val="20"/>
              </w:rPr>
              <w:t>policy conflict</w:t>
            </w:r>
          </w:p>
        </w:tc>
        <w:tc>
          <w:tcPr>
            <w:tcW w:type="dxa" w:w="5429"/>
            <w:vAlign w:val="center"/>
            <w:shd w:fill="FFFFFF"/>
            <w:tcMar>
              <w:top w:w="75" w:type="dxa"/>
              <w:bottom w:w="75" w:type="dxa"/>
              <w:left w:w="75" w:type="dxa"/>
              <w:right w:w="75" w:type="dxa"/>
            </w:tcMar>
          </w:tcPr>
          <w:p>
            <w:pPr>
              <w:spacing w:after="40" w:line="245" w:lineRule="auto"/>
            </w:pPr>
            <w:r>
              <w:rPr>
                <w:b w:val="0"/>
                <w:sz w:val="20"/>
              </w:rPr>
              <w:t>User describes generated attack mutations; excluded from real-only training.</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CTI Telegram dataset</w:t>
            </w:r>
          </w:p>
        </w:tc>
        <w:tc>
          <w:tcPr>
            <w:tcW w:type="dxa" w:w="1944"/>
            <w:vAlign w:val="center"/>
            <w:shd w:fill="F5F6F8"/>
            <w:tcMar>
              <w:top w:w="75" w:type="dxa"/>
              <w:bottom w:w="75" w:type="dxa"/>
              <w:left w:w="75" w:type="dxa"/>
              <w:right w:w="75" w:type="dxa"/>
            </w:tcMar>
          </w:tcPr>
          <w:p>
            <w:pPr>
              <w:spacing w:after="40" w:line="245" w:lineRule="auto"/>
            </w:pPr>
            <w:r>
              <w:rPr>
                <w:b w:val="0"/>
                <w:sz w:val="20"/>
              </w:rPr>
              <w:t>locator required</w:t>
            </w:r>
          </w:p>
        </w:tc>
        <w:tc>
          <w:tcPr>
            <w:tcW w:type="dxa" w:w="5429"/>
            <w:vAlign w:val="center"/>
            <w:shd w:fill="F5F6F8"/>
            <w:tcMar>
              <w:top w:w="75" w:type="dxa"/>
              <w:bottom w:w="75" w:type="dxa"/>
              <w:left w:w="75" w:type="dxa"/>
              <w:right w:w="75" w:type="dxa"/>
            </w:tcMar>
          </w:tcPr>
          <w:p>
            <w:pPr>
              <w:spacing w:after="40" w:line="245" w:lineRule="auto"/>
            </w:pPr>
            <w:r>
              <w:rPr>
                <w:b w:val="0"/>
                <w:sz w:val="20"/>
              </w:rPr>
              <w:t>Exact dataset release, provenance and license required.</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SOREL-20M</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Exact feature-only archive required; separate malware classifier.</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MH-1M</w:t>
            </w:r>
          </w:p>
        </w:tc>
        <w:tc>
          <w:tcPr>
            <w:tcW w:type="dxa" w:w="1944"/>
            <w:vAlign w:val="center"/>
            <w:shd w:fill="F5F6F8"/>
            <w:tcMar>
              <w:top w:w="75" w:type="dxa"/>
              <w:bottom w:w="75" w:type="dxa"/>
              <w:left w:w="75" w:type="dxa"/>
              <w:right w:w="75" w:type="dxa"/>
            </w:tcMar>
          </w:tcPr>
          <w:p>
            <w:pPr>
              <w:spacing w:after="40" w:line="245" w:lineRule="auto"/>
            </w:pPr>
            <w:r>
              <w:rPr>
                <w:b w:val="0"/>
                <w:sz w:val="20"/>
              </w:rPr>
              <w:t>locator required</w:t>
            </w:r>
          </w:p>
        </w:tc>
        <w:tc>
          <w:tcPr>
            <w:tcW w:type="dxa" w:w="5429"/>
            <w:vAlign w:val="center"/>
            <w:shd w:fill="F5F6F8"/>
            <w:tcMar>
              <w:top w:w="75" w:type="dxa"/>
              <w:bottom w:w="75" w:type="dxa"/>
              <w:left w:w="75" w:type="dxa"/>
              <w:right w:w="75" w:type="dxa"/>
            </w:tcMar>
          </w:tcPr>
          <w:p>
            <w:pPr>
              <w:spacing w:after="40" w:line="245" w:lineRule="auto"/>
            </w:pPr>
            <w:r>
              <w:rPr>
                <w:b w:val="0"/>
                <w:sz w:val="20"/>
              </w:rPr>
              <w:t>Exact Mendeley release and feature-only files needed; claimed size exceeds 400 GB.</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RanDS</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Verify feature-only artifacts and license; ransomware classifier, not CVE risk labels.</w:t>
            </w:r>
          </w:p>
        </w:tc>
      </w:tr>
    </w:tbl>
    <w:p>
      <w:pPr>
        <w:spacing w:after="0"/>
      </w:pPr>
    </w:p>
    <w:p>
      <w:r>
        <w:br w:type="page"/>
      </w:r>
    </w:p>
    <w:p>
      <w:pPr>
        <w:pStyle w:val="Heading1"/>
      </w:pPr>
      <w:r>
        <w:t>Appendix A Dataset Catalog Continued</w:t>
      </w:r>
    </w:p>
    <w:p>
      <w:r>
        <w:t>Records 19 to 27 of 34. Status names are copied from the source catalog. Training is disabled for every entry at this checkpoint. Registration alone does not establish ingestion or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429"/>
      </w:tblGrid>
      <w:tr>
        <w:trPr>
          <w:cantSplit/>
          <w:tblHeader/>
        </w:trPr>
        <w:tc>
          <w:tcPr>
            <w:tcW w:type="dxa" w:w="2376"/>
            <w:vAlign w:val="center"/>
            <w:shd w:fill="E5EAF0"/>
            <w:tcMar>
              <w:top w:w="75" w:type="dxa"/>
              <w:bottom w:w="75" w:type="dxa"/>
              <w:left w:w="75" w:type="dxa"/>
              <w:right w:w="75" w:type="dxa"/>
            </w:tcMar>
          </w:tcPr>
          <w:p>
            <w:pPr>
              <w:spacing w:after="40" w:line="245" w:lineRule="auto"/>
            </w:pPr>
            <w:r>
              <w:rPr>
                <w:b/>
                <w:sz w:val="20"/>
              </w:rPr>
              <w:t>Dataset</w:t>
            </w:r>
          </w:p>
        </w:tc>
        <w:tc>
          <w:tcPr>
            <w:tcW w:type="dxa" w:w="1944"/>
            <w:vAlign w:val="center"/>
            <w:shd w:fill="E5EAF0"/>
            <w:tcMar>
              <w:top w:w="75" w:type="dxa"/>
              <w:bottom w:w="75" w:type="dxa"/>
              <w:left w:w="75" w:type="dxa"/>
              <w:right w:w="75" w:type="dxa"/>
            </w:tcMar>
          </w:tcPr>
          <w:p>
            <w:pPr>
              <w:spacing w:after="40" w:line="245" w:lineRule="auto"/>
            </w:pPr>
            <w:r>
              <w:rPr>
                <w:b/>
                <w:sz w:val="20"/>
              </w:rPr>
              <w:t>Recorded status</w:t>
            </w:r>
          </w:p>
        </w:tc>
        <w:tc>
          <w:tcPr>
            <w:tcW w:type="dxa" w:w="5429"/>
            <w:vAlign w:val="center"/>
            <w:shd w:fill="E5EAF0"/>
            <w:tcMar>
              <w:top w:w="75" w:type="dxa"/>
              <w:bottom w:w="75" w:type="dxa"/>
              <w:left w:w="75" w:type="dxa"/>
              <w:right w:w="75" w:type="dxa"/>
            </w:tcMar>
          </w:tcPr>
          <w:p>
            <w:pPr>
              <w:spacing w:after="40" w:line="245" w:lineRule="auto"/>
            </w:pPr>
            <w:r>
              <w:rPr>
                <w:b/>
                <w:sz w:val="20"/>
              </w:rPr>
              <w:t>Integration note</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EMBER</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Static feature classification benchmark; not evidence of CVE exploitation.</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MABEL</w:t>
            </w:r>
          </w:p>
        </w:tc>
        <w:tc>
          <w:tcPr>
            <w:tcW w:type="dxa" w:w="1944"/>
            <w:vAlign w:val="center"/>
            <w:shd w:fill="F5F6F8"/>
            <w:tcMar>
              <w:top w:w="75" w:type="dxa"/>
              <w:bottom w:w="75" w:type="dxa"/>
              <w:left w:w="75" w:type="dxa"/>
              <w:right w:w="75" w:type="dxa"/>
            </w:tcMar>
          </w:tcPr>
          <w:p>
            <w:pPr>
              <w:spacing w:after="40" w:line="245" w:lineRule="auto"/>
            </w:pPr>
            <w:r>
              <w:rPr>
                <w:b w:val="0"/>
                <w:sz w:val="20"/>
              </w:rPr>
              <w:t>manifest unavailable</w:t>
            </w:r>
          </w:p>
        </w:tc>
        <w:tc>
          <w:tcPr>
            <w:tcW w:type="dxa" w:w="5429"/>
            <w:vAlign w:val="center"/>
            <w:shd w:fill="F5F6F8"/>
            <w:tcMar>
              <w:top w:w="75" w:type="dxa"/>
              <w:bottom w:w="75" w:type="dxa"/>
              <w:left w:w="75" w:type="dxa"/>
              <w:right w:w="75" w:type="dxa"/>
            </w:tcMar>
          </w:tcPr>
          <w:p>
            <w:pPr>
              <w:spacing w:after="40" w:line="245" w:lineRule="auto"/>
            </w:pPr>
            <w:r>
              <w:rPr>
                <w:b w:val="0"/>
                <w:sz w:val="20"/>
              </w:rPr>
              <w:t>Repository verified; recursive file-tree API returned HTTP 500 twice. Complete artifact sizes and segment assembly unverified. Separate malware classifier required.</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HiGraph</w:t>
            </w:r>
          </w:p>
        </w:tc>
        <w:tc>
          <w:tcPr>
            <w:tcW w:type="dxa" w:w="1944"/>
            <w:vAlign w:val="center"/>
            <w:shd w:fill="FFFFFF"/>
            <w:tcMar>
              <w:top w:w="75" w:type="dxa"/>
              <w:bottom w:w="75" w:type="dxa"/>
              <w:left w:w="75" w:type="dxa"/>
              <w:right w:w="75" w:type="dxa"/>
            </w:tcMar>
          </w:tcPr>
          <w:p>
            <w:pPr>
              <w:spacing w:after="40" w:line="245" w:lineRule="auto"/>
            </w:pPr>
            <w:r>
              <w:rPr>
                <w:b w:val="0"/>
                <w:sz w:val="20"/>
              </w:rPr>
              <w:t>release verified</w:t>
            </w:r>
          </w:p>
        </w:tc>
        <w:tc>
          <w:tcPr>
            <w:tcW w:type="dxa" w:w="5429"/>
            <w:vAlign w:val="center"/>
            <w:shd w:fill="FFFFFF"/>
            <w:tcMar>
              <w:top w:w="75" w:type="dxa"/>
              <w:bottom w:w="75" w:type="dxa"/>
              <w:left w:w="75" w:type="dxa"/>
              <w:right w:w="75" w:type="dxa"/>
            </w:tcMar>
          </w:tcPr>
          <w:p>
            <w:pPr>
              <w:spacing w:after="40" w:line="245" w:lineRule="auto"/>
            </w:pPr>
            <w:r>
              <w:rPr>
                <w:b w:val="0"/>
                <w:sz w:val="20"/>
              </w:rPr>
              <w:t>File manifest captured; CC-BY-NC-SA non-commercial terms. Separate graph model and storage budget required; not CVE exploitation labels.</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CIC-YNU-IoTMal</w:t>
            </w:r>
          </w:p>
        </w:tc>
        <w:tc>
          <w:tcPr>
            <w:tcW w:type="dxa" w:w="1944"/>
            <w:vAlign w:val="center"/>
            <w:shd w:fill="F5F6F8"/>
            <w:tcMar>
              <w:top w:w="75" w:type="dxa"/>
              <w:bottom w:w="75" w:type="dxa"/>
              <w:left w:w="75" w:type="dxa"/>
              <w:right w:w="75" w:type="dxa"/>
            </w:tcMar>
          </w:tcPr>
          <w:p>
            <w:pPr>
              <w:spacing w:after="40" w:line="245" w:lineRule="auto"/>
            </w:pPr>
            <w:r>
              <w:rPr>
                <w:b w:val="0"/>
                <w:sz w:val="20"/>
              </w:rPr>
              <w:t>locator required</w:t>
            </w:r>
          </w:p>
        </w:tc>
        <w:tc>
          <w:tcPr>
            <w:tcW w:type="dxa" w:w="5429"/>
            <w:vAlign w:val="center"/>
            <w:shd w:fill="F5F6F8"/>
            <w:tcMar>
              <w:top w:w="75" w:type="dxa"/>
              <w:bottom w:w="75" w:type="dxa"/>
              <w:left w:w="75" w:type="dxa"/>
              <w:right w:w="75" w:type="dxa"/>
            </w:tcMar>
          </w:tcPr>
          <w:p>
            <w:pPr>
              <w:spacing w:after="40" w:line="245" w:lineRule="auto"/>
            </w:pPr>
            <w:r>
              <w:rPr>
                <w:b w:val="0"/>
                <w:sz w:val="20"/>
              </w:rPr>
              <w:t>Exact release and non-executable feature exports required.</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UniSec-Fusion2025</w:t>
            </w:r>
          </w:p>
        </w:tc>
        <w:tc>
          <w:tcPr>
            <w:tcW w:type="dxa" w:w="1944"/>
            <w:vAlign w:val="center"/>
            <w:shd w:fill="FFFFFF"/>
            <w:tcMar>
              <w:top w:w="75" w:type="dxa"/>
              <w:bottom w:w="75" w:type="dxa"/>
              <w:left w:w="75" w:type="dxa"/>
              <w:right w:w="75" w:type="dxa"/>
            </w:tcMar>
          </w:tcPr>
          <w:p>
            <w:pPr>
              <w:spacing w:after="40" w:line="245" w:lineRule="auto"/>
            </w:pPr>
            <w:r>
              <w:rPr>
                <w:b w:val="0"/>
                <w:sz w:val="20"/>
              </w:rPr>
              <w:t>policy conflict</w:t>
            </w:r>
          </w:p>
        </w:tc>
        <w:tc>
          <w:tcPr>
            <w:tcW w:type="dxa" w:w="5429"/>
            <w:vAlign w:val="center"/>
            <w:shd w:fill="FFFFFF"/>
            <w:tcMar>
              <w:top w:w="75" w:type="dxa"/>
              <w:bottom w:w="75" w:type="dxa"/>
              <w:left w:w="75" w:type="dxa"/>
              <w:right w:w="75" w:type="dxa"/>
            </w:tcMar>
          </w:tcPr>
          <w:p>
            <w:pPr>
              <w:spacing w:after="40" w:line="245" w:lineRule="auto"/>
            </w:pPr>
            <w:r>
              <w:rPr>
                <w:b w:val="0"/>
                <w:sz w:val="20"/>
              </w:rPr>
              <w:t>User describes SMOTE-NC augmentation; original non-augmented observations must be isolated.</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BCCC-UDP-QUIC-IDS-2025</w:t>
            </w:r>
          </w:p>
        </w:tc>
        <w:tc>
          <w:tcPr>
            <w:tcW w:type="dxa" w:w="1944"/>
            <w:vAlign w:val="center"/>
            <w:shd w:fill="F5F6F8"/>
            <w:tcMar>
              <w:top w:w="75" w:type="dxa"/>
              <w:bottom w:w="75" w:type="dxa"/>
              <w:left w:w="75" w:type="dxa"/>
              <w:right w:w="75" w:type="dxa"/>
            </w:tcMar>
          </w:tcPr>
          <w:p>
            <w:pPr>
              <w:spacing w:after="40" w:line="245" w:lineRule="auto"/>
            </w:pPr>
            <w:r>
              <w:rPr>
                <w:b w:val="0"/>
                <w:sz w:val="20"/>
              </w:rPr>
              <w:t>separate task</w:t>
            </w:r>
          </w:p>
        </w:tc>
        <w:tc>
          <w:tcPr>
            <w:tcW w:type="dxa" w:w="5429"/>
            <w:vAlign w:val="center"/>
            <w:shd w:fill="F5F6F8"/>
            <w:tcMar>
              <w:top w:w="75" w:type="dxa"/>
              <w:bottom w:w="75" w:type="dxa"/>
              <w:left w:w="75" w:type="dxa"/>
              <w:right w:w="75" w:type="dxa"/>
            </w:tcMar>
          </w:tcPr>
          <w:p>
            <w:pPr>
              <w:spacing w:after="40" w:line="245" w:lineRule="auto"/>
            </w:pPr>
            <w:r>
              <w:rPr>
                <w:b w:val="0"/>
                <w:sz w:val="20"/>
              </w:rPr>
              <w:t>Exact YorkU archive and provenance needed for a separate flow classifier.</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CESNET-TimeSeries24</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Exact archive and traffic schema needed; not organizational asset inventory.</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GeNIS</w:t>
            </w:r>
          </w:p>
        </w:tc>
        <w:tc>
          <w:tcPr>
            <w:tcW w:type="dxa" w:w="1944"/>
            <w:vAlign w:val="center"/>
            <w:shd w:fill="F5F6F8"/>
            <w:tcMar>
              <w:top w:w="75" w:type="dxa"/>
              <w:bottom w:w="75" w:type="dxa"/>
              <w:left w:w="75" w:type="dxa"/>
              <w:right w:w="75" w:type="dxa"/>
            </w:tcMar>
          </w:tcPr>
          <w:p>
            <w:pPr>
              <w:spacing w:after="40" w:line="245" w:lineRule="auto"/>
            </w:pPr>
            <w:r>
              <w:rPr>
                <w:b w:val="0"/>
                <w:sz w:val="20"/>
              </w:rPr>
              <w:t>policy conflict</w:t>
            </w:r>
          </w:p>
        </w:tc>
        <w:tc>
          <w:tcPr>
            <w:tcW w:type="dxa" w:w="5429"/>
            <w:vAlign w:val="center"/>
            <w:shd w:fill="F5F6F8"/>
            <w:tcMar>
              <w:top w:w="75" w:type="dxa"/>
              <w:bottom w:w="75" w:type="dxa"/>
              <w:left w:w="75" w:type="dxa"/>
              <w:right w:w="75" w:type="dxa"/>
            </w:tcMar>
          </w:tcPr>
          <w:p>
            <w:pPr>
              <w:spacing w:after="40" w:line="245" w:lineRule="auto"/>
            </w:pPr>
            <w:r>
              <w:rPr>
                <w:b w:val="0"/>
                <w:sz w:val="20"/>
              </w:rPr>
              <w:t>Verified 2.50 GB release, CC-BY-4.0. Publisher describes Airbus CyberRange simulations; excluded from real-only training. Small info ZIP checksum verified.</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ITU-ML5G-PS-006</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Exact Zenodo version and flow provenance needed.</w:t>
            </w:r>
          </w:p>
        </w:tc>
      </w:tr>
    </w:tbl>
    <w:p>
      <w:pPr>
        <w:spacing w:after="0"/>
      </w:pPr>
    </w:p>
    <w:p>
      <w:r>
        <w:br w:type="page"/>
      </w:r>
    </w:p>
    <w:p>
      <w:pPr>
        <w:pStyle w:val="Heading1"/>
      </w:pPr>
      <w:r>
        <w:t>Appendix A Dataset Catalog Continued</w:t>
      </w:r>
    </w:p>
    <w:p>
      <w:r>
        <w:t>Records 28 to 34 of 34. Status names are copied from the source catalog. Training is disabled for every entry at this checkpoint. Registration alone does not establish ingestion or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429"/>
      </w:tblGrid>
      <w:tr>
        <w:trPr>
          <w:cantSplit/>
          <w:tblHeader/>
        </w:trPr>
        <w:tc>
          <w:tcPr>
            <w:tcW w:type="dxa" w:w="2376"/>
            <w:vAlign w:val="center"/>
            <w:shd w:fill="E5EAF0"/>
            <w:tcMar>
              <w:top w:w="75" w:type="dxa"/>
              <w:bottom w:w="75" w:type="dxa"/>
              <w:left w:w="75" w:type="dxa"/>
              <w:right w:w="75" w:type="dxa"/>
            </w:tcMar>
          </w:tcPr>
          <w:p>
            <w:pPr>
              <w:spacing w:after="40" w:line="245" w:lineRule="auto"/>
            </w:pPr>
            <w:r>
              <w:rPr>
                <w:b/>
                <w:sz w:val="20"/>
              </w:rPr>
              <w:t>Dataset</w:t>
            </w:r>
          </w:p>
        </w:tc>
        <w:tc>
          <w:tcPr>
            <w:tcW w:type="dxa" w:w="1944"/>
            <w:vAlign w:val="center"/>
            <w:shd w:fill="E5EAF0"/>
            <w:tcMar>
              <w:top w:w="75" w:type="dxa"/>
              <w:bottom w:w="75" w:type="dxa"/>
              <w:left w:w="75" w:type="dxa"/>
              <w:right w:w="75" w:type="dxa"/>
            </w:tcMar>
          </w:tcPr>
          <w:p>
            <w:pPr>
              <w:spacing w:after="40" w:line="245" w:lineRule="auto"/>
            </w:pPr>
            <w:r>
              <w:rPr>
                <w:b/>
                <w:sz w:val="20"/>
              </w:rPr>
              <w:t>Recorded status</w:t>
            </w:r>
          </w:p>
        </w:tc>
        <w:tc>
          <w:tcPr>
            <w:tcW w:type="dxa" w:w="5429"/>
            <w:vAlign w:val="center"/>
            <w:shd w:fill="E5EAF0"/>
            <w:tcMar>
              <w:top w:w="75" w:type="dxa"/>
              <w:bottom w:w="75" w:type="dxa"/>
              <w:left w:w="75" w:type="dxa"/>
              <w:right w:w="75" w:type="dxa"/>
            </w:tcMar>
          </w:tcPr>
          <w:p>
            <w:pPr>
              <w:spacing w:after="40" w:line="245" w:lineRule="auto"/>
            </w:pPr>
            <w:r>
              <w:rPr>
                <w:b/>
                <w:sz w:val="20"/>
              </w:rPr>
              <w:t>Integration note</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Modbus IIoT</w:t>
            </w:r>
          </w:p>
        </w:tc>
        <w:tc>
          <w:tcPr>
            <w:tcW w:type="dxa" w:w="1944"/>
            <w:vAlign w:val="center"/>
            <w:shd w:fill="FFFFFF"/>
            <w:tcMar>
              <w:top w:w="75" w:type="dxa"/>
              <w:bottom w:w="75" w:type="dxa"/>
              <w:left w:w="75" w:type="dxa"/>
              <w:right w:w="75" w:type="dxa"/>
            </w:tcMar>
          </w:tcPr>
          <w:p>
            <w:pPr>
              <w:spacing w:after="40" w:line="245" w:lineRule="auto"/>
            </w:pPr>
            <w:r>
              <w:rPr>
                <w:b w:val="0"/>
                <w:sz w:val="20"/>
              </w:rPr>
              <w:t>locator required</w:t>
            </w:r>
          </w:p>
        </w:tc>
        <w:tc>
          <w:tcPr>
            <w:tcW w:type="dxa" w:w="5429"/>
            <w:vAlign w:val="center"/>
            <w:shd w:fill="FFFFFF"/>
            <w:tcMar>
              <w:top w:w="75" w:type="dxa"/>
              <w:bottom w:w="75" w:type="dxa"/>
              <w:left w:w="75" w:type="dxa"/>
              <w:right w:w="75" w:type="dxa"/>
            </w:tcMar>
          </w:tcPr>
          <w:p>
            <w:pPr>
              <w:spacing w:after="40" w:line="245" w:lineRule="auto"/>
            </w:pPr>
            <w:r>
              <w:rPr>
                <w:b w:val="0"/>
                <w:sz w:val="20"/>
              </w:rPr>
              <w:t>Exact DOI/archive required; distinguish observed from generated records.</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TRUSTLab</w:t>
            </w:r>
          </w:p>
        </w:tc>
        <w:tc>
          <w:tcPr>
            <w:tcW w:type="dxa" w:w="1944"/>
            <w:vAlign w:val="center"/>
            <w:shd w:fill="F5F6F8"/>
            <w:tcMar>
              <w:top w:w="75" w:type="dxa"/>
              <w:bottom w:w="75" w:type="dxa"/>
              <w:left w:w="75" w:type="dxa"/>
              <w:right w:w="75" w:type="dxa"/>
            </w:tcMar>
          </w:tcPr>
          <w:p>
            <w:pPr>
              <w:spacing w:after="40" w:line="245" w:lineRule="auto"/>
            </w:pPr>
            <w:r>
              <w:rPr>
                <w:b w:val="0"/>
                <w:sz w:val="20"/>
              </w:rPr>
              <w:t>locator required</w:t>
            </w:r>
          </w:p>
        </w:tc>
        <w:tc>
          <w:tcPr>
            <w:tcW w:type="dxa" w:w="5429"/>
            <w:vAlign w:val="center"/>
            <w:shd w:fill="F5F6F8"/>
            <w:tcMar>
              <w:top w:w="75" w:type="dxa"/>
              <w:bottom w:w="75" w:type="dxa"/>
              <w:left w:w="75" w:type="dxa"/>
              <w:right w:w="75" w:type="dxa"/>
            </w:tcMar>
          </w:tcPr>
          <w:p>
            <w:pPr>
              <w:spacing w:after="40" w:line="245" w:lineRule="auto"/>
            </w:pPr>
            <w:r>
              <w:rPr>
                <w:b w:val="0"/>
                <w:sz w:val="20"/>
              </w:rPr>
              <w:t>Exact versioned dataset URL and labels required.</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TON_IoT</w:t>
            </w:r>
          </w:p>
        </w:tc>
        <w:tc>
          <w:tcPr>
            <w:tcW w:type="dxa" w:w="1944"/>
            <w:vAlign w:val="center"/>
            <w:shd w:fill="FFFFFF"/>
            <w:tcMar>
              <w:top w:w="75" w:type="dxa"/>
              <w:bottom w:w="75" w:type="dxa"/>
              <w:left w:w="75" w:type="dxa"/>
              <w:right w:w="75" w:type="dxa"/>
            </w:tcMar>
          </w:tcPr>
          <w:p>
            <w:pPr>
              <w:spacing w:after="40" w:line="245" w:lineRule="auto"/>
            </w:pPr>
            <w:r>
              <w:rPr>
                <w:b w:val="0"/>
                <w:sz w:val="20"/>
              </w:rPr>
              <w:t>separate task</w:t>
            </w:r>
          </w:p>
        </w:tc>
        <w:tc>
          <w:tcPr>
            <w:tcW w:type="dxa" w:w="5429"/>
            <w:vAlign w:val="center"/>
            <w:shd w:fill="FFFFFF"/>
            <w:tcMar>
              <w:top w:w="75" w:type="dxa"/>
              <w:bottom w:w="75" w:type="dxa"/>
              <w:left w:w="75" w:type="dxa"/>
              <w:right w:w="75" w:type="dxa"/>
            </w:tcMar>
          </w:tcPr>
          <w:p>
            <w:pPr>
              <w:spacing w:after="40" w:line="245" w:lineRule="auto"/>
            </w:pPr>
            <w:r>
              <w:rPr>
                <w:b w:val="0"/>
                <w:sz w:val="20"/>
              </w:rPr>
              <w:t>Separate intrusion-detection pipeline; verify real/simulated provenance.</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Edge-IIoTset</w:t>
            </w:r>
          </w:p>
        </w:tc>
        <w:tc>
          <w:tcPr>
            <w:tcW w:type="dxa" w:w="1944"/>
            <w:vAlign w:val="center"/>
            <w:shd w:fill="F5F6F8"/>
            <w:tcMar>
              <w:top w:w="75" w:type="dxa"/>
              <w:bottom w:w="75" w:type="dxa"/>
              <w:left w:w="75" w:type="dxa"/>
              <w:right w:w="75" w:type="dxa"/>
            </w:tcMar>
          </w:tcPr>
          <w:p>
            <w:pPr>
              <w:spacing w:after="40" w:line="245" w:lineRule="auto"/>
            </w:pPr>
            <w:r>
              <w:rPr>
                <w:b w:val="0"/>
                <w:sz w:val="20"/>
              </w:rPr>
              <w:t>separate task</w:t>
            </w:r>
          </w:p>
        </w:tc>
        <w:tc>
          <w:tcPr>
            <w:tcW w:type="dxa" w:w="5429"/>
            <w:vAlign w:val="center"/>
            <w:shd w:fill="F5F6F8"/>
            <w:tcMar>
              <w:top w:w="75" w:type="dxa"/>
              <w:bottom w:w="75" w:type="dxa"/>
              <w:left w:w="75" w:type="dxa"/>
              <w:right w:w="75" w:type="dxa"/>
            </w:tcMar>
          </w:tcPr>
          <w:p>
            <w:pPr>
              <w:spacing w:after="40" w:line="245" w:lineRule="auto"/>
            </w:pPr>
            <w:r>
              <w:rPr>
                <w:b w:val="0"/>
                <w:sz w:val="20"/>
              </w:rPr>
              <w:t>Separate intrusion-detection pipeline; verify real/simulated provenance.</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NIST CPE Dictionary</w:t>
            </w:r>
          </w:p>
        </w:tc>
        <w:tc>
          <w:tcPr>
            <w:tcW w:type="dxa" w:w="1944"/>
            <w:vAlign w:val="center"/>
            <w:shd w:fill="FFFFFF"/>
            <w:tcMar>
              <w:top w:w="75" w:type="dxa"/>
              <w:bottom w:w="75" w:type="dxa"/>
              <w:left w:w="75" w:type="dxa"/>
              <w:right w:w="75" w:type="dxa"/>
            </w:tcMar>
          </w:tcPr>
          <w:p>
            <w:pPr>
              <w:spacing w:after="40" w:line="245" w:lineRule="auto"/>
            </w:pPr>
            <w:r>
              <w:rPr>
                <w:b w:val="0"/>
                <w:sz w:val="20"/>
              </w:rPr>
              <w:t>metadata ingested</w:t>
            </w:r>
          </w:p>
        </w:tc>
        <w:tc>
          <w:tcPr>
            <w:tcW w:type="dxa" w:w="5429"/>
            <w:vAlign w:val="center"/>
            <w:shd w:fill="FFFFFF"/>
            <w:tcMar>
              <w:top w:w="75" w:type="dxa"/>
              <w:bottom w:w="75" w:type="dxa"/>
              <w:left w:w="75" w:type="dxa"/>
              <w:right w:w="75" w:type="dxa"/>
            </w:tcMar>
          </w:tcPr>
          <w:p>
            <w:pPr>
              <w:spacing w:after="40" w:line="245" w:lineRule="auto"/>
            </w:pPr>
            <w:r>
              <w:rPr>
                <w:b w:val="0"/>
                <w:sz w:val="20"/>
              </w:rPr>
              <w:t>185 official CPE evidence records imported from 10 observed criteria; checksum and exact-name API search verified. Not the full dictionary.</w:t>
            </w:r>
          </w:p>
        </w:tc>
      </w:tr>
      <w:tr>
        <w:trPr>
          <w:cantSplit/>
        </w:trPr>
        <w:tc>
          <w:tcPr>
            <w:tcW w:type="dxa" w:w="2376"/>
            <w:vAlign w:val="center"/>
            <w:shd w:fill="F5F6F8"/>
            <w:tcMar>
              <w:top w:w="75" w:type="dxa"/>
              <w:bottom w:w="75" w:type="dxa"/>
              <w:left w:w="75" w:type="dxa"/>
              <w:right w:w="75" w:type="dxa"/>
            </w:tcMar>
          </w:tcPr>
          <w:p>
            <w:pPr>
              <w:spacing w:after="40" w:line="245" w:lineRule="auto"/>
            </w:pPr>
            <w:r>
              <w:rPr>
                <w:b w:val="0"/>
                <w:sz w:val="20"/>
              </w:rPr>
              <w:t>Wild SBOMs</w:t>
            </w:r>
          </w:p>
        </w:tc>
        <w:tc>
          <w:tcPr>
            <w:tcW w:type="dxa" w:w="1944"/>
            <w:vAlign w:val="center"/>
            <w:shd w:fill="F5F6F8"/>
            <w:tcMar>
              <w:top w:w="75" w:type="dxa"/>
              <w:bottom w:w="75" w:type="dxa"/>
              <w:left w:w="75" w:type="dxa"/>
              <w:right w:w="75" w:type="dxa"/>
            </w:tcMar>
          </w:tcPr>
          <w:p>
            <w:pPr>
              <w:spacing w:after="40" w:line="245" w:lineRule="auto"/>
            </w:pPr>
            <w:r>
              <w:rPr>
                <w:b w:val="0"/>
                <w:sz w:val="20"/>
              </w:rPr>
              <w:t>release verified</w:t>
            </w:r>
          </w:p>
        </w:tc>
        <w:tc>
          <w:tcPr>
            <w:tcW w:type="dxa" w:w="5429"/>
            <w:vAlign w:val="center"/>
            <w:shd w:fill="F5F6F8"/>
            <w:tcMar>
              <w:top w:w="75" w:type="dxa"/>
              <w:bottom w:w="75" w:type="dxa"/>
              <w:left w:w="75" w:type="dxa"/>
              <w:right w:w="75" w:type="dxa"/>
            </w:tcMar>
          </w:tcPr>
          <w:p>
            <w:pPr>
              <w:spacing w:after="40" w:line="245" w:lineRule="auto"/>
            </w:pPr>
            <w:r>
              <w:rPr>
                <w:b w:val="0"/>
                <w:sz w:val="20"/>
              </w:rPr>
              <w:t>Verified 6.00 GB compressed release, CC-BY-4.0. README checksum verified. Bulk import pending storage budget; does not establish local asset ownership.</w:t>
            </w:r>
          </w:p>
        </w:tc>
      </w:tr>
      <w:tr>
        <w:trPr>
          <w:cantSplit/>
        </w:trPr>
        <w:tc>
          <w:tcPr>
            <w:tcW w:type="dxa" w:w="2376"/>
            <w:vAlign w:val="center"/>
            <w:shd w:fill="FFFFFF"/>
            <w:tcMar>
              <w:top w:w="75" w:type="dxa"/>
              <w:bottom w:w="75" w:type="dxa"/>
              <w:left w:w="75" w:type="dxa"/>
              <w:right w:w="75" w:type="dxa"/>
            </w:tcMar>
          </w:tcPr>
          <w:p>
            <w:pPr>
              <w:spacing w:after="40" w:line="245" w:lineRule="auto"/>
            </w:pPr>
            <w:r>
              <w:rPr>
                <w:b w:val="0"/>
                <w:sz w:val="20"/>
              </w:rPr>
              <w:t>cnquery</w:t>
            </w:r>
          </w:p>
        </w:tc>
        <w:tc>
          <w:tcPr>
            <w:tcW w:type="dxa" w:w="1944"/>
            <w:vAlign w:val="center"/>
            <w:shd w:fill="FFFFFF"/>
            <w:tcMar>
              <w:top w:w="75" w:type="dxa"/>
              <w:bottom w:w="75" w:type="dxa"/>
              <w:left w:w="75" w:type="dxa"/>
              <w:right w:w="75" w:type="dxa"/>
            </w:tcMar>
          </w:tcPr>
          <w:p>
            <w:pPr>
              <w:spacing w:after="40" w:line="245" w:lineRule="auto"/>
            </w:pPr>
            <w:r>
              <w:rPr>
                <w:b w:val="0"/>
                <w:sz w:val="20"/>
              </w:rPr>
              <w:t>locator required</w:t>
            </w:r>
          </w:p>
        </w:tc>
        <w:tc>
          <w:tcPr>
            <w:tcW w:type="dxa" w:w="5429"/>
            <w:vAlign w:val="center"/>
            <w:shd w:fill="FFFFFF"/>
            <w:tcMar>
              <w:top w:w="75" w:type="dxa"/>
              <w:bottom w:w="75" w:type="dxa"/>
              <w:left w:w="75" w:type="dxa"/>
              <w:right w:w="75" w:type="dxa"/>
            </w:tcMar>
          </w:tcPr>
          <w:p>
            <w:pPr>
              <w:spacing w:after="40" w:line="245" w:lineRule="auto"/>
            </w:pPr>
            <w:r>
              <w:rPr>
                <w:b w:val="0"/>
                <w:sz w:val="20"/>
              </w:rPr>
              <w:t>Inventory tool, not a dataset; exact tool/repository and authorized inventory source needed.</w:t>
            </w:r>
          </w:p>
        </w:tc>
      </w:tr>
    </w:tbl>
    <w:p>
      <w:pPr>
        <w:spacing w:after="0"/>
      </w:pPr>
    </w:p>
    <w:sectPr w:rsidR="00FC693F" w:rsidRPr="0006063C" w:rsidSect="00034616">
      <w:headerReference w:type="default" r:id="rId9"/>
      <w:footerReference w:type="default" r:id="rId10"/>
      <w:pgSz w:w="11909" w:h="16834"/>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D-VIRS / ACID     |     Project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VIRS and ACID Project Progress Report</dc:title>
  <dc:subject>Project evolution, architecture, implementation evidence and agents-first roadmap</dc:subject>
  <dc:creator>Codex for BHARGAV</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