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7FD4" w14:textId="77777777" w:rsidR="00937689" w:rsidRDefault="00000000">
      <w:pPr>
        <w:pStyle w:val="Heading1"/>
      </w:pPr>
      <w:bookmarkStart w:id="0" w:name="master-services-agreement-msa"/>
      <w:r>
        <w:t>Master Services Agreement (MSA)</w:t>
      </w:r>
    </w:p>
    <w:p w14:paraId="36D6AFDF" w14:textId="39430027" w:rsidR="00937689" w:rsidRDefault="00000000">
      <w:pPr>
        <w:pStyle w:val="FirstParagraph"/>
      </w:pPr>
      <w:r>
        <w:rPr>
          <w:b/>
          <w:bCs/>
        </w:rPr>
        <w:t>Between:</w:t>
      </w:r>
      <w:r>
        <w:t xml:space="preserve"> </w:t>
      </w:r>
      <w:r w:rsidR="00CF6F81">
        <w:t>Argentium</w:t>
      </w:r>
      <w:r>
        <w:t xml:space="preserve"> Systems, Inc.</w:t>
      </w:r>
      <w:r w:rsidR="00CF6F81">
        <w:t xml:space="preserve"> also known as Aureum systems</w:t>
      </w:r>
      <w:r>
        <w:t> (“Vendor”) and Crestwood Pharmaceuticals Ltd. (“Client”)</w:t>
      </w:r>
      <w:r>
        <w:br/>
      </w:r>
      <w:r>
        <w:rPr>
          <w:b/>
          <w:bCs/>
        </w:rPr>
        <w:t>Effective Date:</w:t>
      </w:r>
      <w:r>
        <w:t xml:space="preserve"> January 2025</w:t>
      </w:r>
    </w:p>
    <w:p w14:paraId="6525DF44" w14:textId="77777777" w:rsidR="00937689" w:rsidRDefault="00000000">
      <w:r>
        <w:pict w14:anchorId="7A64E2BD">
          <v:rect id="_x0000_i1025" style="width:0;height:1.5pt" o:hralign="center" o:hrstd="t" o:hr="t"/>
        </w:pict>
      </w:r>
    </w:p>
    <w:p w14:paraId="78F32B10" w14:textId="77777777" w:rsidR="00937689" w:rsidRDefault="00000000">
      <w:pPr>
        <w:pStyle w:val="Heading2"/>
      </w:pPr>
      <w:bookmarkStart w:id="1" w:name="definitions"/>
      <w:r>
        <w:t>1. Definitions</w:t>
      </w:r>
    </w:p>
    <w:p w14:paraId="23C7EC37" w14:textId="77777777" w:rsidR="00937689" w:rsidRDefault="00000000">
      <w:pPr>
        <w:pStyle w:val="FirstParagraph"/>
      </w:pPr>
      <w:r>
        <w:t xml:space="preserve">1.1 </w:t>
      </w:r>
      <w:r>
        <w:rPr>
          <w:b/>
          <w:bCs/>
        </w:rPr>
        <w:t>Confidential Information:</w:t>
      </w:r>
      <w:r>
        <w:t xml:space="preserve"> Any information disclosed by either Party under this Agreement, including business, technical, or regulatory data.</w:t>
      </w:r>
      <w:r>
        <w:br/>
        <w:t xml:space="preserve">1.2 </w:t>
      </w:r>
      <w:r>
        <w:rPr>
          <w:b/>
          <w:bCs/>
        </w:rPr>
        <w:t>Services:</w:t>
      </w:r>
      <w:r>
        <w:t xml:space="preserve"> Vendor shall provide AI-based analytics, model hosting, and data processing services as defined in Exhibit A.</w:t>
      </w:r>
      <w:r>
        <w:br/>
        <w:t xml:space="preserve">1.3 </w:t>
      </w:r>
      <w:r>
        <w:rPr>
          <w:b/>
          <w:bCs/>
        </w:rPr>
        <w:t>Deliverables:</w:t>
      </w:r>
      <w:r>
        <w:t xml:space="preserve"> All reports, models, and software outputs generated by Vendor under this Agreement.</w:t>
      </w:r>
    </w:p>
    <w:p w14:paraId="47BDC6EF" w14:textId="77777777" w:rsidR="00937689" w:rsidRDefault="00000000">
      <w:r>
        <w:pict w14:anchorId="0B5B6260">
          <v:rect id="_x0000_i1026" style="width:0;height:1.5pt" o:hralign="center" o:hrstd="t" o:hr="t"/>
        </w:pict>
      </w:r>
    </w:p>
    <w:p w14:paraId="56858734" w14:textId="77777777" w:rsidR="00937689" w:rsidRDefault="00000000">
      <w:pPr>
        <w:pStyle w:val="Heading2"/>
      </w:pPr>
      <w:bookmarkStart w:id="2" w:name="term-and-termination"/>
      <w:bookmarkEnd w:id="1"/>
      <w:r>
        <w:t>2. Term and Termination</w:t>
      </w:r>
    </w:p>
    <w:p w14:paraId="5BA0C190" w14:textId="77777777" w:rsidR="00937689" w:rsidRDefault="00000000">
      <w:pPr>
        <w:pStyle w:val="FirstParagraph"/>
      </w:pPr>
      <w:r>
        <w:t>2.1 This Agreement shall commence on the Effective Date and remain in effect for three (3) years, unless terminated earlier in accordance with Section 2.2.</w:t>
      </w:r>
      <w:r>
        <w:br/>
        <w:t>2.2 Either Party may terminate for cause upon material breach not cured within thirty (30) days of written notice.</w:t>
      </w:r>
    </w:p>
    <w:p w14:paraId="412E8BD3" w14:textId="77777777" w:rsidR="00937689" w:rsidRDefault="00000000">
      <w:r>
        <w:pict w14:anchorId="4BD9BE23">
          <v:rect id="_x0000_i1027" style="width:0;height:1.5pt" o:hralign="center" o:hrstd="t" o:hr="t"/>
        </w:pict>
      </w:r>
    </w:p>
    <w:p w14:paraId="31B707AD" w14:textId="77777777" w:rsidR="00937689" w:rsidRDefault="00000000">
      <w:pPr>
        <w:pStyle w:val="Heading2"/>
      </w:pPr>
      <w:bookmarkStart w:id="3" w:name="data-security-privacy-and-compliance"/>
      <w:bookmarkEnd w:id="2"/>
      <w:r>
        <w:t>3. Data Security, Privacy, and Compliance</w:t>
      </w:r>
    </w:p>
    <w:p w14:paraId="55AE5283" w14:textId="77777777" w:rsidR="00937689" w:rsidRDefault="00000000">
      <w:pPr>
        <w:pStyle w:val="FirstParagraph"/>
      </w:pPr>
      <w:r>
        <w:t>3.1 Vendor shall implement reasonable security measures to protect Client data, in accordance with industry standards.</w:t>
      </w:r>
      <w:r>
        <w:br/>
        <w:t>3.2 Client shall provide timely access to regulatory and compliance requirements necessary for Vendor to perform the Services.</w:t>
      </w:r>
      <w:r>
        <w:br/>
        <w:t>3.3 Both Parties shall comply with applicable data privacy, residency, and export control laws.</w:t>
      </w:r>
      <w:r>
        <w:br/>
        <w:t>3.4 Vendor may subcontract services to approved third-party vendors; Client shall be notified of critical subcontractors.</w:t>
      </w:r>
    </w:p>
    <w:p w14:paraId="1BA03D30" w14:textId="77777777" w:rsidR="00937689" w:rsidRDefault="00000000">
      <w:r>
        <w:pict w14:anchorId="7B602691">
          <v:rect id="_x0000_i1028" style="width:0;height:1.5pt" o:hralign="center" o:hrstd="t" o:hr="t"/>
        </w:pict>
      </w:r>
    </w:p>
    <w:p w14:paraId="6D582CDB" w14:textId="77777777" w:rsidR="00937689" w:rsidRDefault="00000000">
      <w:pPr>
        <w:pStyle w:val="Heading2"/>
      </w:pPr>
      <w:bookmarkStart w:id="4" w:name="intellectual-property-and-ownership"/>
      <w:bookmarkEnd w:id="3"/>
      <w:r>
        <w:t>4. Intellectual Property and Ownership</w:t>
      </w:r>
    </w:p>
    <w:p w14:paraId="6ABDC644" w14:textId="77777777" w:rsidR="00937689" w:rsidRDefault="00000000">
      <w:pPr>
        <w:pStyle w:val="FirstParagraph"/>
      </w:pPr>
      <w:r>
        <w:t>4.1 Vendor does not retain ownership of its pre-existing IP and models.</w:t>
      </w:r>
      <w:r>
        <w:br/>
        <w:t>4.2 Client retains ownership of its proprietary datasets.</w:t>
      </w:r>
      <w:r>
        <w:br/>
      </w:r>
      <w:r>
        <w:lastRenderedPageBreak/>
        <w:t>4.3 Deliverables incorporating Client data shall be licensed to Client on a limited, non-exclusive basis.</w:t>
      </w:r>
      <w:r>
        <w:br/>
        <w:t>4.4 Jointly developed models will be subject to separate written agreements.</w:t>
      </w:r>
    </w:p>
    <w:p w14:paraId="0D6C1086" w14:textId="77777777" w:rsidR="00937689" w:rsidRDefault="00000000">
      <w:r>
        <w:pict w14:anchorId="32B4916C">
          <v:rect id="_x0000_i1029" style="width:0;height:1.5pt" o:hralign="center" o:hrstd="t" o:hr="t"/>
        </w:pict>
      </w:r>
    </w:p>
    <w:p w14:paraId="05C294CA" w14:textId="77777777" w:rsidR="00937689" w:rsidRDefault="00000000">
      <w:pPr>
        <w:pStyle w:val="Heading2"/>
      </w:pPr>
      <w:bookmarkStart w:id="5" w:name="audit-and-reporting"/>
      <w:bookmarkEnd w:id="4"/>
      <w:r>
        <w:t>5. Audit and Reporting</w:t>
      </w:r>
    </w:p>
    <w:p w14:paraId="14D2AE07" w14:textId="77777777" w:rsidR="00937689" w:rsidRDefault="00000000">
      <w:pPr>
        <w:pStyle w:val="FirstParagraph"/>
      </w:pPr>
      <w:r>
        <w:t>5.1 Client may conduct audits of Vendor’s compliance with security, privacy, and regulatory obligations once per year.</w:t>
      </w:r>
      <w:r>
        <w:br/>
        <w:t>5.2 Vendor shall provide audit logs, documentation, and personnel access as reasonably requested.</w:t>
      </w:r>
      <w:r>
        <w:br/>
        <w:t>5.3 Both Parties shall maintain documentation for applicable retention periods.</w:t>
      </w:r>
    </w:p>
    <w:p w14:paraId="716AEF33" w14:textId="77777777" w:rsidR="00937689" w:rsidRDefault="00000000">
      <w:r>
        <w:pict w14:anchorId="543BA2BE">
          <v:rect id="_x0000_i1030" style="width:0;height:1.5pt" o:hralign="center" o:hrstd="t" o:hr="t"/>
        </w:pict>
      </w:r>
    </w:p>
    <w:p w14:paraId="2E675B42" w14:textId="77777777" w:rsidR="00937689" w:rsidRDefault="00000000">
      <w:pPr>
        <w:pStyle w:val="Heading2"/>
      </w:pPr>
      <w:bookmarkStart w:id="6" w:name="Xb3c11e87ebbd98e3b60e551feee05d8a51789ff"/>
      <w:bookmarkEnd w:id="5"/>
      <w:r>
        <w:t>6. Incident Response and Breach Notification</w:t>
      </w:r>
    </w:p>
    <w:p w14:paraId="4E24C3D3" w14:textId="77777777" w:rsidR="00937689" w:rsidRDefault="00000000">
      <w:pPr>
        <w:pStyle w:val="FirstParagraph"/>
      </w:pPr>
      <w:r>
        <w:t>6.1 Vendor shall notify Client of any security incident affecting Client data within 48 hours of detection.</w:t>
      </w:r>
      <w:r>
        <w:br/>
        <w:t>6.2 Client shall cooperate with Vendor in investigation and mitigation efforts.</w:t>
      </w:r>
      <w:r>
        <w:br/>
        <w:t>6.3 Escalation procedures shall follow mutually agreed timelines.</w:t>
      </w:r>
    </w:p>
    <w:p w14:paraId="73794F1D" w14:textId="77777777" w:rsidR="00937689" w:rsidRDefault="00000000">
      <w:r>
        <w:pict w14:anchorId="0EDF29F2">
          <v:rect id="_x0000_i1031" style="width:0;height:1.5pt" o:hralign="center" o:hrstd="t" o:hr="t"/>
        </w:pict>
      </w:r>
    </w:p>
    <w:p w14:paraId="0FDD0718" w14:textId="77777777" w:rsidR="00937689" w:rsidRDefault="00000000">
      <w:pPr>
        <w:pStyle w:val="Heading2"/>
      </w:pPr>
      <w:bookmarkStart w:id="7" w:name="warranties-and-representations"/>
      <w:bookmarkEnd w:id="6"/>
      <w:r>
        <w:t>7. Warranties and Representations</w:t>
      </w:r>
    </w:p>
    <w:p w14:paraId="2D65EB6D" w14:textId="77777777" w:rsidR="00937689" w:rsidRDefault="00000000">
      <w:pPr>
        <w:pStyle w:val="FirstParagraph"/>
      </w:pPr>
      <w:r>
        <w:t>7.1 Vendor warrants that the Services shall be performed in a professional manner consistent with industry standards.</w:t>
      </w:r>
      <w:r>
        <w:br/>
        <w:t>7.2 Client warrants that all data provided to Vendor is legally obtained and does not infringe third-party rights.</w:t>
      </w:r>
    </w:p>
    <w:p w14:paraId="3A0587EB" w14:textId="77777777" w:rsidR="00937689" w:rsidRDefault="00000000">
      <w:r>
        <w:pict w14:anchorId="2258D101">
          <v:rect id="_x0000_i1032" style="width:0;height:1.5pt" o:hralign="center" o:hrstd="t" o:hr="t"/>
        </w:pict>
      </w:r>
    </w:p>
    <w:p w14:paraId="013C1B9D" w14:textId="77777777" w:rsidR="00937689" w:rsidRDefault="00000000">
      <w:pPr>
        <w:pStyle w:val="Heading2"/>
      </w:pPr>
      <w:bookmarkStart w:id="8" w:name="limitation-of-liability"/>
      <w:bookmarkEnd w:id="7"/>
      <w:r>
        <w:t>8. Limitation of Liability</w:t>
      </w:r>
    </w:p>
    <w:p w14:paraId="79FC1652" w14:textId="77777777" w:rsidR="00937689" w:rsidRDefault="00000000">
      <w:pPr>
        <w:pStyle w:val="FirstParagraph"/>
      </w:pPr>
      <w:r>
        <w:t>8.1 Neither Party shall be liable for indirect, incidental, or consequential damages.</w:t>
      </w:r>
      <w:r>
        <w:br/>
        <w:t>8.2 Each Party’s aggregate liability for direct damages shall not exceed the total fees paid under this Agreement in the preceding twelve (12) months.</w:t>
      </w:r>
    </w:p>
    <w:p w14:paraId="56F14226" w14:textId="77777777" w:rsidR="00937689" w:rsidRDefault="00000000">
      <w:r>
        <w:pict w14:anchorId="4456CDA8">
          <v:rect id="_x0000_i1033" style="width:0;height:1.5pt" o:hralign="center" o:hrstd="t" o:hr="t"/>
        </w:pict>
      </w:r>
    </w:p>
    <w:p w14:paraId="008382A7" w14:textId="77777777" w:rsidR="00937689" w:rsidRDefault="00000000">
      <w:pPr>
        <w:pStyle w:val="Heading2"/>
      </w:pPr>
      <w:bookmarkStart w:id="9" w:name="governing-law-and-dispute-resolution"/>
      <w:bookmarkEnd w:id="8"/>
      <w:r>
        <w:t>9. Governing Law and Dispute Resolution</w:t>
      </w:r>
    </w:p>
    <w:p w14:paraId="5037E1C9" w14:textId="77777777" w:rsidR="00937689" w:rsidRDefault="00000000">
      <w:pPr>
        <w:pStyle w:val="FirstParagraph"/>
      </w:pPr>
      <w:r>
        <w:t>9.1 This Agreement shall be governed by the laws of the State of Delaware, without regard to conflict of laws.</w:t>
      </w:r>
      <w:r>
        <w:br/>
        <w:t>9.2 Disputes shall first be addressed via informal negotiation, followed by mediation if unresolved.</w:t>
      </w:r>
    </w:p>
    <w:p w14:paraId="0ADDC0CE" w14:textId="77777777" w:rsidR="00937689" w:rsidRDefault="00000000">
      <w:r>
        <w:lastRenderedPageBreak/>
        <w:pict w14:anchorId="511C8C02">
          <v:rect id="_x0000_i1034" style="width:0;height:1.5pt" o:hralign="center" o:hrstd="t" o:hr="t"/>
        </w:pict>
      </w:r>
    </w:p>
    <w:p w14:paraId="783A432C" w14:textId="77777777" w:rsidR="00937689" w:rsidRDefault="00000000">
      <w:pPr>
        <w:pStyle w:val="Heading2"/>
      </w:pPr>
      <w:bookmarkStart w:id="10" w:name="miscellaneous"/>
      <w:bookmarkEnd w:id="9"/>
      <w:r>
        <w:t>10. Miscellaneous</w:t>
      </w:r>
    </w:p>
    <w:p w14:paraId="6E2FF2DB" w14:textId="77777777" w:rsidR="00937689" w:rsidRDefault="00000000">
      <w:pPr>
        <w:pStyle w:val="FirstParagraph"/>
      </w:pPr>
      <w:r>
        <w:t>10.1 Notices must be in writing and delivered electronically or by certified mail.</w:t>
      </w:r>
      <w:r>
        <w:br/>
        <w:t>10.2 Amendments must be in writing and signed by authorized representatives.</w:t>
      </w:r>
      <w:r>
        <w:br/>
        <w:t>10.3 Entire Agreement: This Agreement constitutes the entire understanding between the Parties regarding the Services.</w:t>
      </w:r>
    </w:p>
    <w:p w14:paraId="4084AFC6" w14:textId="77777777" w:rsidR="00937689" w:rsidRDefault="00000000">
      <w:r>
        <w:pict w14:anchorId="4F340ABB">
          <v:rect id="_x0000_i1035" style="width:0;height:1.5pt" o:hralign="center" o:hrstd="t" o:hr="t"/>
        </w:pict>
      </w:r>
    </w:p>
    <w:p w14:paraId="3D580E47" w14:textId="77777777" w:rsidR="00937689" w:rsidRDefault="00000000">
      <w:pPr>
        <w:pStyle w:val="FirstParagraph"/>
      </w:pPr>
      <w:r>
        <w:rPr>
          <w:b/>
          <w:bCs/>
        </w:rPr>
        <w:t>Exhibit A – Scope of Services</w:t>
      </w:r>
    </w:p>
    <w:p w14:paraId="7628A157" w14:textId="77777777" w:rsidR="00937689" w:rsidRDefault="00000000">
      <w:pPr>
        <w:pStyle w:val="Compact"/>
        <w:numPr>
          <w:ilvl w:val="0"/>
          <w:numId w:val="2"/>
        </w:numPr>
      </w:pPr>
      <w:r>
        <w:t>AI analytics platform access, including model hosting, training, and inferencing.</w:t>
      </w:r>
      <w:r>
        <w:br/>
      </w:r>
    </w:p>
    <w:p w14:paraId="0FC287DC" w14:textId="77777777" w:rsidR="00937689" w:rsidRDefault="00000000">
      <w:pPr>
        <w:pStyle w:val="Compact"/>
        <w:numPr>
          <w:ilvl w:val="0"/>
          <w:numId w:val="2"/>
        </w:numPr>
      </w:pPr>
      <w:r>
        <w:t>Regulatory and compliance reporting tools integrated with Client datasets.</w:t>
      </w:r>
      <w:r>
        <w:br/>
      </w:r>
    </w:p>
    <w:p w14:paraId="34E2C323" w14:textId="77777777" w:rsidR="00937689" w:rsidRDefault="00000000">
      <w:pPr>
        <w:pStyle w:val="Compact"/>
        <w:numPr>
          <w:ilvl w:val="0"/>
          <w:numId w:val="2"/>
        </w:numPr>
      </w:pPr>
      <w:r>
        <w:t>Standard support and maintenance services as described in Service Levels.</w:t>
      </w:r>
      <w:bookmarkEnd w:id="0"/>
      <w:bookmarkEnd w:id="10"/>
    </w:p>
    <w:sectPr w:rsidR="009376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163C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0AA0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30454192">
    <w:abstractNumId w:val="0"/>
  </w:num>
  <w:num w:numId="2" w16cid:durableId="894316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689"/>
    <w:rsid w:val="00311E04"/>
    <w:rsid w:val="00937689"/>
    <w:rsid w:val="00C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714C"/>
  <w15:docId w15:val="{6F6E9469-2D12-46FC-8B4A-C4F69EA4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Rokade</cp:lastModifiedBy>
  <cp:revision>2</cp:revision>
  <dcterms:created xsi:type="dcterms:W3CDTF">2026-06-16T18:48:00Z</dcterms:created>
  <dcterms:modified xsi:type="dcterms:W3CDTF">2026-06-16T18:50:00Z</dcterms:modified>
</cp:coreProperties>
</file>