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29 (25 August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 of Deployment Strategies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deployment strategies balance speed of delivery with system stability, and why is this trade-off critical in modern CI/CD pipelines?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strategies balance fast feature delivery with system stability by controlling how and when changes reach users. This trade-off is critical in CI/CD because faster releases increase change frequency, while controlled rollouts reduce the impact of failures.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Blue-Green Deployment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ways does blue-green deployment reduce downtime, and what risks remain if database schema changes are involved?</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Blue-green deployment maintains two environments and switches traffic from the old (Blue) version to the new (Green) version, enabling near-zero downtime and quick rollback. Database schema changes remain risky if the old and new application versions are not compatible with the same schema.</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Canary Releases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canary releases considered safer than full rollouts, and how does traffic segmentation influence the reliability of feedback?</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Canary releases expose the new version to a small percentage of users first, limiting the impact of defects. Traffic segmentation provides real production feedback before expanding the rollout, making failures easier to detect and contain.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Dark Launching &amp; Shadow Traffic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shadow traffic help validate new features under real-world conditions, and what are the ethical considerations of dark launching?</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traffic sends copies of real production requests to the new system without affecting actual user responses, allowing realistic performance and behavior testing. Dark launching should consider privacy, security, consent, and data protection, especially when real user data is involved.</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Flags, Rollback &amp; Monitoring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feature flags act as safety nets during cutover, and why must monitoring be tightly integrated with rollback strategies to ensure resilience?</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flags allow new functionality to be enabled, disabled, or gradually released without redeploying the application, acting as a safety net. Monitoring must be connected to rollback decisions so abnormal errors, latency, or failures can trigger rapid mitigation.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