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8E04D">
      <w:pPr>
        <w:spacing w:after="234" w:line="259" w:lineRule="auto"/>
        <w:ind w:left="7" w:firstLine="0"/>
        <w:jc w:val="center"/>
      </w:pPr>
      <w:r>
        <w:rPr>
          <w:b/>
          <w:sz w:val="48"/>
          <w:u w:val="single" w:color="000000"/>
        </w:rPr>
        <w:t>Literature Review</w:t>
      </w:r>
      <w:r>
        <w:rPr>
          <w:b/>
          <w:sz w:val="48"/>
        </w:rPr>
        <w:t xml:space="preserve"> </w:t>
      </w:r>
    </w:p>
    <w:p w14:paraId="7BF1B81F">
      <w:pPr>
        <w:spacing w:line="355" w:lineRule="auto"/>
        <w:ind w:left="871" w:right="767" w:firstLine="0"/>
        <w:jc w:val="center"/>
        <w:rPr>
          <w:b/>
          <w:bCs/>
          <w:sz w:val="52"/>
          <w:szCs w:val="52"/>
        </w:rPr>
      </w:pPr>
      <w:r>
        <w:rPr>
          <w:rFonts w:hint="default"/>
          <w:b/>
          <w:bCs/>
          <w:sz w:val="52"/>
          <w:szCs w:val="52"/>
          <w:lang w:val="en-IN"/>
        </w:rPr>
        <w:t>Market Basket</w:t>
      </w:r>
      <w:bookmarkStart w:id="0" w:name="_GoBack"/>
      <w:bookmarkEnd w:id="0"/>
      <w:r>
        <w:rPr>
          <w:b/>
          <w:bCs/>
          <w:sz w:val="52"/>
          <w:szCs w:val="52"/>
        </w:rPr>
        <w:t xml:space="preserve"> Analysis</w:t>
      </w:r>
    </w:p>
    <w:p w14:paraId="0331686A">
      <w:pPr>
        <w:spacing w:line="355" w:lineRule="auto"/>
        <w:ind w:left="871" w:right="767" w:firstLine="0"/>
        <w:jc w:val="center"/>
      </w:pPr>
    </w:p>
    <w:p w14:paraId="197F5465">
      <w:pPr>
        <w:spacing w:after="213" w:line="259" w:lineRule="auto"/>
        <w:ind w:left="0" w:firstLine="0"/>
      </w:pPr>
      <w:r>
        <w:rPr>
          <w:b/>
          <w:i/>
          <w:sz w:val="32"/>
        </w:rPr>
        <w:t xml:space="preserve">Literature Review </w:t>
      </w:r>
    </w:p>
    <w:p w14:paraId="7E9DB1B9">
      <w:pPr>
        <w:numPr>
          <w:ilvl w:val="0"/>
          <w:numId w:val="1"/>
        </w:numPr>
        <w:spacing w:line="259" w:lineRule="auto"/>
        <w:ind w:hanging="440"/>
      </w:pPr>
      <w:r>
        <w:rPr>
          <w:b/>
        </w:rPr>
        <w:t>Introduction:</w:t>
      </w:r>
    </w:p>
    <w:p w14:paraId="44D56EC6">
      <w:pPr>
        <w:numPr>
          <w:numId w:val="0"/>
        </w:numPr>
        <w:spacing w:line="259" w:lineRule="auto"/>
        <w:ind w:leftChars="0"/>
      </w:pPr>
      <w:r>
        <w:rPr>
          <w:rFonts w:hint="default" w:ascii="Times New Roman" w:hAnsi="Times New Roman" w:eastAsia="SimSun" w:cs="Times New Roman"/>
          <w:sz w:val="24"/>
          <w:szCs w:val="24"/>
        </w:rPr>
        <w:t>Market Basket Analysis (MBA) is a key technique in data mining used to uncover relationships between items in transactional datasets, especially in the e-commerce sector. As online shopping platforms accumulate massive amounts of purchase data, businesses seek to derive actionable insights to enhance product recommendations, marketing strategies, and customer satisfaction. This literature review summarizes foundational and recent studies in MBA, highlighting traditional approaches, advanced algorithms like Apriori and FP-Growth, and the growing role of machine learning in association rule mining.</w:t>
      </w:r>
      <w:r>
        <w:t xml:space="preserve">  </w:t>
      </w:r>
    </w:p>
    <w:p w14:paraId="7B154FDD">
      <w:pPr>
        <w:numPr>
          <w:ilvl w:val="0"/>
          <w:numId w:val="1"/>
        </w:numPr>
        <w:spacing w:line="259" w:lineRule="auto"/>
        <w:ind w:hanging="440"/>
      </w:pPr>
      <w:r>
        <w:rPr>
          <w:b/>
        </w:rPr>
        <w:t>Theoretical Background</w:t>
      </w:r>
      <w:r>
        <w:t xml:space="preserve">: </w:t>
      </w:r>
    </w:p>
    <w:p w14:paraId="6D73D2E5">
      <w:pPr>
        <w:numPr>
          <w:numId w:val="0"/>
        </w:numPr>
        <w:spacing w:line="259" w:lineRule="auto"/>
        <w:ind w:leftChars="0"/>
        <w:rPr>
          <w:rFonts w:hint="default" w:ascii="Times New Roman" w:hAnsi="Times New Roman" w:cs="Times New Roman"/>
        </w:rPr>
      </w:pPr>
      <w:r>
        <w:rPr>
          <w:rFonts w:hint="default" w:ascii="Times New Roman" w:hAnsi="Times New Roman" w:eastAsia="SimSun" w:cs="Times New Roman"/>
          <w:sz w:val="24"/>
          <w:szCs w:val="24"/>
        </w:rPr>
        <w:t xml:space="preserve">The foundation of MBA lies in association rule mining, first formalized in the seminal work by Agrawal et al. (1993). The theory focuses on identifying frequent itemsets and generating rules that describe how items are associated within customer transactions. Core concepts include </w:t>
      </w:r>
      <w:r>
        <w:rPr>
          <w:rStyle w:val="15"/>
          <w:rFonts w:hint="default" w:ascii="Times New Roman" w:hAnsi="Times New Roman" w:eastAsia="SimSun" w:cs="Times New Roman"/>
          <w:sz w:val="24"/>
          <w:szCs w:val="24"/>
        </w:rPr>
        <w:t>support</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confidence</w:t>
      </w:r>
      <w:r>
        <w:rPr>
          <w:rFonts w:hint="default" w:ascii="Times New Roman" w:hAnsi="Times New Roman" w:eastAsia="SimSun" w:cs="Times New Roman"/>
          <w:sz w:val="24"/>
          <w:szCs w:val="24"/>
        </w:rPr>
        <w:t xml:space="preserve">, and </w:t>
      </w:r>
      <w:r>
        <w:rPr>
          <w:rStyle w:val="15"/>
          <w:rFonts w:hint="default" w:ascii="Times New Roman" w:hAnsi="Times New Roman" w:eastAsia="SimSun" w:cs="Times New Roman"/>
          <w:sz w:val="24"/>
          <w:szCs w:val="24"/>
        </w:rPr>
        <w:t>lift</w:t>
      </w:r>
      <w:r>
        <w:rPr>
          <w:rFonts w:hint="default" w:ascii="Times New Roman" w:hAnsi="Times New Roman" w:eastAsia="SimSun" w:cs="Times New Roman"/>
          <w:sz w:val="24"/>
          <w:szCs w:val="24"/>
        </w:rPr>
        <w:t xml:space="preserve">, which quantify rule strength and relevance. These metrics are rooted in probability theory and </w:t>
      </w:r>
      <w:r>
        <w:rPr>
          <w:rFonts w:hint="default" w:ascii="Times New Roman" w:hAnsi="Times New Roman" w:eastAsia="SimSun" w:cs="Times New Roman"/>
          <w:sz w:val="24"/>
          <w:szCs w:val="24"/>
          <w:lang w:val="en-IN"/>
        </w:rPr>
        <w:t>combinatorics</w:t>
      </w:r>
      <w:r>
        <w:rPr>
          <w:rFonts w:hint="default" w:ascii="Times New Roman" w:hAnsi="Times New Roman" w:eastAsia="SimSun" w:cs="Times New Roman"/>
          <w:sz w:val="24"/>
          <w:szCs w:val="24"/>
        </w:rPr>
        <w:t xml:space="preserve"> and inform rule evaluation across various domains beyond retail, including healthcare and finance.</w:t>
      </w:r>
    </w:p>
    <w:p w14:paraId="629F51FB">
      <w:pPr>
        <w:numPr>
          <w:ilvl w:val="0"/>
          <w:numId w:val="1"/>
        </w:numPr>
        <w:spacing w:line="259" w:lineRule="auto"/>
        <w:ind w:hanging="440"/>
      </w:pPr>
      <w:r>
        <w:rPr>
          <w:rFonts w:hint="default" w:ascii="Times New Roman" w:hAnsi="Times New Roman" w:cs="Times New Roman"/>
          <w:b/>
          <w:bCs/>
          <w:lang w:val="en-IN"/>
        </w:rPr>
        <w:t>Traditional Methods in Market Basket Analysis:</w:t>
      </w:r>
      <w:r>
        <w:br w:type="textWrapping"/>
      </w:r>
      <w:r>
        <w:rPr>
          <w:rFonts w:hint="default" w:ascii="Times New Roman" w:hAnsi="Times New Roman" w:eastAsia="SimSun" w:cs="Times New Roman"/>
          <w:sz w:val="24"/>
          <w:szCs w:val="24"/>
        </w:rPr>
        <w:t xml:space="preserve">Classical MBA approaches focus on algorithms like </w:t>
      </w:r>
      <w:r>
        <w:rPr>
          <w:rStyle w:val="15"/>
          <w:rFonts w:hint="default" w:ascii="Times New Roman" w:hAnsi="Times New Roman" w:eastAsia="SimSun" w:cs="Times New Roman"/>
          <w:sz w:val="24"/>
          <w:szCs w:val="24"/>
        </w:rPr>
        <w:t>Apriori</w:t>
      </w:r>
      <w:r>
        <w:rPr>
          <w:rFonts w:hint="default" w:ascii="Times New Roman" w:hAnsi="Times New Roman" w:eastAsia="SimSun" w:cs="Times New Roman"/>
          <w:sz w:val="24"/>
          <w:szCs w:val="24"/>
        </w:rPr>
        <w:t xml:space="preserve">, which iteratively </w:t>
      </w:r>
      <w:r>
        <w:rPr>
          <w:rFonts w:hint="default" w:ascii="Times New Roman" w:hAnsi="Times New Roman" w:eastAsia="SimSun" w:cs="Times New Roman"/>
          <w:sz w:val="24"/>
          <w:szCs w:val="24"/>
          <w:lang w:val="en-IN"/>
        </w:rPr>
        <w:t>identify</w:t>
      </w:r>
      <w:r>
        <w:rPr>
          <w:rFonts w:hint="default" w:ascii="Times New Roman" w:hAnsi="Times New Roman" w:eastAsia="SimSun" w:cs="Times New Roman"/>
          <w:sz w:val="24"/>
          <w:szCs w:val="24"/>
        </w:rPr>
        <w:t xml:space="preserve"> frequent itemsets using a bottom-up approach. </w:t>
      </w:r>
      <w:r>
        <w:rPr>
          <w:rStyle w:val="15"/>
          <w:rFonts w:hint="default" w:ascii="Times New Roman" w:hAnsi="Times New Roman" w:eastAsia="SimSun" w:cs="Times New Roman"/>
          <w:sz w:val="24"/>
          <w:szCs w:val="24"/>
        </w:rPr>
        <w:t>FP-Growth</w:t>
      </w:r>
      <w:r>
        <w:rPr>
          <w:rFonts w:hint="default" w:ascii="Times New Roman" w:hAnsi="Times New Roman" w:eastAsia="SimSun" w:cs="Times New Roman"/>
          <w:sz w:val="24"/>
          <w:szCs w:val="24"/>
        </w:rPr>
        <w:t>, introduced later, improves computational efficiency by eliminating the need for candidate generation. These algorithms have been widely adopted in early studies of retail analytics and web usage mining. While effective for smaller datasets, their performance often declines with the scale and dimensionality typical in modern e-commerce platforms.</w:t>
      </w:r>
    </w:p>
    <w:p w14:paraId="703E454B">
      <w:pPr>
        <w:numPr>
          <w:ilvl w:val="0"/>
          <w:numId w:val="1"/>
        </w:numPr>
        <w:spacing w:line="259" w:lineRule="auto"/>
        <w:ind w:hanging="440"/>
      </w:pPr>
      <w:r>
        <w:rPr>
          <w:rFonts w:hint="default"/>
          <w:b/>
          <w:bCs/>
          <w:lang w:val="en-IN"/>
        </w:rPr>
        <w:t>Machine learning and Advanced Techniques:</w:t>
      </w:r>
      <w:r>
        <w:rPr>
          <w:b/>
          <w:bCs/>
        </w:rPr>
        <w:br w:type="textWrapping"/>
      </w:r>
      <w:r>
        <w:rPr>
          <w:rFonts w:hint="default" w:ascii="Times New Roman" w:hAnsi="Times New Roman" w:eastAsia="SimSun" w:cs="Times New Roman"/>
          <w:b w:val="0"/>
          <w:bCs w:val="0"/>
          <w:sz w:val="24"/>
          <w:szCs w:val="24"/>
        </w:rPr>
        <w:t>Recent advances integrate MBA with machine learning techniques to improve pattern discovery and predictive modeling. Clustering algorithms (e.g., k-means) are used to segment customers before rule mining, while supervised models rank or filter association rules. Studies by Tan et al. (2019) and Singh &amp; Kumar (2020) demonstrate that ensemble methods, such as Random Forest and Gradient Boosting, can predict the likelihood of certain baskets forming, moving beyond descriptive analytics into predictive insights.</w:t>
      </w:r>
    </w:p>
    <w:p w14:paraId="1518EE24">
      <w:pPr>
        <w:numPr>
          <w:ilvl w:val="0"/>
          <w:numId w:val="1"/>
        </w:numPr>
        <w:spacing w:line="259" w:lineRule="auto"/>
        <w:ind w:hanging="440"/>
      </w:pPr>
      <w:r>
        <w:rPr>
          <w:b/>
          <w:bCs/>
        </w:rPr>
        <w:t xml:space="preserve">Key Factors </w:t>
      </w:r>
      <w:r>
        <w:rPr>
          <w:rFonts w:hint="default"/>
          <w:b/>
          <w:bCs/>
          <w:lang w:val="en-IN"/>
        </w:rPr>
        <w:t>in rule quality and interpret-ability</w:t>
      </w:r>
      <w:r>
        <w:rPr>
          <w:b/>
          <w:bCs/>
        </w:rPr>
        <w:t>:</w:t>
      </w:r>
      <w:r>
        <w:t xml:space="preserve"> </w:t>
      </w:r>
      <w:r>
        <w:br w:type="textWrapping"/>
      </w:r>
      <w:r>
        <w:rPr>
          <w:rFonts w:hint="default" w:ascii="Times New Roman" w:hAnsi="Times New Roman" w:eastAsia="SimSun" w:cs="Times New Roman"/>
          <w:sz w:val="24"/>
          <w:szCs w:val="24"/>
        </w:rPr>
        <w:t xml:space="preserve">Rule quality depends heavily on appropriate threshold settings for support and confidence. Research also emphasizes the importance of </w:t>
      </w:r>
      <w:r>
        <w:rPr>
          <w:rStyle w:val="15"/>
          <w:rFonts w:hint="default" w:ascii="Times New Roman" w:hAnsi="Times New Roman" w:eastAsia="SimSun" w:cs="Times New Roman"/>
          <w:sz w:val="24"/>
          <w:szCs w:val="24"/>
        </w:rPr>
        <w:t>lift</w:t>
      </w:r>
      <w:r>
        <w:rPr>
          <w:rFonts w:hint="default" w:ascii="Times New Roman" w:hAnsi="Times New Roman" w:eastAsia="SimSun" w:cs="Times New Roman"/>
          <w:sz w:val="24"/>
          <w:szCs w:val="24"/>
        </w:rPr>
        <w:t xml:space="preserve"> as an indicator of non-random association. More recent work explores </w:t>
      </w:r>
      <w:r>
        <w:rPr>
          <w:rStyle w:val="15"/>
          <w:rFonts w:hint="default" w:ascii="Times New Roman" w:hAnsi="Times New Roman" w:eastAsia="SimSun" w:cs="Times New Roman"/>
          <w:sz w:val="24"/>
          <w:szCs w:val="24"/>
        </w:rPr>
        <w:t>interestingness measures</w:t>
      </w:r>
      <w:r>
        <w:rPr>
          <w:rFonts w:hint="default" w:ascii="Times New Roman" w:hAnsi="Times New Roman" w:eastAsia="SimSun" w:cs="Times New Roman"/>
          <w:sz w:val="24"/>
          <w:szCs w:val="24"/>
        </w:rPr>
        <w:t xml:space="preserve"> to prioritize rules with business value. </w:t>
      </w:r>
      <w:r>
        <w:rPr>
          <w:rFonts w:hint="default" w:ascii="Times New Roman" w:hAnsi="Times New Roman" w:eastAsia="SimSun" w:cs="Times New Roman"/>
          <w:sz w:val="24"/>
          <w:szCs w:val="24"/>
          <w:lang w:val="en-IN"/>
        </w:rPr>
        <w:t>Interpret-ability</w:t>
      </w:r>
      <w:r>
        <w:rPr>
          <w:rFonts w:hint="default" w:ascii="Times New Roman" w:hAnsi="Times New Roman" w:eastAsia="SimSun" w:cs="Times New Roman"/>
          <w:sz w:val="24"/>
          <w:szCs w:val="24"/>
        </w:rPr>
        <w:t xml:space="preserve"> is increasingly important, leading to tools such as </w:t>
      </w:r>
      <w:r>
        <w:rPr>
          <w:rStyle w:val="15"/>
          <w:rFonts w:hint="default" w:ascii="Times New Roman" w:hAnsi="Times New Roman" w:eastAsia="SimSun" w:cs="Times New Roman"/>
          <w:sz w:val="24"/>
          <w:szCs w:val="24"/>
        </w:rPr>
        <w:t>SHAP</w:t>
      </w:r>
      <w:r>
        <w:rPr>
          <w:rFonts w:hint="default" w:ascii="Times New Roman" w:hAnsi="Times New Roman" w:eastAsia="SimSun" w:cs="Times New Roman"/>
          <w:sz w:val="24"/>
          <w:szCs w:val="24"/>
        </w:rPr>
        <w:t xml:space="preserve"> and </w:t>
      </w:r>
      <w:r>
        <w:rPr>
          <w:rStyle w:val="15"/>
          <w:rFonts w:hint="default" w:ascii="Times New Roman" w:hAnsi="Times New Roman" w:eastAsia="SimSun" w:cs="Times New Roman"/>
          <w:sz w:val="24"/>
          <w:szCs w:val="24"/>
        </w:rPr>
        <w:t>LIME</w:t>
      </w:r>
      <w:r>
        <w:rPr>
          <w:rFonts w:hint="default" w:ascii="Times New Roman" w:hAnsi="Times New Roman" w:eastAsia="SimSun" w:cs="Times New Roman"/>
          <w:sz w:val="24"/>
          <w:szCs w:val="24"/>
        </w:rPr>
        <w:t xml:space="preserve"> being adopted to explain the rationale behind recommendation models built on association data (Lundberg &amp; Lee, 2017).</w:t>
      </w:r>
    </w:p>
    <w:p w14:paraId="73D75DBE">
      <w:pPr>
        <w:numPr>
          <w:ilvl w:val="0"/>
          <w:numId w:val="1"/>
        </w:numPr>
        <w:spacing w:line="259" w:lineRule="auto"/>
        <w:ind w:hanging="440"/>
      </w:pPr>
      <w:r>
        <w:rPr>
          <w:b/>
        </w:rPr>
        <w:t xml:space="preserve"> </w:t>
      </w:r>
      <w:r>
        <w:rPr>
          <w:rFonts w:hint="default"/>
          <w:b/>
          <w:lang w:val="en-IN"/>
        </w:rPr>
        <w:t xml:space="preserve">Applications and </w:t>
      </w:r>
      <w:r>
        <w:rPr>
          <w:b/>
          <w:bCs/>
        </w:rPr>
        <w:t>C</w:t>
      </w:r>
      <w:r>
        <w:rPr>
          <w:rFonts w:hint="default"/>
          <w:b/>
          <w:bCs/>
          <w:lang w:val="en-IN"/>
        </w:rPr>
        <w:t>ase studies:</w:t>
      </w:r>
      <w:r>
        <w:rPr>
          <w:b/>
        </w:rPr>
        <w:br w:type="textWrapping"/>
      </w:r>
      <w:r>
        <w:rPr>
          <w:rFonts w:hint="default" w:ascii="Times New Roman" w:hAnsi="Times New Roman" w:eastAsia="SimSun" w:cs="Times New Roman"/>
          <w:sz w:val="24"/>
          <w:szCs w:val="24"/>
        </w:rPr>
        <w:t>MBA has been applied in diverse e-commerce contexts, including grocery retail, electronics, and fashion. Case studies show its effectiveness in designing product bundles, optimizing online store layouts, and improving upselling techniques. Amazon’s recommendation engine, for instance, is a widely cited success case built in part on association rules and collaborative filtering.</w:t>
      </w:r>
    </w:p>
    <w:p w14:paraId="57C46F24">
      <w:pPr>
        <w:numPr>
          <w:ilvl w:val="0"/>
          <w:numId w:val="1"/>
        </w:numPr>
        <w:spacing w:line="259" w:lineRule="auto"/>
        <w:ind w:hanging="440"/>
        <w:rPr>
          <w:rFonts w:hint="default" w:ascii="Times New Roman" w:hAnsi="Times New Roman" w:eastAsia="SimSun"/>
          <w:b/>
          <w:bCs/>
          <w:sz w:val="24"/>
          <w:szCs w:val="24"/>
          <w:lang w:val="en-IN"/>
        </w:rPr>
      </w:pPr>
      <w:r>
        <w:rPr>
          <w:rFonts w:hint="default" w:ascii="Times New Roman" w:hAnsi="Times New Roman" w:eastAsia="SimSun" w:cs="Times New Roman"/>
          <w:b/>
          <w:bCs/>
          <w:sz w:val="24"/>
          <w:szCs w:val="24"/>
          <w:lang w:val="en-IN"/>
        </w:rPr>
        <w:t>Challenges in E-Commerce MBA:</w:t>
      </w:r>
      <w:r>
        <w:rPr>
          <w:rFonts w:hint="default" w:ascii="Times New Roman" w:hAnsi="Times New Roman" w:eastAsia="SimSun" w:cs="Times New Roman"/>
          <w:b/>
          <w:bCs/>
          <w:sz w:val="24"/>
          <w:szCs w:val="24"/>
          <w:lang w:val="en-IN"/>
        </w:rPr>
        <w:br w:type="textWrapping"/>
      </w:r>
      <w:r>
        <w:rPr>
          <w:rFonts w:hint="default" w:ascii="Times New Roman" w:hAnsi="Times New Roman" w:eastAsia="SimSun"/>
          <w:b/>
          <w:bCs/>
          <w:sz w:val="24"/>
          <w:szCs w:val="24"/>
          <w:lang w:val="en-IN"/>
        </w:rPr>
        <w:t>Despite its potential, MBA faces several challenges:</w:t>
      </w:r>
    </w:p>
    <w:p w14:paraId="217AA3C5">
      <w:pPr>
        <w:numPr>
          <w:numId w:val="0"/>
        </w:numPr>
        <w:spacing w:line="259" w:lineRule="auto"/>
        <w:ind w:leftChars="0"/>
        <w:rPr>
          <w:rFonts w:hint="default" w:ascii="Times New Roman" w:hAnsi="Times New Roman" w:eastAsia="SimSun"/>
          <w:b w:val="0"/>
          <w:bCs w:val="0"/>
          <w:sz w:val="24"/>
          <w:szCs w:val="24"/>
          <w:lang w:val="en-IN"/>
        </w:rPr>
      </w:pPr>
      <w:r>
        <w:rPr>
          <w:rFonts w:hint="default" w:ascii="Times New Roman" w:hAnsi="Times New Roman" w:eastAsia="SimSun"/>
          <w:b w:val="0"/>
          <w:bCs w:val="0"/>
          <w:sz w:val="24"/>
          <w:szCs w:val="24"/>
          <w:lang w:val="en-IN"/>
        </w:rPr>
        <w:t>Scalability: Handling large volumes of transaction data in real-time is computationally intensive.</w:t>
      </w:r>
    </w:p>
    <w:p w14:paraId="050CA888">
      <w:pPr>
        <w:numPr>
          <w:numId w:val="0"/>
        </w:numPr>
        <w:spacing w:line="259" w:lineRule="auto"/>
        <w:ind w:leftChars="0"/>
        <w:rPr>
          <w:rFonts w:hint="default" w:ascii="Times New Roman" w:hAnsi="Times New Roman" w:eastAsia="SimSun"/>
          <w:b w:val="0"/>
          <w:bCs w:val="0"/>
          <w:sz w:val="24"/>
          <w:szCs w:val="24"/>
          <w:lang w:val="en-IN"/>
        </w:rPr>
      </w:pPr>
      <w:r>
        <w:rPr>
          <w:rFonts w:hint="default" w:ascii="Times New Roman" w:hAnsi="Times New Roman" w:eastAsia="SimSun"/>
          <w:b w:val="0"/>
          <w:bCs w:val="0"/>
          <w:sz w:val="24"/>
          <w:szCs w:val="24"/>
          <w:lang w:val="en-IN"/>
        </w:rPr>
        <w:t>Sparsity: Many customers purchase only a few items, resulting in sparse datasets.</w:t>
      </w:r>
    </w:p>
    <w:p w14:paraId="792FE51D">
      <w:pPr>
        <w:numPr>
          <w:numId w:val="0"/>
        </w:numPr>
        <w:spacing w:line="259" w:lineRule="auto"/>
        <w:ind w:leftChars="0"/>
        <w:rPr>
          <w:rFonts w:hint="default" w:ascii="Times New Roman" w:hAnsi="Times New Roman" w:eastAsia="SimSun"/>
          <w:b w:val="0"/>
          <w:bCs w:val="0"/>
          <w:sz w:val="24"/>
          <w:szCs w:val="24"/>
          <w:lang w:val="en-IN"/>
        </w:rPr>
      </w:pPr>
      <w:r>
        <w:rPr>
          <w:rFonts w:hint="default" w:ascii="Times New Roman" w:hAnsi="Times New Roman" w:eastAsia="SimSun"/>
          <w:b w:val="0"/>
          <w:bCs w:val="0"/>
          <w:sz w:val="24"/>
          <w:szCs w:val="24"/>
          <w:lang w:val="en-IN"/>
        </w:rPr>
        <w:t>Cold Start Problem: New users and products lack historical data, making association difficult.</w:t>
      </w:r>
    </w:p>
    <w:p w14:paraId="082F7EB3">
      <w:pPr>
        <w:numPr>
          <w:numId w:val="0"/>
        </w:numPr>
        <w:spacing w:line="259" w:lineRule="auto"/>
        <w:ind w:leftChars="0"/>
      </w:pPr>
      <w:r>
        <w:rPr>
          <w:rFonts w:hint="default" w:ascii="Times New Roman" w:hAnsi="Times New Roman" w:eastAsia="SimSun"/>
          <w:b w:val="0"/>
          <w:bCs w:val="0"/>
          <w:sz w:val="24"/>
          <w:szCs w:val="24"/>
          <w:lang w:val="en-IN"/>
        </w:rPr>
        <w:t>Context Ignorance: Traditional MBA often ignores time, user behavior, and seasonality, which can influence purchasing patterns</w:t>
      </w:r>
      <w:r>
        <w:rPr>
          <w:rFonts w:hint="default" w:ascii="Times New Roman" w:hAnsi="Times New Roman" w:eastAsia="SimSun"/>
          <w:b/>
          <w:bCs/>
          <w:sz w:val="24"/>
          <w:szCs w:val="24"/>
          <w:lang w:val="en-IN"/>
        </w:rPr>
        <w:t>.</w:t>
      </w:r>
      <w:r>
        <w:rPr>
          <w:b/>
        </w:rPr>
        <w:br w:type="textWrapping"/>
      </w:r>
      <w:r>
        <w:rPr>
          <w:rFonts w:hint="default"/>
          <w:b/>
          <w:lang w:val="en-IN"/>
        </w:rPr>
        <w:t xml:space="preserve">8.   </w:t>
      </w:r>
      <w:r>
        <w:rPr>
          <w:b/>
        </w:rPr>
        <w:t xml:space="preserve">Contributions of This Project: </w:t>
      </w:r>
    </w:p>
    <w:p w14:paraId="593B0BE3">
      <w:pPr>
        <w:numPr>
          <w:numId w:val="0"/>
        </w:numPr>
        <w:spacing w:line="259" w:lineRule="auto"/>
        <w:rPr>
          <w:rFonts w:hint="default" w:ascii="Times New Roman" w:hAnsi="Times New Roman" w:cs="Times New Roman"/>
          <w:bCs/>
        </w:rPr>
      </w:pPr>
      <w:r>
        <w:rPr>
          <w:rFonts w:hint="default" w:ascii="Times New Roman" w:hAnsi="Times New Roman" w:eastAsia="SimSun" w:cs="Times New Roman"/>
          <w:sz w:val="24"/>
          <w:szCs w:val="24"/>
        </w:rPr>
        <w:t>This project seeks to bridge gaps by applying the Apriori algorithm on real-world e-commerce data and enhancing its value with visual analytics and explainable outputs. It also considers product-level segmentation and proposes practical business recommendations. Unlike standard MBA, the project aims to combine rule discovery with strategic insights that stakeholders can apply to layout design, cross-selling, and customer retention.</w:t>
      </w:r>
    </w:p>
    <w:p w14:paraId="4943F907">
      <w:pPr>
        <w:numPr>
          <w:numId w:val="0"/>
        </w:numPr>
        <w:spacing w:line="259" w:lineRule="auto"/>
        <w:ind w:leftChars="0"/>
        <w:rPr>
          <w:rFonts w:hint="default" w:ascii="Times New Roman" w:hAnsi="Times New Roman" w:cs="Times New Roman"/>
        </w:rPr>
      </w:pPr>
      <w:r>
        <w:rPr>
          <w:rFonts w:hint="default"/>
          <w:b/>
          <w:lang w:val="en-IN"/>
        </w:rPr>
        <w:t xml:space="preserve">9. </w:t>
      </w:r>
      <w:r>
        <w:rPr>
          <w:b/>
        </w:rPr>
        <w:t xml:space="preserve">Conclusion: </w:t>
      </w:r>
    </w:p>
    <w:p w14:paraId="4FB55B28">
      <w:pPr>
        <w:spacing w:line="259" w:lineRule="auto"/>
        <w:ind w:left="0" w:firstLine="0"/>
        <w:rPr>
          <w:rFonts w:hint="default" w:ascii="Times New Roman" w:hAnsi="Times New Roman" w:cs="Times New Roman"/>
        </w:rPr>
      </w:pPr>
      <w:r>
        <w:rPr>
          <w:rFonts w:hint="default" w:ascii="Times New Roman" w:hAnsi="Times New Roman" w:eastAsia="SimSun" w:cs="Times New Roman"/>
          <w:sz w:val="24"/>
          <w:szCs w:val="24"/>
        </w:rPr>
        <w:t>Literature on Market Basket Analysis has evolved from basic rule mining to integrating machine learning and explainable AI. Traditional algorithms remain foundational but are increasingly being adapted for real-time, scalable, and interpretable applications. This project builds upon those developments by using Apriori for rule generation and visualization techniques to make insights actionable for business stakeholders.</w:t>
      </w:r>
    </w:p>
    <w:p w14:paraId="7B76F0A8">
      <w:pPr>
        <w:numPr>
          <w:ilvl w:val="0"/>
          <w:numId w:val="2"/>
        </w:numPr>
        <w:spacing w:after="251" w:line="259" w:lineRule="auto"/>
        <w:ind w:leftChars="0"/>
      </w:pPr>
      <w:r>
        <w:rPr>
          <w:rFonts w:hint="default"/>
          <w:b/>
          <w:lang w:val="en-IN"/>
        </w:rPr>
        <w:t xml:space="preserve"> </w:t>
      </w:r>
      <w:r>
        <w:rPr>
          <w:b/>
        </w:rPr>
        <w:t>References:</w:t>
      </w:r>
      <w:r>
        <w:t xml:space="preserve"> </w:t>
      </w:r>
    </w:p>
    <w:p w14:paraId="22E378A4">
      <w:pPr>
        <w:pStyle w:val="14"/>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Agrawal, R., Imielinski, T., &amp; Swami, A. (1993). "Mining Association Rules Between Sets of Items in Large Databases." ACM SIGMOD.</w:t>
      </w:r>
    </w:p>
    <w:p w14:paraId="068FB3CA">
      <w:pPr>
        <w:pStyle w:val="14"/>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Tan, P.-N., Steinbach, M., &amp; Kumar, V. (2019). </w:t>
      </w:r>
      <w:r>
        <w:rPr>
          <w:rStyle w:val="13"/>
          <w:rFonts w:hint="default" w:ascii="Times New Roman" w:hAnsi="Times New Roman" w:cs="Times New Roman"/>
        </w:rPr>
        <w:t>Introduction to Data Mining</w:t>
      </w:r>
      <w:r>
        <w:rPr>
          <w:rFonts w:hint="default" w:ascii="Times New Roman" w:hAnsi="Times New Roman" w:cs="Times New Roman"/>
        </w:rPr>
        <w:t>. Pearson.</w:t>
      </w:r>
    </w:p>
    <w:p w14:paraId="7DD9329B">
      <w:pPr>
        <w:pStyle w:val="14"/>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Singh, R., &amp; Kumar, S. (2020). "Hybrid Association Rule Mining Approach for E-commerce Recommender Systems." </w:t>
      </w:r>
      <w:r>
        <w:rPr>
          <w:rStyle w:val="13"/>
          <w:rFonts w:hint="default" w:ascii="Times New Roman" w:hAnsi="Times New Roman" w:cs="Times New Roman"/>
        </w:rPr>
        <w:t>Expert Systems with Applications</w:t>
      </w:r>
      <w:r>
        <w:rPr>
          <w:rFonts w:hint="default" w:ascii="Times New Roman" w:hAnsi="Times New Roman" w:cs="Times New Roman"/>
        </w:rPr>
        <w:t>.</w:t>
      </w:r>
    </w:p>
    <w:p w14:paraId="5F2757DC">
      <w:pPr>
        <w:pStyle w:val="14"/>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Lundberg, S.M., &amp; Lee, S.-I. (2017). "A Unified Approach to Interpreting Model Predictions." </w:t>
      </w:r>
      <w:r>
        <w:rPr>
          <w:rStyle w:val="13"/>
          <w:rFonts w:hint="default" w:ascii="Times New Roman" w:hAnsi="Times New Roman" w:cs="Times New Roman"/>
        </w:rPr>
        <w:t>Advances in Neural Information Processing Systems (NeurIPS)</w:t>
      </w:r>
      <w:r>
        <w:rPr>
          <w:rFonts w:hint="default" w:ascii="Times New Roman" w:hAnsi="Times New Roman" w:cs="Times New Roman"/>
        </w:rPr>
        <w:t>.</w:t>
      </w:r>
    </w:p>
    <w:p w14:paraId="370E4BFE">
      <w:r>
        <w:rPr>
          <w:rFonts w:hint="default" w:ascii="Symbol" w:hAnsi="Symbol" w:eastAsia="Symbol" w:cs="Symbol"/>
          <w:sz w:val="24"/>
        </w:rPr>
        <w:t>·</w:t>
      </w:r>
      <w:r>
        <w:rPr>
          <w:rFonts w:hint="eastAsia" w:ascii="SimSun" w:hAnsi="SimSun" w:eastAsia="SimSun" w:cs="SimSun"/>
          <w:sz w:val="24"/>
        </w:rPr>
        <w:t xml:space="preserve">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Pristina">
    <w:panose1 w:val="030604020404060802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A037DF"/>
    <w:multiLevelType w:val="singleLevel"/>
    <w:tmpl w:val="E7A037DF"/>
    <w:lvl w:ilvl="0" w:tentative="0">
      <w:start w:val="10"/>
      <w:numFmt w:val="decimal"/>
      <w:suff w:val="space"/>
      <w:lvlText w:val="%1."/>
      <w:lvlJc w:val="left"/>
    </w:lvl>
  </w:abstractNum>
  <w:abstractNum w:abstractNumId="1">
    <w:nsid w:val="1773405F"/>
    <w:multiLevelType w:val="multilevel"/>
    <w:tmpl w:val="1773405F"/>
    <w:lvl w:ilvl="0" w:tentative="0">
      <w:start w:val="1"/>
      <w:numFmt w:val="decimal"/>
      <w:lvlText w:val="%1."/>
      <w:lvlJc w:val="left"/>
      <w:pPr>
        <w:ind w:left="440"/>
      </w:pPr>
      <w:rPr>
        <w:rFonts w:ascii="Calibri" w:hAnsi="Calibri" w:eastAsia="Calibri" w:cs="Calibri"/>
        <w:b/>
        <w:bCs/>
        <w:i w:val="0"/>
        <w:strike w:val="0"/>
        <w:dstrike w:val="0"/>
        <w:color w:val="000000"/>
        <w:sz w:val="28"/>
        <w:szCs w:val="28"/>
        <w:u w:val="none" w:color="000000"/>
        <w:shd w:val="clear" w:color="auto" w:fill="auto"/>
        <w:vertAlign w:val="baseline"/>
      </w:rPr>
    </w:lvl>
    <w:lvl w:ilvl="1"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64C"/>
    <w:rsid w:val="0006064C"/>
    <w:rsid w:val="0028776E"/>
    <w:rsid w:val="008455F2"/>
    <w:rsid w:val="00F10739"/>
    <w:rsid w:val="38AA5EA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9" w:lineRule="auto"/>
      <w:ind w:left="370" w:hanging="370"/>
    </w:pPr>
    <w:rPr>
      <w:rFonts w:ascii="Calibri" w:hAnsi="Calibri" w:eastAsia="Calibri" w:cs="Calibri"/>
      <w:color w:val="000000"/>
      <w:kern w:val="2"/>
      <w:sz w:val="28"/>
      <w:szCs w:val="24"/>
      <w:lang w:val="en-IN" w:eastAsia="en-I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basedOn w:val="1"/>
    <w:semiHidden/>
    <w:unhideWhenUsed/>
    <w:uiPriority w:val="99"/>
    <w:rPr>
      <w:sz w:val="24"/>
      <w:szCs w:val="24"/>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943</Words>
  <Characters>5377</Characters>
  <Lines>44</Lines>
  <Paragraphs>12</Paragraphs>
  <TotalTime>26</TotalTime>
  <ScaleCrop>false</ScaleCrop>
  <LinksUpToDate>false</LinksUpToDate>
  <CharactersWithSpaces>6308</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2025-03-06T15:52:00Z</dcterms:created>
  <dc:creator>Kommineni, Bhargava Naidu</dc:creator>
  <cp:lastModifiedBy>kommineni bhargava naidu</cp:lastModifiedBy>
  <cp:lastPrinted>2025-03-06T15:49:00Z</cp:lastPrinted>
  <dcterms:modified xsi:type="dcterms:W3CDTF">2025-04-30T14:46:38Z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1844030A5B3F4E82A6636BF4DF82F1EB_13</vt:lpwstr>
  </property>
</Properties>
</file>