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shape style="width:400pt;height:40pt">
            <v:textbox>
              <w:txbxContent>
                <w:p>
                  <w:r>
                    <w:t>Priya Natarajan</w:t>
                  </w:r>
                </w:p>
                <w:p>
                  <w:r>
                    <w:t>Austin, TX · priya.natarajan@example.com · (512) 555-0143</w:t>
                  </w:r>
                </w:p>
              </w:txbxContent>
            </v:textbox>
          </v:shape>
        </w:pict>
      </w:r>
    </w:p>
    <w:p/>
    <w:p>
      <w:r>
        <w:t>SUMMARY</w:t>
      </w:r>
    </w:p>
    <w:p>
      <w:r>
        <w:t>Machine learning engineer with 6 years of experience taking LLM and recommendation systems from research to production. Comfortable across training, serving and MLOps.</w:t>
      </w:r>
    </w:p>
    <w:p/>
    <w:p>
      <w:r>
        <w:t>EXPERIENCE</w:t>
      </w:r>
    </w:p>
    <w:p>
      <w:r>
        <w:t>Senior Machine Learning Engineer — Acme Robotics</w:t>
      </w:r>
    </w:p>
    <w:p>
      <w:r>
        <w:t>Austin, TX | Mar 2021 – Present</w:t>
      </w:r>
    </w:p>
    <w:p>
      <w:r>
        <w:t>• Fine-tuned Llama-3-8B with LoRA on 40k support transcripts, cutting escalation rate 18%.</w:t>
      </w:r>
    </w:p>
    <w:p>
      <w:r>
        <w:t>• Built a RAG pipeline over 2M internal documents using pgvector and LangChain; p95 latency 380 ms.</w:t>
      </w:r>
    </w:p>
    <w:p>
      <w:r>
        <w:t>• Served models with vLLM on Kubernetes, autoscaled with KEDA; handled 250 rps at peak.</w:t>
      </w:r>
    </w:p>
    <w:p>
      <w:r>
        <w:t>• Set up drift detection with Evidently and Grafana alerting for 12 production models.</w:t>
      </w:r>
    </w:p>
    <w:p/>
    <w:p>
      <w:r>
        <w:t>Machine Learning Engineer — Northwind Analytics</w:t>
      </w:r>
    </w:p>
    <w:p>
      <w:r>
        <w:t>Remote | Jun 2018 – Feb 2021</w:t>
      </w:r>
    </w:p>
    <w:p>
      <w:r>
        <w:t>• Trained gradient-boosted churn models in LightGBM on Spark-prepared features, lifting retention 4%.</w:t>
      </w:r>
    </w:p>
    <w:p>
      <w:r>
        <w:t>• Tracked 300+ experiments in MLflow and automated retraining with Airflow DAGs.</w:t>
      </w:r>
    </w:p>
    <w:p>
      <w:r>
        <w:t>• Deployed models as FastAPI services in Docker with CI/CD via GitHub Actions.</w:t>
      </w:r>
    </w:p>
    <w:p/>
    <w:p>
      <w:r>
        <w:t>EDUCATION</w:t>
      </w:r>
    </w:p>
    <w:p>
      <w:r>
        <w:t>M.S. Computer Science — University of Texas at Austin, 2018</w:t>
      </w:r>
    </w:p>
    <w:p>
      <w:r>
        <w:t>B.Tech Computer Science — NIT Trichy, 2016</w:t>
      </w:r>
    </w:p>
    <w:p/>
    <w:p>
      <w:r>
        <w:t>SKILLS</w:t>
      </w:r>
    </w:p>
    <w:p>
      <w:r>
        <w:t>Languages: Python, SQL, Go</w:t>
      </w:r>
    </w:p>
    <w:p>
      <w:r>
        <w:t>ML: PyTorch, scikit-learn, XGBoost, Hugging Face Transformers, PEFT</w:t>
      </w:r>
    </w:p>
    <w:p>
      <w:r>
        <w:t>LLM: RAG, vector search, prompt engineering, DPO</w:t>
      </w:r>
    </w:p>
    <w:p>
      <w:r>
        <w:t>Infra: Docker, Kubernetes, AWS SageMaker, MLflow, Airflow, Spark</w:t>
      </w:r>
    </w:p>
    <w:p/>
    <w:p>
      <w:r>
        <w:t>PROJECTS</w:t>
      </w:r>
    </w:p>
    <w:p>
      <w:r>
        <w:t>Open-source reranker for hybrid retrieval (BM25 + dense)</w:t>
      </w:r>
    </w:p>
    <w:p>
      <w:r>
        <w:t>• Cross-encoder reranker that improved recall@10 by 11 points on BEIR subsets.</w:t>
      </w:r>
    </w:p>
    <w:p/>
    <w:p>
      <w:r>
        <w:t>CERTIFICATIONS</w:t>
      </w:r>
    </w:p>
    <w:p>
      <w:r>
        <w:t>AWS Certified Machine Learning – Specialty, 2022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