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5AB1" w14:textId="77777777" w:rsidR="00BA5A84" w:rsidRDefault="00BA5A84">
      <w:pPr>
        <w:pStyle w:val="Heading1"/>
        <w:divId w:val="1860268827"/>
        <w:rPr>
          <w:rFonts w:ascii="Calibri" w:eastAsia="Times New Roman" w:hAnsi="Calibri" w:cs="Calibri"/>
        </w:rPr>
      </w:pPr>
      <w:r>
        <w:rPr>
          <w:rFonts w:ascii="Calibri" w:eastAsia="Times New Roman" w:hAnsi="Calibri" w:cs="Calibri"/>
        </w:rPr>
        <w:t>SpendOps AI — Strategic Review</w:t>
      </w:r>
    </w:p>
    <w:p w14:paraId="21602254" w14:textId="77777777" w:rsidR="00BA5A84" w:rsidRDefault="00BA5A84">
      <w:pPr>
        <w:pStyle w:val="meta"/>
        <w:divId w:val="1860268827"/>
        <w:rPr>
          <w:rFonts w:ascii="Calibri" w:hAnsi="Calibri" w:cs="Calibri"/>
        </w:rPr>
      </w:pPr>
      <w:r>
        <w:rPr>
          <w:rFonts w:ascii="Calibri" w:hAnsi="Calibri" w:cs="Calibri"/>
        </w:rPr>
        <w:t>Prepared 2026-06-11 · Scope: full codebase, architecture, milestones M0–M3, roadmap (M4, V1, V2), business model and ICP</w:t>
      </w:r>
    </w:p>
    <w:p w14:paraId="0011A4D2" w14:textId="77777777" w:rsidR="00BA5A84" w:rsidRDefault="00BA5A84">
      <w:pPr>
        <w:pStyle w:val="Heading2"/>
        <w:divId w:val="1860268827"/>
        <w:rPr>
          <w:rFonts w:ascii="Calibri" w:eastAsia="Times New Roman" w:hAnsi="Calibri" w:cs="Calibri"/>
        </w:rPr>
      </w:pPr>
      <w:r>
        <w:rPr>
          <w:rFonts w:ascii="Calibri" w:eastAsia="Times New Roman" w:hAnsi="Calibri" w:cs="Calibri"/>
        </w:rPr>
        <w:t>TL;DR Verdict</w:t>
      </w:r>
    </w:p>
    <w:p w14:paraId="3FECB786" w14:textId="77777777" w:rsidR="00BA5A84" w:rsidRDefault="00BA5A84">
      <w:pPr>
        <w:pStyle w:val="NormalWeb"/>
        <w:divId w:val="1860268827"/>
        <w:rPr>
          <w:rFonts w:ascii="Calibri" w:hAnsi="Calibri" w:cs="Calibri"/>
          <w:color w:val="1A1A1A"/>
          <w:sz w:val="22"/>
          <w:szCs w:val="22"/>
        </w:rPr>
      </w:pPr>
      <w:r>
        <w:rPr>
          <w:rFonts w:ascii="Calibri" w:hAnsi="Calibri" w:cs="Calibri"/>
          <w:color w:val="1A1A1A"/>
          <w:sz w:val="22"/>
          <w:szCs w:val="22"/>
        </w:rPr>
        <w:t xml:space="preserve">The product is moving in </w:t>
      </w:r>
      <w:r>
        <w:rPr>
          <w:rStyle w:val="Strong"/>
          <w:rFonts w:ascii="Calibri" w:hAnsi="Calibri" w:cs="Calibri"/>
          <w:sz w:val="22"/>
          <w:szCs w:val="22"/>
        </w:rPr>
        <w:t>mostly the right direction with excellent engineering discipline, but the roadmap has three strategic flaws</w:t>
      </w:r>
      <w:r>
        <w:rPr>
          <w:rFonts w:ascii="Calibri" w:hAnsi="Calibri" w:cs="Calibri"/>
          <w:color w:val="1A1A1A"/>
          <w:sz w:val="22"/>
          <w:szCs w:val="22"/>
        </w:rPr>
        <w:t xml:space="preserve">: (1) the marketed wedge — per-customer attribution — is not actually deliverable with the current architecture, (2) the CFO PDF, the stated differentiator, is the </w:t>
      </w:r>
      <w:r>
        <w:rPr>
          <w:rStyle w:val="Emphasis"/>
          <w:rFonts w:ascii="Calibri" w:hAnsi="Calibri" w:cs="Calibri"/>
          <w:color w:val="1A1A1A"/>
          <w:sz w:val="22"/>
          <w:szCs w:val="22"/>
        </w:rPr>
        <w:t>last</w:t>
      </w:r>
      <w:r>
        <w:rPr>
          <w:rFonts w:ascii="Calibri" w:hAnsi="Calibri" w:cs="Calibri"/>
          <w:color w:val="1A1A1A"/>
          <w:sz w:val="22"/>
          <w:szCs w:val="22"/>
        </w:rPr>
        <w:t xml:space="preserve"> thing being built, and (3) the binding constraint has quietly shifted from code to customers, and the roadmap doesn't acknowledge it. There are 603 passing tests and zero paying customers. The next 90 days should be optimized for trust,</w:t>
      </w:r>
      <w:r>
        <w:rPr>
          <w:rFonts w:ascii="Calibri" w:hAnsi="Calibri" w:cs="Calibri"/>
          <w:color w:val="1A1A1A"/>
          <w:sz w:val="22"/>
          <w:szCs w:val="22"/>
        </w:rPr>
        <w:t xml:space="preserve"> validation, and first dollars — not feature breadth.</w:t>
      </w:r>
    </w:p>
    <w:p w14:paraId="77496219" w14:textId="77777777" w:rsidR="00BA5A84" w:rsidRDefault="00BA5A84">
      <w:pPr>
        <w:pStyle w:val="Heading2"/>
        <w:divId w:val="1860268827"/>
        <w:rPr>
          <w:rFonts w:ascii="Calibri" w:eastAsia="Times New Roman" w:hAnsi="Calibri" w:cs="Calibri"/>
        </w:rPr>
      </w:pPr>
      <w:r>
        <w:rPr>
          <w:rFonts w:ascii="Calibri" w:eastAsia="Times New Roman" w:hAnsi="Calibri" w:cs="Calibri"/>
        </w:rPr>
        <w:t>1. Understanding (the baseline)</w:t>
      </w:r>
    </w:p>
    <w:p w14:paraId="55455F6D" w14:textId="77777777" w:rsidR="00BA5A84" w:rsidRDefault="00BA5A84">
      <w:pPr>
        <w:pStyle w:val="NormalWeb"/>
        <w:divId w:val="1860268827"/>
        <w:rPr>
          <w:rFonts w:ascii="Calibri" w:hAnsi="Calibri" w:cs="Calibri"/>
          <w:color w:val="1A1A1A"/>
          <w:sz w:val="22"/>
          <w:szCs w:val="22"/>
        </w:rPr>
      </w:pPr>
      <w:r>
        <w:rPr>
          <w:rStyle w:val="Strong"/>
          <w:rFonts w:ascii="Calibri" w:hAnsi="Calibri" w:cs="Calibri"/>
          <w:sz w:val="22"/>
          <w:szCs w:val="22"/>
        </w:rPr>
        <w:t>Problem:</w:t>
      </w:r>
      <w:r>
        <w:rPr>
          <w:rFonts w:ascii="Calibri" w:hAnsi="Calibri" w:cs="Calibri"/>
          <w:color w:val="1A1A1A"/>
          <w:sz w:val="22"/>
          <w:szCs w:val="22"/>
        </w:rPr>
        <w:t xml:space="preserve"> AI-native SaaS companies spend $5K–$80K/mo on LLM APIs with no idea which feature, team, or customer is burning it, no warning when spend spikes, and nothing defensible to show finance.</w:t>
      </w:r>
    </w:p>
    <w:p w14:paraId="616ACCA9" w14:textId="77777777" w:rsidR="00BA5A84" w:rsidRDefault="00BA5A84">
      <w:pPr>
        <w:pStyle w:val="NormalWeb"/>
        <w:divId w:val="1860268827"/>
        <w:rPr>
          <w:rFonts w:ascii="Calibri" w:hAnsi="Calibri" w:cs="Calibri"/>
          <w:color w:val="1A1A1A"/>
          <w:sz w:val="22"/>
          <w:szCs w:val="22"/>
        </w:rPr>
      </w:pPr>
      <w:r>
        <w:rPr>
          <w:rStyle w:val="Strong"/>
          <w:rFonts w:ascii="Calibri" w:hAnsi="Calibri" w:cs="Calibri"/>
          <w:sz w:val="22"/>
          <w:szCs w:val="22"/>
        </w:rPr>
        <w:t>ICP:</w:t>
      </w:r>
      <w:r>
        <w:rPr>
          <w:rFonts w:ascii="Calibri" w:hAnsi="Calibri" w:cs="Calibri"/>
          <w:color w:val="1A1A1A"/>
          <w:sz w:val="22"/>
          <w:szCs w:val="22"/>
        </w:rPr>
        <w:t xml:space="preserve"> CTO at $1M–$50M ARR AI SaaS; CFO as hidden buyer. </w:t>
      </w:r>
      <w:r>
        <w:rPr>
          <w:rStyle w:val="Strong"/>
          <w:rFonts w:ascii="Calibri" w:hAnsi="Calibri" w:cs="Calibri"/>
          <w:sz w:val="22"/>
          <w:szCs w:val="22"/>
        </w:rPr>
        <w:t>Wedge:</w:t>
      </w:r>
      <w:r>
        <w:rPr>
          <w:rFonts w:ascii="Calibri" w:hAnsi="Calibri" w:cs="Calibri"/>
          <w:color w:val="1A1A1A"/>
          <w:sz w:val="22"/>
          <w:szCs w:val="22"/>
        </w:rPr>
        <w:t xml:space="preserve"> finance-first (CFO PDF, per-customer attribution) at $299–$1,500/mo, between dev-first tools (Helicone, Langfuse) and enterprise FinOps (Vantage, Finout).</w:t>
      </w:r>
    </w:p>
    <w:p w14:paraId="593A5718" w14:textId="77777777" w:rsidR="00BA5A84" w:rsidRDefault="00BA5A84">
      <w:pPr>
        <w:pStyle w:val="NormalWeb"/>
        <w:divId w:val="1860268827"/>
        <w:rPr>
          <w:rFonts w:ascii="Calibri" w:hAnsi="Calibri" w:cs="Calibri"/>
          <w:color w:val="1A1A1A"/>
          <w:sz w:val="22"/>
          <w:szCs w:val="22"/>
        </w:rPr>
      </w:pPr>
      <w:r>
        <w:rPr>
          <w:rStyle w:val="Strong"/>
          <w:rFonts w:ascii="Calibri" w:hAnsi="Calibri" w:cs="Calibri"/>
          <w:sz w:val="22"/>
          <w:szCs w:val="22"/>
        </w:rPr>
        <w:t>Built (M0–M3):</w:t>
      </w:r>
      <w:r>
        <w:rPr>
          <w:rFonts w:ascii="Calibri" w:hAnsi="Calibri" w:cs="Calibri"/>
          <w:color w:val="1A1A1A"/>
          <w:sz w:val="22"/>
          <w:szCs w:val="22"/>
        </w:rPr>
        <w:t xml:space="preserve"> Multi-tenant auth + RLS, OpenAI + Anthropic ingestion (Gemini validate-only), tag-rule attribution engine, Cost Explorer, statistical anomaly detection, budgets with email alerts, full Slack integration (OAuth, digests, real-time alerts), rule-based recommendations. Quality is genuinely high — disciplined milestones, real bugs caught by tests, clean adapter pattern.</w:t>
      </w:r>
    </w:p>
    <w:p w14:paraId="2E2C1C8B" w14:textId="77777777" w:rsidR="00BA5A84" w:rsidRDefault="00BA5A84">
      <w:pPr>
        <w:pStyle w:val="NormalWeb"/>
        <w:divId w:val="1860268827"/>
        <w:rPr>
          <w:rFonts w:ascii="Calibri" w:hAnsi="Calibri" w:cs="Calibri"/>
          <w:color w:val="1A1A1A"/>
          <w:sz w:val="22"/>
          <w:szCs w:val="22"/>
        </w:rPr>
      </w:pPr>
      <w:r>
        <w:rPr>
          <w:rStyle w:val="Strong"/>
          <w:rFonts w:ascii="Calibri" w:hAnsi="Calibri" w:cs="Calibri"/>
          <w:sz w:val="22"/>
          <w:szCs w:val="22"/>
        </w:rPr>
        <w:t>Not built:</w:t>
      </w:r>
      <w:r>
        <w:rPr>
          <w:rFonts w:ascii="Calibri" w:hAnsi="Calibri" w:cs="Calibri"/>
          <w:color w:val="1A1A1A"/>
          <w:sz w:val="22"/>
          <w:szCs w:val="22"/>
        </w:rPr>
        <w:t xml:space="preserve"> Billing, CFO PDF, forecast, CSV export, onboarding, landing page (M4). Revenue: $0. Evidence of design-partner validation: the pre-build gate checkboxes in the spec are still unchecked, and no milestone done-condition since M1 records a real external user.</w:t>
      </w:r>
    </w:p>
    <w:p w14:paraId="6D4FDEC1" w14:textId="77777777" w:rsidR="00BA5A84" w:rsidRDefault="00BA5A84">
      <w:pPr>
        <w:pStyle w:val="Heading2"/>
        <w:divId w:val="1860268827"/>
        <w:rPr>
          <w:rFonts w:ascii="Calibri" w:eastAsia="Times New Roman" w:hAnsi="Calibri" w:cs="Calibri"/>
        </w:rPr>
      </w:pPr>
      <w:r>
        <w:rPr>
          <w:rFonts w:ascii="Calibri" w:eastAsia="Times New Roman" w:hAnsi="Calibri" w:cs="Calibri"/>
        </w:rPr>
        <w:t>2. The Three Assumptions That Don't Survive Scrutiny</w:t>
      </w:r>
    </w:p>
    <w:p w14:paraId="2C217F49" w14:textId="77777777" w:rsidR="00BA5A84" w:rsidRDefault="00BA5A84">
      <w:pPr>
        <w:pStyle w:val="Heading3"/>
        <w:divId w:val="1860268827"/>
        <w:rPr>
          <w:rFonts w:ascii="Calibri" w:eastAsia="Times New Roman" w:hAnsi="Calibri" w:cs="Calibri"/>
        </w:rPr>
      </w:pPr>
      <w:r>
        <w:rPr>
          <w:rFonts w:ascii="Calibri" w:eastAsia="Times New Roman" w:hAnsi="Calibri" w:cs="Calibri"/>
        </w:rPr>
        <w:t>a) "Per-customer attribution" is partially vapor</w:t>
      </w:r>
    </w:p>
    <w:p w14:paraId="1C1CE006" w14:textId="77777777" w:rsidR="00BA5A84" w:rsidRDefault="00BA5A84">
      <w:pPr>
        <w:pStyle w:val="NormalWeb"/>
        <w:divId w:val="1860268827"/>
        <w:rPr>
          <w:rFonts w:ascii="Calibri" w:hAnsi="Calibri" w:cs="Calibri"/>
          <w:color w:val="1A1A1A"/>
          <w:sz w:val="22"/>
          <w:szCs w:val="22"/>
        </w:rPr>
      </w:pPr>
      <w:r>
        <w:rPr>
          <w:rFonts w:ascii="Calibri" w:hAnsi="Calibri" w:cs="Calibri"/>
          <w:color w:val="1A1A1A"/>
          <w:sz w:val="22"/>
          <w:szCs w:val="22"/>
        </w:rPr>
        <w:t xml:space="preserve">The attribution engine matches tag rules against </w:t>
      </w:r>
      <w:r>
        <w:rPr>
          <w:rStyle w:val="HTMLCode"/>
          <w:color w:val="1A1A1A"/>
        </w:rPr>
        <w:t>api_key_label</w:t>
      </w:r>
      <w:r>
        <w:rPr>
          <w:rFonts w:ascii="Calibri" w:hAnsi="Calibri" w:cs="Calibri"/>
          <w:color w:val="1A1A1A"/>
          <w:sz w:val="22"/>
          <w:szCs w:val="22"/>
        </w:rPr>
        <w:t xml:space="preserve">. That works beautifully for </w:t>
      </w:r>
      <w:r>
        <w:rPr>
          <w:rStyle w:val="Strong"/>
          <w:rFonts w:ascii="Calibri" w:hAnsi="Calibri" w:cs="Calibri"/>
          <w:sz w:val="22"/>
          <w:szCs w:val="22"/>
        </w:rPr>
        <w:t>feature, team, and env</w:t>
      </w:r>
      <w:r>
        <w:rPr>
          <w:rFonts w:ascii="Calibri" w:hAnsi="Calibri" w:cs="Calibri"/>
          <w:color w:val="1A1A1A"/>
          <w:sz w:val="22"/>
          <w:szCs w:val="22"/>
        </w:rPr>
        <w:t xml:space="preserve"> tags — a startup has 5–30 API keys. It does </w:t>
      </w:r>
      <w:r>
        <w:rPr>
          <w:rStyle w:val="Strong"/>
          <w:rFonts w:ascii="Calibri" w:hAnsi="Calibri" w:cs="Calibri"/>
          <w:sz w:val="22"/>
          <w:szCs w:val="22"/>
        </w:rPr>
        <w:t>not</w:t>
      </w:r>
      <w:r>
        <w:rPr>
          <w:rFonts w:ascii="Calibri" w:hAnsi="Calibri" w:cs="Calibri"/>
          <w:color w:val="1A1A1A"/>
          <w:sz w:val="22"/>
          <w:szCs w:val="22"/>
        </w:rPr>
        <w:t xml:space="preserve"> work for per-customer attribution: the ICP has hundreds of customers and won't create one provider API key per customer (providers cap key counts, and nobody operates </w:t>
      </w:r>
      <w:r>
        <w:rPr>
          <w:rFonts w:ascii="Calibri" w:hAnsi="Calibri" w:cs="Calibri"/>
          <w:color w:val="1A1A1A"/>
          <w:sz w:val="22"/>
          <w:szCs w:val="22"/>
        </w:rPr>
        <w:lastRenderedPageBreak/>
        <w:t>that way). Real per-customer attribution requires per-request metadata — the SDK deferred to V1, or proxy mode deferred to V2.</w:t>
      </w:r>
    </w:p>
    <w:p w14:paraId="1ACB0B1E" w14:textId="77777777" w:rsidR="00BA5A84" w:rsidRDefault="00BA5A84">
      <w:pPr>
        <w:pStyle w:val="NormalWeb"/>
        <w:divId w:val="1860268827"/>
        <w:rPr>
          <w:rFonts w:ascii="Calibri" w:hAnsi="Calibri" w:cs="Calibri"/>
          <w:color w:val="1A1A1A"/>
          <w:sz w:val="22"/>
          <w:szCs w:val="22"/>
        </w:rPr>
      </w:pPr>
      <w:r>
        <w:rPr>
          <w:rFonts w:ascii="Calibri" w:hAnsi="Calibri" w:cs="Calibri"/>
          <w:color w:val="1A1A1A"/>
          <w:sz w:val="22"/>
          <w:szCs w:val="22"/>
        </w:rPr>
        <w:t xml:space="preserve">This matters because per-customer attribution is in the one-line pitch. A design partner who buys on that promise will discover within a week that the product can't do it. </w:t>
      </w:r>
      <w:r>
        <w:rPr>
          <w:rStyle w:val="Strong"/>
          <w:rFonts w:ascii="Calibri" w:hAnsi="Calibri" w:cs="Calibri"/>
          <w:sz w:val="22"/>
          <w:szCs w:val="22"/>
        </w:rPr>
        <w:t>Either promote the lightweight SDK to immediately-post-MVP, or reposition the wedge as per-feature/per-team until the SDK ships.</w:t>
      </w:r>
      <w:r>
        <w:rPr>
          <w:rFonts w:ascii="Calibri" w:hAnsi="Calibri" w:cs="Calibri"/>
          <w:color w:val="1A1A1A"/>
          <w:sz w:val="22"/>
          <w:szCs w:val="22"/>
        </w:rPr>
        <w:t xml:space="preserve"> Note the SDK doesn't violate hard rule #1: an async, fire-and-forget telemetry event (tokens + metadata, sent out-of-band) is not customer traffic in the request path. The architecture doc already lists this as V1 debt — it is actually the unlock for the core promise.</w:t>
      </w:r>
    </w:p>
    <w:p w14:paraId="7A763591" w14:textId="77777777" w:rsidR="00BA5A84" w:rsidRDefault="00BA5A84">
      <w:pPr>
        <w:pStyle w:val="Heading3"/>
        <w:divId w:val="1860268827"/>
        <w:rPr>
          <w:rFonts w:ascii="Calibri" w:eastAsia="Times New Roman" w:hAnsi="Calibri" w:cs="Calibri"/>
        </w:rPr>
      </w:pPr>
      <w:r>
        <w:rPr>
          <w:rFonts w:ascii="Calibri" w:eastAsia="Times New Roman" w:hAnsi="Calibri" w:cs="Calibri"/>
        </w:rPr>
        <w:t>b) The differentiator is sequenced last</w:t>
      </w:r>
    </w:p>
    <w:p w14:paraId="23F1FA4F" w14:textId="77777777" w:rsidR="00BA5A84" w:rsidRDefault="00BA5A84">
      <w:pPr>
        <w:pStyle w:val="NormalWeb"/>
        <w:divId w:val="1860268827"/>
        <w:rPr>
          <w:rFonts w:ascii="Calibri" w:hAnsi="Calibri" w:cs="Calibri"/>
          <w:color w:val="1A1A1A"/>
          <w:sz w:val="22"/>
          <w:szCs w:val="22"/>
        </w:rPr>
      </w:pPr>
      <w:r>
        <w:rPr>
          <w:rFonts w:ascii="Calibri" w:hAnsi="Calibri" w:cs="Calibri"/>
          <w:color w:val="1A1A1A"/>
          <w:sz w:val="22"/>
          <w:szCs w:val="22"/>
        </w:rPr>
        <w:t xml:space="preserve">Every feature shipped so far — anomalies, budgets, Slack alerts — is table stakes that Helicone, Langfuse, and provider-native dashboards already do or will do. The CFO PDF and per-customer margin story is what none of them do, and it's scheduled at the very end of M4. If a competitor demo and this demo look identical until the last week of the MVP, the wedge isn't real yet. </w:t>
      </w:r>
      <w:r>
        <w:rPr>
          <w:rStyle w:val="Strong"/>
          <w:rFonts w:ascii="Calibri" w:hAnsi="Calibri" w:cs="Calibri"/>
          <w:sz w:val="22"/>
          <w:szCs w:val="22"/>
        </w:rPr>
        <w:t>Build the CFO PDF first in M4</w:t>
      </w:r>
      <w:r>
        <w:rPr>
          <w:rFonts w:ascii="Calibri" w:hAnsi="Calibri" w:cs="Calibri"/>
          <w:color w:val="1A1A1A"/>
          <w:sz w:val="22"/>
          <w:szCs w:val="22"/>
        </w:rPr>
        <w:t>, not after Stripe.</w:t>
      </w:r>
    </w:p>
    <w:p w14:paraId="151C5B47" w14:textId="77777777" w:rsidR="00BA5A84" w:rsidRDefault="00BA5A84">
      <w:pPr>
        <w:pStyle w:val="Heading3"/>
        <w:divId w:val="1860268827"/>
        <w:rPr>
          <w:rFonts w:ascii="Calibri" w:eastAsia="Times New Roman" w:hAnsi="Calibri" w:cs="Calibri"/>
        </w:rPr>
      </w:pPr>
      <w:r>
        <w:rPr>
          <w:rFonts w:ascii="Calibri" w:eastAsia="Times New Roman" w:hAnsi="Calibri" w:cs="Calibri"/>
        </w:rPr>
        <w:t>c) Trust is the adoption bottleneck, and the roadmap ignores it</w:t>
      </w:r>
    </w:p>
    <w:p w14:paraId="7BE67D91" w14:textId="77777777" w:rsidR="00BA5A84" w:rsidRDefault="00BA5A84">
      <w:pPr>
        <w:pStyle w:val="NormalWeb"/>
        <w:divId w:val="1860268827"/>
        <w:rPr>
          <w:rFonts w:ascii="Calibri" w:hAnsi="Calibri" w:cs="Calibri"/>
          <w:color w:val="1A1A1A"/>
          <w:sz w:val="22"/>
          <w:szCs w:val="22"/>
        </w:rPr>
      </w:pPr>
      <w:r>
        <w:rPr>
          <w:rFonts w:ascii="Calibri" w:hAnsi="Calibri" w:cs="Calibri"/>
          <w:color w:val="1A1A1A"/>
          <w:sz w:val="22"/>
          <w:szCs w:val="22"/>
        </w:rPr>
        <w:t xml:space="preserve">The product asks CTOs to hand over </w:t>
      </w:r>
      <w:r>
        <w:rPr>
          <w:rStyle w:val="Strong"/>
          <w:rFonts w:ascii="Calibri" w:hAnsi="Calibri" w:cs="Calibri"/>
          <w:sz w:val="22"/>
          <w:szCs w:val="22"/>
        </w:rPr>
        <w:t>org-level Admin API keys</w:t>
      </w:r>
      <w:r>
        <w:rPr>
          <w:rFonts w:ascii="Calibri" w:hAnsi="Calibri" w:cs="Calibri"/>
          <w:color w:val="1A1A1A"/>
          <w:sz w:val="22"/>
          <w:szCs w:val="22"/>
        </w:rPr>
        <w:t>. That's a bigger ask than the roadmap treats it as. Two cheap, high-leverage mitigations are missing entirely:</w:t>
      </w:r>
    </w:p>
    <w:p w14:paraId="546C2E84" w14:textId="77777777" w:rsidR="00BA5A84" w:rsidRDefault="00BA5A84">
      <w:pPr>
        <w:numPr>
          <w:ilvl w:val="0"/>
          <w:numId w:val="1"/>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Read-only key guidance.</w:t>
      </w:r>
      <w:r>
        <w:rPr>
          <w:rFonts w:ascii="Calibri" w:eastAsia="Times New Roman" w:hAnsi="Calibri" w:cs="Calibri"/>
          <w:color w:val="1A1A1A"/>
          <w:sz w:val="22"/>
          <w:szCs w:val="22"/>
        </w:rPr>
        <w:t xml:space="preserve"> OpenAI Admin keys can be scoped read-only. An onboarding step that walks the user through creating a minimal-permission key (with screenshots) converts the scariest moment of the funnel into a trust signal. Cost: a docs page. Verify exact scoping per provider, but this is near-free.</w:t>
      </w:r>
    </w:p>
    <w:p w14:paraId="55416E1F" w14:textId="77777777" w:rsidR="00BA5A84" w:rsidRDefault="00BA5A84">
      <w:pPr>
        <w:numPr>
          <w:ilvl w:val="0"/>
          <w:numId w:val="1"/>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Invoice reconciliation.</w:t>
      </w:r>
      <w:r>
        <w:rPr>
          <w:rFonts w:ascii="Calibri" w:eastAsia="Times New Roman" w:hAnsi="Calibri" w:cs="Calibri"/>
          <w:color w:val="1A1A1A"/>
          <w:sz w:val="22"/>
          <w:szCs w:val="22"/>
        </w:rPr>
        <w:t xml:space="preserve"> A finance-first product whose numbers drift from the provider invoice is dead on first CFO review. The spec already flags 20–40% pricing-table drift as a risk (Anthropic costs are computed from </w:t>
      </w:r>
      <w:r>
        <w:rPr>
          <w:rStyle w:val="HTMLCode"/>
          <w:color w:val="1A1A1A"/>
        </w:rPr>
        <w:t>pricing.yaml</w:t>
      </w:r>
      <w:r>
        <w:rPr>
          <w:rFonts w:ascii="Calibri" w:eastAsia="Times New Roman" w:hAnsi="Calibri" w:cs="Calibri"/>
          <w:color w:val="1A1A1A"/>
          <w:sz w:val="22"/>
          <w:szCs w:val="22"/>
        </w:rPr>
        <w:t>, not pulled). A monthly "our number vs. your invoice, delta explained" view is the single highest-trust feature available, and it's nowhere on the roadmap.</w:t>
      </w:r>
    </w:p>
    <w:p w14:paraId="4A2A71E1" w14:textId="77777777" w:rsidR="00BA5A84" w:rsidRDefault="00BA5A84">
      <w:pPr>
        <w:pStyle w:val="Heading2"/>
        <w:divId w:val="1860268827"/>
        <w:rPr>
          <w:rFonts w:ascii="Calibri" w:eastAsia="Times New Roman" w:hAnsi="Calibri" w:cs="Calibri"/>
        </w:rPr>
      </w:pPr>
      <w:r>
        <w:rPr>
          <w:rFonts w:ascii="Calibri" w:eastAsia="Times New Roman" w:hAnsi="Calibri" w:cs="Calibri"/>
        </w:rPr>
        <w:t>3. Feature-by-Feature Judgment on the Existing Roadmap</w:t>
      </w:r>
    </w:p>
    <w:tbl>
      <w:tblPr>
        <w:tblW w:w="5000" w:type="pct"/>
        <w:tblCellMar>
          <w:top w:w="15" w:type="dxa"/>
          <w:left w:w="15" w:type="dxa"/>
          <w:bottom w:w="15" w:type="dxa"/>
          <w:right w:w="15" w:type="dxa"/>
        </w:tblCellMar>
        <w:tblLook w:val="04A0" w:firstRow="1" w:lastRow="0" w:firstColumn="1" w:lastColumn="0" w:noHBand="0" w:noVBand="1"/>
      </w:tblPr>
      <w:tblGrid>
        <w:gridCol w:w="2374"/>
        <w:gridCol w:w="1752"/>
        <w:gridCol w:w="4884"/>
      </w:tblGrid>
      <w:tr w:rsidR="00000000" w14:paraId="4557320F" w14:textId="77777777">
        <w:trPr>
          <w:divId w:val="1860268827"/>
        </w:trPr>
        <w:tc>
          <w:tcPr>
            <w:tcW w:w="0" w:type="auto"/>
            <w:tcBorders>
              <w:top w:val="single" w:sz="6" w:space="0" w:color="999999"/>
              <w:left w:val="single" w:sz="6" w:space="0" w:color="999999"/>
              <w:bottom w:val="single" w:sz="6" w:space="0" w:color="999999"/>
              <w:right w:val="single" w:sz="6" w:space="0" w:color="999999"/>
            </w:tcBorders>
            <w:shd w:val="clear" w:color="auto" w:fill="1F3A5F"/>
            <w:tcMar>
              <w:top w:w="75" w:type="dxa"/>
              <w:left w:w="120" w:type="dxa"/>
              <w:bottom w:w="75" w:type="dxa"/>
              <w:right w:w="120" w:type="dxa"/>
            </w:tcMar>
            <w:hideMark/>
          </w:tcPr>
          <w:p w14:paraId="595F9DAD" w14:textId="77777777" w:rsidR="00BA5A84" w:rsidRDefault="00BA5A8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Roadmap item</w:t>
            </w:r>
          </w:p>
        </w:tc>
        <w:tc>
          <w:tcPr>
            <w:tcW w:w="0" w:type="auto"/>
            <w:tcBorders>
              <w:top w:val="single" w:sz="6" w:space="0" w:color="999999"/>
              <w:left w:val="single" w:sz="6" w:space="0" w:color="999999"/>
              <w:bottom w:val="single" w:sz="6" w:space="0" w:color="999999"/>
              <w:right w:val="single" w:sz="6" w:space="0" w:color="999999"/>
            </w:tcBorders>
            <w:shd w:val="clear" w:color="auto" w:fill="1F3A5F"/>
            <w:tcMar>
              <w:top w:w="75" w:type="dxa"/>
              <w:left w:w="120" w:type="dxa"/>
              <w:bottom w:w="75" w:type="dxa"/>
              <w:right w:w="120" w:type="dxa"/>
            </w:tcMar>
            <w:hideMark/>
          </w:tcPr>
          <w:p w14:paraId="4430E6FD" w14:textId="77777777" w:rsidR="00BA5A84" w:rsidRDefault="00BA5A8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Verdict</w:t>
            </w:r>
          </w:p>
        </w:tc>
        <w:tc>
          <w:tcPr>
            <w:tcW w:w="0" w:type="auto"/>
            <w:tcBorders>
              <w:top w:val="single" w:sz="6" w:space="0" w:color="999999"/>
              <w:left w:val="single" w:sz="6" w:space="0" w:color="999999"/>
              <w:bottom w:val="single" w:sz="6" w:space="0" w:color="999999"/>
              <w:right w:val="single" w:sz="6" w:space="0" w:color="999999"/>
            </w:tcBorders>
            <w:shd w:val="clear" w:color="auto" w:fill="1F3A5F"/>
            <w:tcMar>
              <w:top w:w="75" w:type="dxa"/>
              <w:left w:w="120" w:type="dxa"/>
              <w:bottom w:w="75" w:type="dxa"/>
              <w:right w:w="120" w:type="dxa"/>
            </w:tcMar>
            <w:hideMark/>
          </w:tcPr>
          <w:p w14:paraId="231A5C64" w14:textId="77777777" w:rsidR="00BA5A84" w:rsidRDefault="00BA5A8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Reasoning</w:t>
            </w:r>
          </w:p>
        </w:tc>
      </w:tr>
      <w:tr w:rsidR="00000000" w14:paraId="29FBC079"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D283919"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M4: Stripe Checkout + gating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B235125"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Keep, do second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4ECC2D9"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Required for revenue; zero strategic value beyond that.</w:t>
            </w:r>
          </w:p>
        </w:tc>
      </w:tr>
      <w:tr w:rsidR="00000000" w14:paraId="69ADAAEF"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A1399E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M4: CFO PDF</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D050D3D"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Keep, do FIRST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5D9A577"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The wedge. Also the best sales asset — generate one for a prospect from their trial data.</w:t>
            </w:r>
          </w:p>
        </w:tc>
      </w:tr>
      <w:tr w:rsidR="00000000" w14:paraId="3ED537E6"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6837175"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M4: Linear forecast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BA47F27"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Keep</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0AED95B"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Cheap, CFO-legible, fits "statistics before ML."</w:t>
            </w:r>
          </w:p>
        </w:tc>
      </w:tr>
      <w:tr w:rsidR="00000000" w14:paraId="042BC86F"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4CE431B"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M4: CSV export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7F12066"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Keep</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874CEBC"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Finance buyers live in spreadsheets. Trivial effort.</w:t>
            </w:r>
          </w:p>
        </w:tc>
      </w:tr>
      <w:tr w:rsidR="00000000" w14:paraId="3C57DA3A"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EB4FE67"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M4: Onboarding wizard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090721D"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Trim to a checklist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0767AF4"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A 4-step wizard is polish; a persistent "Connect → Tag → Slack → Budget" checklist card gets 90% of the activation value for 20% of the effort.</w:t>
            </w:r>
          </w:p>
        </w:tc>
      </w:tr>
      <w:tr w:rsidR="00000000" w14:paraId="4D18A99B"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15BB904"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V1: AI-powered recommendations (Haiku narratives)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6D58F0C"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Postpone indefinitely</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9DD6280"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 xml:space="preserve">The dollar math </w:t>
            </w:r>
            <w:r>
              <w:rPr>
                <w:rStyle w:val="Emphasis"/>
                <w:rFonts w:ascii="Calibri" w:eastAsia="Times New Roman" w:hAnsi="Calibri" w:cs="Calibri"/>
                <w:color w:val="1A1A1A"/>
                <w:sz w:val="20"/>
                <w:szCs w:val="20"/>
              </w:rPr>
              <w:t>is</w:t>
            </w:r>
            <w:r>
              <w:rPr>
                <w:rFonts w:ascii="Calibri" w:eastAsia="Times New Roman" w:hAnsi="Calibri" w:cs="Calibri"/>
                <w:color w:val="1A1A1A"/>
                <w:sz w:val="20"/>
                <w:szCs w:val="20"/>
              </w:rPr>
              <w:t xml:space="preserve"> the value; prose around it is demo-ware. The rule-based engine already produces savings estimates.</w:t>
            </w:r>
          </w:p>
        </w:tc>
      </w:tr>
      <w:tr w:rsidR="00000000" w14:paraId="1C137385"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62F88BC"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V1: AI anomaly explainer</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89D5D94"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Cut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81BC2F8"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 xml:space="preserve">Same logic. The </w:t>
            </w:r>
            <w:r>
              <w:rPr>
                <w:rStyle w:val="HTMLCode"/>
                <w:color w:val="1A1A1A"/>
              </w:rPr>
              <w:t>context</w:t>
            </w:r>
            <w:r>
              <w:rPr>
                <w:rFonts w:ascii="Calibri" w:eastAsia="Times New Roman" w:hAnsi="Calibri" w:cs="Calibri"/>
                <w:color w:val="1A1A1A"/>
                <w:sz w:val="20"/>
                <w:szCs w:val="20"/>
              </w:rPr>
              <w:t xml:space="preserve"> jsonb already explains the spike.</w:t>
            </w:r>
          </w:p>
        </w:tc>
      </w:tr>
      <w:tr w:rsidR="00000000" w14:paraId="67F45787"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1437D79"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V1: SDK for per-request attribution</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53161BA"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Promote to top of V1</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27EDD15"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Unlocks the actual wedge (§2a) and creates integration lock-in — once their code emits this telemetry, churn cost goes way up. This is the retention moat.</w:t>
            </w:r>
          </w:p>
        </w:tc>
      </w:tr>
      <w:tr w:rsidR="00000000" w14:paraId="0734D9D7"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3CEBB46"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V1: Anthropic per-user analytics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CF32F1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Keep, low priority</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8635EB4"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Nice depth, not a buying trigger.</w:t>
            </w:r>
          </w:p>
        </w:tc>
      </w:tr>
      <w:tr w:rsidR="00000000" w14:paraId="467A0542"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195B44C"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V1: Azure OpenAI + Bedrock</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7327B03"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Demand-gate it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6A5ECCC"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Many ICP companies run Azure OpenAI for enterprise-customer compliance — but build it when a design partner asks, not speculatively. Each adapter is real ongoing maintenance.</w:t>
            </w:r>
          </w:p>
        </w:tc>
      </w:tr>
      <w:tr w:rsidR="00000000" w14:paraId="131C2D51"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22882D4"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V1: RBAC</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72FCE49"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Replace with a free read-only "CFO seat"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009CD78"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Full RBAC is premature. But "invite your CFO (view-only)" is cheap, spreads the product to the economic buyer, and directly serves the wedge.</w:t>
            </w:r>
          </w:p>
        </w:tc>
      </w:tr>
      <w:tr w:rsidR="00000000" w14:paraId="1B4B51D5"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B034329"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V2: Proxy mode + hard caps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7344F03"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Keep deferred — see kill-switch idea</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CC7E28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See §4, item 6.</w:t>
            </w:r>
          </w:p>
        </w:tc>
      </w:tr>
      <w:tr w:rsidR="00000000" w14:paraId="4E3CD96C"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38F0FC1"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V2: Benchmark library</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25C1B82"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Reshape later</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2980D23"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The valuable version is anonymized peer benchmarking ("you pay 2.1× the median per request on gpt-4o") — a data network effect, but it needs ~30+ orgs of data. Right to defer; wrong to forget.</w:t>
            </w:r>
          </w:p>
        </w:tc>
      </w:tr>
      <w:tr w:rsidR="00000000" w14:paraId="7903DB5E"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F6DD8AF"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V2: SAML / SOC 2</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41E59E4"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Mostly right to defer</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B6B28AB"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 xml:space="preserve">But expect security questionnaires </w:t>
            </w:r>
            <w:r>
              <w:rPr>
                <w:rStyle w:val="Strong"/>
                <w:rFonts w:ascii="Calibri" w:eastAsia="Times New Roman" w:hAnsi="Calibri" w:cs="Calibri"/>
                <w:sz w:val="20"/>
                <w:szCs w:val="20"/>
              </w:rPr>
              <w:t>before</w:t>
            </w:r>
            <w:r>
              <w:rPr>
                <w:rFonts w:ascii="Calibri" w:eastAsia="Times New Roman" w:hAnsi="Calibri" w:cs="Calibri"/>
                <w:color w:val="1A1A1A"/>
                <w:sz w:val="20"/>
                <w:szCs w:val="20"/>
              </w:rPr>
              <w:t xml:space="preserve"> $50K MRR — the product stores admin keys. Budget for SOC 2 Type 1 at roughly the 10-customer mark, and ship a security page now (one day, sales asset).</w:t>
            </w:r>
          </w:p>
        </w:tc>
      </w:tr>
      <w:tr w:rsidR="00000000" w14:paraId="6BD90964"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403AEA5"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Gemini integration (as shipped)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C4FAF68"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Hide it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808FCDA"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It validates a key and ingests nothing. A user who connects Gemini and sees $0 forever will conclude the product is broken. Show "coming soon" instead of a connect form. Active trust liability as-is.</w:t>
            </w:r>
          </w:p>
        </w:tc>
      </w:tr>
    </w:tbl>
    <w:p w14:paraId="004A2523" w14:textId="77777777" w:rsidR="00BA5A84" w:rsidRDefault="00BA5A84">
      <w:pPr>
        <w:pStyle w:val="Heading2"/>
        <w:divId w:val="1860268827"/>
        <w:rPr>
          <w:rFonts w:ascii="Calibri" w:eastAsia="Times New Roman" w:hAnsi="Calibri" w:cs="Calibri"/>
        </w:rPr>
      </w:pPr>
      <w:r>
        <w:rPr>
          <w:rFonts w:ascii="Calibri" w:eastAsia="Times New Roman" w:hAnsi="Calibri" w:cs="Calibri"/>
        </w:rPr>
        <w:t>4. Missing Features the Roadmap Overlooks (Ranked by ROI)</w:t>
      </w:r>
    </w:p>
    <w:p w14:paraId="377F6118" w14:textId="77777777" w:rsidR="00BA5A84" w:rsidRDefault="00BA5A84">
      <w:pPr>
        <w:numPr>
          <w:ilvl w:val="0"/>
          <w:numId w:val="2"/>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Invoice reconciliation report</w:t>
      </w:r>
      <w:r>
        <w:rPr>
          <w:rFonts w:ascii="Calibri" w:eastAsia="Times New Roman" w:hAnsi="Calibri" w:cs="Calibri"/>
          <w:color w:val="1A1A1A"/>
          <w:sz w:val="22"/>
          <w:szCs w:val="22"/>
        </w:rPr>
        <w:t xml:space="preserve"> — High value, medium effort. The trust feature (§2c). Makes "defensible to finance" literal.</w:t>
      </w:r>
    </w:p>
    <w:p w14:paraId="2CBCA419" w14:textId="77777777" w:rsidR="00BA5A84" w:rsidRDefault="00BA5A84">
      <w:pPr>
        <w:numPr>
          <w:ilvl w:val="0"/>
          <w:numId w:val="2"/>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Per-customer margin (cost vs. revenue)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 The sleeper killer feature and the real long-term moat. Import customer revenue (Stripe connect or CSV upload of customer→MRR), join against customer-tagged cost, show </w:t>
      </w:r>
      <w:r>
        <w:rPr>
          <w:rStyle w:val="Strong"/>
          <w:rFonts w:ascii="Calibri" w:eastAsia="Times New Roman" w:hAnsi="Calibri" w:cs="Calibri"/>
          <w:sz w:val="22"/>
          <w:szCs w:val="22"/>
        </w:rPr>
        <w:t>gross margin per customer</w:t>
      </w:r>
      <w:r>
        <w:rPr>
          <w:rFonts w:ascii="Calibri" w:eastAsia="Times New Roman" w:hAnsi="Calibri" w:cs="Calibri"/>
          <w:color w:val="1A1A1A"/>
          <w:sz w:val="22"/>
          <w:szCs w:val="22"/>
        </w:rPr>
        <w:t>. "Customer X pays you $500/mo and costs you $900/mo in tokens" is a board-meeting sentence. Dev-first competitors have no revenue concept; Vantage has no per-customer concept. Nobody mid-market does this. Depends on the SDK for customer-level cost — another reason to promote the SDK.</w:t>
      </w:r>
    </w:p>
    <w:p w14:paraId="5BF014CB" w14:textId="77777777" w:rsidR="00BA5A84" w:rsidRDefault="00BA5A84">
      <w:pPr>
        <w:numPr>
          <w:ilvl w:val="0"/>
          <w:numId w:val="2"/>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Read-only key onboarding + security page</w:t>
      </w:r>
      <w:r>
        <w:rPr>
          <w:rFonts w:ascii="Calibri" w:eastAsia="Times New Roman" w:hAnsi="Calibri" w:cs="Calibri"/>
          <w:color w:val="1A1A1A"/>
          <w:sz w:val="22"/>
          <w:szCs w:val="22"/>
        </w:rPr>
        <w:t xml:space="preserve"> — High value, trivial effort (§2c).</w:t>
      </w:r>
    </w:p>
    <w:p w14:paraId="245A950D" w14:textId="77777777" w:rsidR="00BA5A84" w:rsidRDefault="00BA5A84">
      <w:pPr>
        <w:numPr>
          <w:ilvl w:val="0"/>
          <w:numId w:val="2"/>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Weekly email digest</w:t>
      </w:r>
      <w:r>
        <w:rPr>
          <w:rFonts w:ascii="Calibri" w:eastAsia="Times New Roman" w:hAnsi="Calibri" w:cs="Calibri"/>
          <w:color w:val="1A1A1A"/>
          <w:sz w:val="22"/>
          <w:szCs w:val="22"/>
        </w:rPr>
        <w:t xml:space="preserve"> — Resend is already wired; orgs without Slack get nothing recurring today. Recurring touchpoints are retention. ~A day of work.</w:t>
      </w:r>
    </w:p>
    <w:p w14:paraId="4214DD61" w14:textId="77777777" w:rsidR="00BA5A84" w:rsidRDefault="00BA5A84">
      <w:pPr>
        <w:numPr>
          <w:ilvl w:val="0"/>
          <w:numId w:val="2"/>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Slack interactivity</w:t>
      </w:r>
      <w:r>
        <w:rPr>
          <w:rFonts w:ascii="Calibri" w:eastAsia="Times New Roman" w:hAnsi="Calibri" w:cs="Calibri"/>
          <w:color w:val="1A1A1A"/>
          <w:sz w:val="22"/>
          <w:szCs w:val="22"/>
        </w:rPr>
        <w:t xml:space="preserve"> — Ack/dismiss anomalies via Slack buttons. Slack is already the stickiest surface; closing the loop there beats another web page.</w:t>
      </w:r>
    </w:p>
    <w:p w14:paraId="357D9AEB" w14:textId="77777777" w:rsidR="00BA5A84" w:rsidRDefault="00BA5A84">
      <w:pPr>
        <w:numPr>
          <w:ilvl w:val="0"/>
          <w:numId w:val="2"/>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Admin-API "kill switch" (V2, instead of proxy)</w:t>
      </w:r>
      <w:r>
        <w:rPr>
          <w:rFonts w:ascii="Calibri" w:eastAsia="Times New Roman" w:hAnsi="Calibri" w:cs="Calibri"/>
          <w:color w:val="1A1A1A"/>
          <w:sz w:val="22"/>
          <w:szCs w:val="22"/>
        </w:rPr>
        <w:t xml:space="preserve"> — Overlooked opportunity: the provider Admin APIs already integrated can manage projects and keys. Hard budget enforcement ("auto-disable this key at 120% of budget") may be achievable </w:t>
      </w:r>
      <w:r>
        <w:rPr>
          <w:rStyle w:val="Strong"/>
          <w:rFonts w:ascii="Calibri" w:eastAsia="Times New Roman" w:hAnsi="Calibri" w:cs="Calibri"/>
          <w:sz w:val="22"/>
          <w:szCs w:val="22"/>
        </w:rPr>
        <w:t>without</w:t>
      </w:r>
      <w:r>
        <w:rPr>
          <w:rFonts w:ascii="Calibri" w:eastAsia="Times New Roman" w:hAnsi="Calibri" w:cs="Calibri"/>
          <w:color w:val="1A1A1A"/>
          <w:sz w:val="22"/>
          <w:szCs w:val="22"/>
        </w:rPr>
        <w:t xml:space="preserve"> proxy mode — no traffic through SpendOps servers, no SOC 2 forcing function, and it converts the product from a reporting tool into a control plane. Needs verification of API capabilities per provider and careful opt-in UX, but if it works it obsoletes most of the argument for proxy mode. "We don't just alert — we ca</w:t>
      </w:r>
      <w:r>
        <w:rPr>
          <w:rFonts w:ascii="Calibri" w:eastAsia="Times New Roman" w:hAnsi="Calibri" w:cs="Calibri"/>
          <w:color w:val="1A1A1A"/>
          <w:sz w:val="22"/>
          <w:szCs w:val="22"/>
        </w:rPr>
        <w:t>n stop the bleed" is a category-different pitch.</w:t>
      </w:r>
    </w:p>
    <w:p w14:paraId="2EAD0A8E" w14:textId="77777777" w:rsidR="00BA5A84" w:rsidRDefault="00BA5A84">
      <w:pPr>
        <w:pStyle w:val="Heading2"/>
        <w:divId w:val="1860268827"/>
        <w:rPr>
          <w:rFonts w:ascii="Calibri" w:eastAsia="Times New Roman" w:hAnsi="Calibri" w:cs="Calibri"/>
        </w:rPr>
      </w:pPr>
      <w:r>
        <w:rPr>
          <w:rFonts w:ascii="Calibri" w:eastAsia="Times New Roman" w:hAnsi="Calibri" w:cs="Calibri"/>
        </w:rPr>
        <w:t>5. Over-Engineering and Risk Check</w:t>
      </w:r>
    </w:p>
    <w:p w14:paraId="3F7AB39E" w14:textId="77777777" w:rsidR="00BA5A84" w:rsidRDefault="00BA5A84">
      <w:pPr>
        <w:pStyle w:val="NormalWeb"/>
        <w:divId w:val="1860268827"/>
        <w:rPr>
          <w:rFonts w:ascii="Calibri" w:hAnsi="Calibri" w:cs="Calibri"/>
          <w:color w:val="1A1A1A"/>
          <w:sz w:val="22"/>
          <w:szCs w:val="22"/>
        </w:rPr>
      </w:pPr>
      <w:r>
        <w:rPr>
          <w:rStyle w:val="Strong"/>
          <w:rFonts w:ascii="Calibri" w:hAnsi="Calibri" w:cs="Calibri"/>
          <w:sz w:val="22"/>
          <w:szCs w:val="22"/>
        </w:rPr>
        <w:t>Where over-invested:</w:t>
      </w:r>
      <w:r>
        <w:rPr>
          <w:rFonts w:ascii="Calibri" w:hAnsi="Calibri" w:cs="Calibri"/>
          <w:color w:val="1A1A1A"/>
          <w:sz w:val="22"/>
          <w:szCs w:val="22"/>
        </w:rPr>
        <w:t xml:space="preserve"> test depth and UI polish relative to validation. The 103-test gap-analysis pass and the M-PREMIUM design pass are the work of a team protecting revenue that doesn't exist yet. The discipline is an asset — but the marginal hour now buys more as a founder call, a design-partner onboarding, or a piece of content than as the 604th test. Hold the quality bar on money-and-keys paths (encryption, billing, ingestion correctness); relax it elsewhere until customers exist.</w:t>
      </w:r>
    </w:p>
    <w:p w14:paraId="6149798E" w14:textId="77777777" w:rsidR="00BA5A84" w:rsidRDefault="00BA5A84">
      <w:pPr>
        <w:pStyle w:val="NormalWeb"/>
        <w:divId w:val="1860268827"/>
        <w:rPr>
          <w:rFonts w:ascii="Calibri" w:hAnsi="Calibri" w:cs="Calibri"/>
          <w:color w:val="1A1A1A"/>
          <w:sz w:val="22"/>
          <w:szCs w:val="22"/>
        </w:rPr>
      </w:pPr>
      <w:r>
        <w:rPr>
          <w:rStyle w:val="Strong"/>
          <w:rFonts w:ascii="Calibri" w:hAnsi="Calibri" w:cs="Calibri"/>
          <w:sz w:val="22"/>
          <w:szCs w:val="22"/>
        </w:rPr>
        <w:t>Where appropriately engineered:</w:t>
      </w:r>
      <w:r>
        <w:rPr>
          <w:rFonts w:ascii="Calibri" w:hAnsi="Calibri" w:cs="Calibri"/>
          <w:color w:val="1A1A1A"/>
          <w:sz w:val="22"/>
          <w:szCs w:val="22"/>
        </w:rPr>
        <w:t xml:space="preserve"> adapter pattern, statistics-before-ML, Postgres-only, no proxy. These constraints are genuinely good; keep refusing to relitigate them.</w:t>
      </w:r>
    </w:p>
    <w:p w14:paraId="5AC92F86" w14:textId="77777777" w:rsidR="00BA5A84" w:rsidRDefault="00BA5A84">
      <w:pPr>
        <w:pStyle w:val="NormalWeb"/>
        <w:divId w:val="1860268827"/>
        <w:rPr>
          <w:rFonts w:ascii="Calibri" w:hAnsi="Calibri" w:cs="Calibri"/>
          <w:color w:val="1A1A1A"/>
          <w:sz w:val="22"/>
          <w:szCs w:val="22"/>
        </w:rPr>
      </w:pPr>
      <w:r>
        <w:rPr>
          <w:rStyle w:val="Strong"/>
          <w:rFonts w:ascii="Calibri" w:hAnsi="Calibri" w:cs="Calibri"/>
          <w:sz w:val="22"/>
          <w:szCs w:val="22"/>
        </w:rPr>
        <w:t>Biggest risks, ranked:</w:t>
      </w:r>
    </w:p>
    <w:p w14:paraId="733119F1" w14:textId="77777777" w:rsidR="00BA5A84" w:rsidRDefault="00BA5A84">
      <w:pPr>
        <w:numPr>
          <w:ilvl w:val="0"/>
          <w:numId w:val="3"/>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Zero validated demand.</w:t>
      </w:r>
      <w:r>
        <w:rPr>
          <w:rFonts w:ascii="Calibri" w:eastAsia="Times New Roman" w:hAnsi="Calibri" w:cs="Calibri"/>
          <w:color w:val="1A1A1A"/>
          <w:sz w:val="22"/>
          <w:szCs w:val="22"/>
        </w:rPr>
        <w:t xml:space="preserve"> The spec's own pre-build gate (10 founder calls, 2 design partners with real keys) shows unchecked. Everything else is downstream of this.</w:t>
      </w:r>
    </w:p>
    <w:p w14:paraId="3DBD32D4" w14:textId="77777777" w:rsidR="00BA5A84" w:rsidRDefault="00BA5A84">
      <w:pPr>
        <w:numPr>
          <w:ilvl w:val="0"/>
          <w:numId w:val="3"/>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Platform risk.</w:t>
      </w:r>
      <w:r>
        <w:rPr>
          <w:rFonts w:ascii="Calibri" w:eastAsia="Times New Roman" w:hAnsi="Calibri" w:cs="Calibri"/>
          <w:color w:val="1A1A1A"/>
          <w:sz w:val="22"/>
          <w:szCs w:val="22"/>
        </w:rPr>
        <w:t xml:space="preserve"> OpenAI and Anthropic both keep improving native cost dashboards. Anything they ship for free can't be charged for. The only durable answers are </w:t>
      </w:r>
      <w:r>
        <w:rPr>
          <w:rStyle w:val="Emphasis"/>
          <w:rFonts w:ascii="Calibri" w:eastAsia="Times New Roman" w:hAnsi="Calibri" w:cs="Calibri"/>
          <w:color w:val="1A1A1A"/>
          <w:sz w:val="22"/>
          <w:szCs w:val="22"/>
        </w:rPr>
        <w:t>cross-provider</w:t>
      </w:r>
      <w:r>
        <w:rPr>
          <w:rFonts w:ascii="Calibri" w:eastAsia="Times New Roman" w:hAnsi="Calibri" w:cs="Calibri"/>
          <w:color w:val="1A1A1A"/>
          <w:sz w:val="22"/>
          <w:szCs w:val="22"/>
        </w:rPr>
        <w:t xml:space="preserve"> views and </w:t>
      </w:r>
      <w:r>
        <w:rPr>
          <w:rStyle w:val="Emphasis"/>
          <w:rFonts w:ascii="Calibri" w:eastAsia="Times New Roman" w:hAnsi="Calibri" w:cs="Calibri"/>
          <w:color w:val="1A1A1A"/>
          <w:sz w:val="22"/>
          <w:szCs w:val="22"/>
        </w:rPr>
        <w:t>revenue-joined</w:t>
      </w:r>
      <w:r>
        <w:rPr>
          <w:rFonts w:ascii="Calibri" w:eastAsia="Times New Roman" w:hAnsi="Calibri" w:cs="Calibri"/>
          <w:color w:val="1A1A1A"/>
          <w:sz w:val="22"/>
          <w:szCs w:val="22"/>
        </w:rPr>
        <w:t xml:space="preserve"> views — providers will never build either.</w:t>
      </w:r>
    </w:p>
    <w:p w14:paraId="1E53C7A8" w14:textId="77777777" w:rsidR="00BA5A84" w:rsidRDefault="00BA5A84">
      <w:pPr>
        <w:numPr>
          <w:ilvl w:val="0"/>
          <w:numId w:val="3"/>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Admin-key trust barrier</w:t>
      </w:r>
      <w:r>
        <w:rPr>
          <w:rFonts w:ascii="Calibri" w:eastAsia="Times New Roman" w:hAnsi="Calibri" w:cs="Calibri"/>
          <w:color w:val="1A1A1A"/>
          <w:sz w:val="22"/>
          <w:szCs w:val="22"/>
        </w:rPr>
        <w:t xml:space="preserve"> (§2c).</w:t>
      </w:r>
    </w:p>
    <w:p w14:paraId="0F1F4D4E" w14:textId="77777777" w:rsidR="00BA5A84" w:rsidRDefault="00BA5A84">
      <w:pPr>
        <w:numPr>
          <w:ilvl w:val="0"/>
          <w:numId w:val="3"/>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Number accuracy</w:t>
      </w:r>
      <w:r>
        <w:rPr>
          <w:rFonts w:ascii="Calibri" w:eastAsia="Times New Roman" w:hAnsi="Calibri" w:cs="Calibri"/>
          <w:color w:val="1A1A1A"/>
          <w:sz w:val="22"/>
          <w:szCs w:val="22"/>
        </w:rPr>
        <w:t xml:space="preserve"> — computed Anthropic costs drifting from invoices kills the finance positioning specifically.</w:t>
      </w:r>
    </w:p>
    <w:p w14:paraId="3EE55193" w14:textId="77777777" w:rsidR="00BA5A84" w:rsidRDefault="00BA5A84">
      <w:pPr>
        <w:numPr>
          <w:ilvl w:val="0"/>
          <w:numId w:val="3"/>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No distribution motion anywhere in the roadmap.</w:t>
      </w:r>
      <w:r>
        <w:rPr>
          <w:rFonts w:ascii="Calibri" w:eastAsia="Times New Roman" w:hAnsi="Calibri" w:cs="Calibri"/>
          <w:color w:val="1A1A1A"/>
          <w:sz w:val="22"/>
          <w:szCs w:val="22"/>
        </w:rPr>
        <w:t xml:space="preserve"> M4 contains a landing page and nothing else. No content, no launch plan, no outbound. For a $299/mo self-serve product, distribution is a feature.</w:t>
      </w:r>
    </w:p>
    <w:p w14:paraId="7E773CA1" w14:textId="77777777" w:rsidR="00BA5A84" w:rsidRDefault="00BA5A84">
      <w:pPr>
        <w:pStyle w:val="Heading2"/>
        <w:divId w:val="1860268827"/>
        <w:rPr>
          <w:rFonts w:ascii="Calibri" w:eastAsia="Times New Roman" w:hAnsi="Calibri" w:cs="Calibri"/>
        </w:rPr>
      </w:pPr>
      <w:r>
        <w:rPr>
          <w:rFonts w:ascii="Calibri" w:eastAsia="Times New Roman" w:hAnsi="Calibri" w:cs="Calibri"/>
        </w:rPr>
        <w:t>6. Revised Roadmap</w:t>
      </w:r>
    </w:p>
    <w:p w14:paraId="3F5DF096" w14:textId="77777777" w:rsidR="00BA5A84" w:rsidRDefault="00BA5A84">
      <w:pPr>
        <w:pStyle w:val="Heading3"/>
        <w:divId w:val="1860268827"/>
        <w:rPr>
          <w:rFonts w:ascii="Calibri" w:eastAsia="Times New Roman" w:hAnsi="Calibri" w:cs="Calibri"/>
        </w:rPr>
      </w:pPr>
      <w:r>
        <w:rPr>
          <w:rFonts w:ascii="Calibri" w:eastAsia="Times New Roman" w:hAnsi="Calibri" w:cs="Calibri"/>
        </w:rPr>
        <w:t>M4 — "First Dollar" (now, ~8 days, resequenced)</w:t>
      </w:r>
    </w:p>
    <w:p w14:paraId="11E38D53" w14:textId="77777777" w:rsidR="00BA5A84" w:rsidRDefault="00BA5A84">
      <w:pPr>
        <w:numPr>
          <w:ilvl w:val="0"/>
          <w:numId w:val="4"/>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CFO PDF (first — it's also the sales collateral)</w:t>
      </w:r>
    </w:p>
    <w:p w14:paraId="61B17308" w14:textId="77777777" w:rsidR="00BA5A84" w:rsidRDefault="00BA5A84">
      <w:pPr>
        <w:numPr>
          <w:ilvl w:val="0"/>
          <w:numId w:val="4"/>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Stripe Checkout + gating + 14-day trial (decide trial now; stop deliberating)</w:t>
      </w:r>
    </w:p>
    <w:p w14:paraId="6F96D77D" w14:textId="77777777" w:rsidR="00BA5A84" w:rsidRDefault="00BA5A84">
      <w:pPr>
        <w:numPr>
          <w:ilvl w:val="0"/>
          <w:numId w:val="4"/>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Forecast + CSV export</w:t>
      </w:r>
    </w:p>
    <w:p w14:paraId="08D5D199" w14:textId="77777777" w:rsidR="00BA5A84" w:rsidRDefault="00BA5A84">
      <w:pPr>
        <w:numPr>
          <w:ilvl w:val="0"/>
          <w:numId w:val="4"/>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Activation checklist (not wizard) + landing page</w:t>
      </w:r>
    </w:p>
    <w:p w14:paraId="0DD67F60" w14:textId="77777777" w:rsidR="00BA5A84" w:rsidRDefault="00BA5A84">
      <w:pPr>
        <w:numPr>
          <w:ilvl w:val="0"/>
          <w:numId w:val="4"/>
        </w:numPr>
        <w:spacing w:before="100" w:beforeAutospacing="1" w:after="100" w:afterAutospacing="1"/>
        <w:divId w:val="1860268827"/>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Add:</w:t>
      </w:r>
      <w:r>
        <w:rPr>
          <w:rFonts w:ascii="Calibri" w:eastAsia="Times New Roman" w:hAnsi="Calibri" w:cs="Calibri"/>
          <w:color w:val="1A1A1A"/>
          <w:sz w:val="22"/>
          <w:szCs w:val="22"/>
        </w:rPr>
        <w:t xml:space="preserve"> security page + read-only key guidance. </w:t>
      </w:r>
      <w:r>
        <w:rPr>
          <w:rStyle w:val="Emphasis"/>
          <w:rFonts w:ascii="Calibri" w:eastAsia="Times New Roman" w:hAnsi="Calibri" w:cs="Calibri"/>
          <w:color w:val="1A1A1A"/>
          <w:sz w:val="22"/>
          <w:szCs w:val="22"/>
        </w:rPr>
        <w:t>Change:</w:t>
      </w:r>
      <w:r>
        <w:rPr>
          <w:rFonts w:ascii="Calibri" w:eastAsia="Times New Roman" w:hAnsi="Calibri" w:cs="Calibri"/>
          <w:color w:val="1A1A1A"/>
          <w:sz w:val="22"/>
          <w:szCs w:val="22"/>
        </w:rPr>
        <w:t xml:space="preserve"> hide Gemini connect behind "coming soon."</w:t>
      </w:r>
    </w:p>
    <w:p w14:paraId="78E14077" w14:textId="77777777" w:rsidR="00BA5A84" w:rsidRDefault="00BA5A84">
      <w:pPr>
        <w:pStyle w:val="Heading3"/>
        <w:divId w:val="1860268827"/>
        <w:rPr>
          <w:rFonts w:ascii="Calibri" w:eastAsia="Times New Roman" w:hAnsi="Calibri" w:cs="Calibri"/>
        </w:rPr>
      </w:pPr>
      <w:r>
        <w:rPr>
          <w:rFonts w:ascii="Calibri" w:eastAsia="Times New Roman" w:hAnsi="Calibri" w:cs="Calibri"/>
        </w:rPr>
        <w:t>M5 — "Trust &amp; Traction" (~2 weeks, deliberately code-light)</w:t>
      </w:r>
    </w:p>
    <w:p w14:paraId="74731714" w14:textId="77777777" w:rsidR="00BA5A84" w:rsidRDefault="00BA5A84">
      <w:pPr>
        <w:numPr>
          <w:ilvl w:val="0"/>
          <w:numId w:val="5"/>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Invoice reconciliation view (the trust feature)</w:t>
      </w:r>
    </w:p>
    <w:p w14:paraId="7E495239" w14:textId="77777777" w:rsidR="00BA5A84" w:rsidRDefault="00BA5A84">
      <w:pPr>
        <w:numPr>
          <w:ilvl w:val="0"/>
          <w:numId w:val="5"/>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Weekly email digest; Slack ack buttons</w:t>
      </w:r>
    </w:p>
    <w:p w14:paraId="5DE44D91" w14:textId="77777777" w:rsidR="00BA5A84" w:rsidRDefault="00BA5A84">
      <w:pPr>
        <w:numPr>
          <w:ilvl w:val="0"/>
          <w:numId w:val="5"/>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Free read-only CFO seat</w:t>
      </w:r>
    </w:p>
    <w:p w14:paraId="1A808D11" w14:textId="77777777" w:rsidR="00BA5A84" w:rsidRDefault="00BA5A84">
      <w:pPr>
        <w:numPr>
          <w:ilvl w:val="0"/>
          <w:numId w:val="5"/>
        </w:numPr>
        <w:spacing w:before="100" w:beforeAutospacing="1" w:after="100" w:afterAutospacing="1"/>
        <w:divId w:val="1860268827"/>
        <w:rPr>
          <w:rFonts w:ascii="Calibri" w:eastAsia="Times New Roman" w:hAnsi="Calibri" w:cs="Calibri"/>
          <w:color w:val="1A1A1A"/>
          <w:sz w:val="22"/>
          <w:szCs w:val="22"/>
        </w:rPr>
      </w:pPr>
      <w:r>
        <w:rPr>
          <w:rStyle w:val="Strong"/>
          <w:rFonts w:ascii="Calibri" w:eastAsia="Times New Roman" w:hAnsi="Calibri" w:cs="Calibri"/>
          <w:sz w:val="22"/>
          <w:szCs w:val="22"/>
        </w:rPr>
        <w:t>Majority of founder time on sales:</w:t>
      </w:r>
      <w:r>
        <w:rPr>
          <w:rFonts w:ascii="Calibri" w:eastAsia="Times New Roman" w:hAnsi="Calibri" w:cs="Calibri"/>
          <w:color w:val="1A1A1A"/>
          <w:sz w:val="22"/>
          <w:szCs w:val="22"/>
        </w:rPr>
        <w:t xml:space="preserve"> convert design partners, 10 more founder calls, first content. Done-condition: </w:t>
      </w:r>
      <w:r>
        <w:rPr>
          <w:rStyle w:val="Strong"/>
          <w:rFonts w:ascii="Calibri" w:eastAsia="Times New Roman" w:hAnsi="Calibri" w:cs="Calibri"/>
          <w:sz w:val="22"/>
          <w:szCs w:val="22"/>
        </w:rPr>
        <w:t>3 paying customers</w:t>
      </w:r>
      <w:r>
        <w:rPr>
          <w:rFonts w:ascii="Calibri" w:eastAsia="Times New Roman" w:hAnsi="Calibri" w:cs="Calibri"/>
          <w:color w:val="1A1A1A"/>
          <w:sz w:val="22"/>
          <w:szCs w:val="22"/>
        </w:rPr>
        <w:t>, not a feature list.</w:t>
      </w:r>
    </w:p>
    <w:p w14:paraId="50B09366" w14:textId="77777777" w:rsidR="00BA5A84" w:rsidRDefault="00BA5A84">
      <w:pPr>
        <w:pStyle w:val="Heading3"/>
        <w:divId w:val="1860268827"/>
        <w:rPr>
          <w:rFonts w:ascii="Calibri" w:eastAsia="Times New Roman" w:hAnsi="Calibri" w:cs="Calibri"/>
        </w:rPr>
      </w:pPr>
      <w:r>
        <w:rPr>
          <w:rFonts w:ascii="Calibri" w:eastAsia="Times New Roman" w:hAnsi="Calibri" w:cs="Calibri"/>
        </w:rPr>
        <w:t>V1 — resequenced (after 3–5 paying customers)</w:t>
      </w:r>
    </w:p>
    <w:p w14:paraId="2113A22C" w14:textId="77777777" w:rsidR="00BA5A84" w:rsidRDefault="00BA5A84">
      <w:pPr>
        <w:numPr>
          <w:ilvl w:val="0"/>
          <w:numId w:val="6"/>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Telemetry SDK (per-request attribution) — unlocks the real wedge</w:t>
      </w:r>
    </w:p>
    <w:p w14:paraId="09413DF7" w14:textId="77777777" w:rsidR="00BA5A84" w:rsidRDefault="00BA5A84">
      <w:pPr>
        <w:numPr>
          <w:ilvl w:val="0"/>
          <w:numId w:val="6"/>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Per-customer margin module (Stripe/CSV revenue import)</w:t>
      </w:r>
    </w:p>
    <w:p w14:paraId="26F2E740" w14:textId="77777777" w:rsidR="00BA5A84" w:rsidRDefault="00BA5A84">
      <w:pPr>
        <w:numPr>
          <w:ilvl w:val="0"/>
          <w:numId w:val="6"/>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Azure OpenAI adapter — if and only if a paying customer asks</w:t>
      </w:r>
    </w:p>
    <w:p w14:paraId="4F9E56C5" w14:textId="77777777" w:rsidR="00BA5A84" w:rsidRDefault="00BA5A84">
      <w:pPr>
        <w:numPr>
          <w:ilvl w:val="0"/>
          <w:numId w:val="6"/>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SOC 2 Type 1 prep when the first security questionnaire arrives</w:t>
      </w:r>
    </w:p>
    <w:p w14:paraId="08739937" w14:textId="77777777" w:rsidR="00BA5A84" w:rsidRDefault="00BA5A84">
      <w:pPr>
        <w:pStyle w:val="Heading3"/>
        <w:divId w:val="1860268827"/>
        <w:rPr>
          <w:rFonts w:ascii="Calibri" w:eastAsia="Times New Roman" w:hAnsi="Calibri" w:cs="Calibri"/>
        </w:rPr>
      </w:pPr>
      <w:r>
        <w:rPr>
          <w:rFonts w:ascii="Calibri" w:eastAsia="Times New Roman" w:hAnsi="Calibri" w:cs="Calibri"/>
        </w:rPr>
        <w:t>V2 — (after ~$5K MRR)</w:t>
      </w:r>
    </w:p>
    <w:p w14:paraId="55C977B2" w14:textId="77777777" w:rsidR="00BA5A84" w:rsidRDefault="00BA5A84">
      <w:pPr>
        <w:numPr>
          <w:ilvl w:val="0"/>
          <w:numId w:val="7"/>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Admin-API kill switch (investigate before committing to proxy mode)</w:t>
      </w:r>
    </w:p>
    <w:p w14:paraId="2D01C1A8" w14:textId="77777777" w:rsidR="00BA5A84" w:rsidRDefault="00BA5A84">
      <w:pPr>
        <w:numPr>
          <w:ilvl w:val="0"/>
          <w:numId w:val="7"/>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Peer benchmarking (needs org mass)</w:t>
      </w:r>
    </w:p>
    <w:p w14:paraId="376F0347" w14:textId="77777777" w:rsidR="00BA5A84" w:rsidRDefault="00BA5A84">
      <w:pPr>
        <w:numPr>
          <w:ilvl w:val="0"/>
          <w:numId w:val="7"/>
        </w:numPr>
        <w:spacing w:before="100" w:beforeAutospacing="1" w:after="100" w:afterAutospacing="1"/>
        <w:divId w:val="1860268827"/>
        <w:rPr>
          <w:rFonts w:ascii="Calibri" w:eastAsia="Times New Roman" w:hAnsi="Calibri" w:cs="Calibri"/>
          <w:color w:val="1A1A1A"/>
          <w:sz w:val="22"/>
          <w:szCs w:val="22"/>
        </w:rPr>
      </w:pPr>
      <w:r>
        <w:rPr>
          <w:rFonts w:ascii="Calibri" w:eastAsia="Times New Roman" w:hAnsi="Calibri" w:cs="Calibri"/>
          <w:color w:val="1A1A1A"/>
          <w:sz w:val="22"/>
          <w:szCs w:val="22"/>
        </w:rPr>
        <w:t>SAML when enterprise pulls it</w:t>
      </w:r>
    </w:p>
    <w:p w14:paraId="38DD8BF1" w14:textId="77777777" w:rsidR="00BA5A84" w:rsidRDefault="00BA5A84">
      <w:pPr>
        <w:pStyle w:val="NormalWeb"/>
        <w:divId w:val="1860268827"/>
        <w:rPr>
          <w:rFonts w:ascii="Calibri" w:hAnsi="Calibri" w:cs="Calibri"/>
          <w:color w:val="1A1A1A"/>
          <w:sz w:val="22"/>
          <w:szCs w:val="22"/>
        </w:rPr>
      </w:pPr>
      <w:r>
        <w:rPr>
          <w:rStyle w:val="Strong"/>
          <w:rFonts w:ascii="Calibri" w:hAnsi="Calibri" w:cs="Calibri"/>
          <w:sz w:val="22"/>
          <w:szCs w:val="22"/>
        </w:rPr>
        <w:t>Cut / hide:</w:t>
      </w:r>
      <w:r>
        <w:rPr>
          <w:rFonts w:ascii="Calibri" w:hAnsi="Calibri" w:cs="Calibri"/>
          <w:color w:val="1A1A1A"/>
          <w:sz w:val="22"/>
          <w:szCs w:val="22"/>
        </w:rPr>
        <w:t xml:space="preserve"> Gemini connect UI (until real ingestion), AI anomaly explainer, AI rec narratives, per-user Slack DMs, full RBAC, benchmark library as currently spec'd.</w:t>
      </w:r>
    </w:p>
    <w:p w14:paraId="264E6B87" w14:textId="77777777" w:rsidR="00BA5A84" w:rsidRDefault="00BA5A84">
      <w:pPr>
        <w:pStyle w:val="Heading2"/>
        <w:divId w:val="1860268827"/>
        <w:rPr>
          <w:rFonts w:ascii="Calibri" w:eastAsia="Times New Roman" w:hAnsi="Calibri" w:cs="Calibri"/>
        </w:rPr>
      </w:pPr>
      <w:r>
        <w:rPr>
          <w:rFonts w:ascii="Calibri" w:eastAsia="Times New Roman" w:hAnsi="Calibri" w:cs="Calibri"/>
        </w:rPr>
        <w:t>7. Feature Ranking (Future Work)</w:t>
      </w:r>
    </w:p>
    <w:tbl>
      <w:tblPr>
        <w:tblW w:w="5000" w:type="pct"/>
        <w:tblCellMar>
          <w:top w:w="15" w:type="dxa"/>
          <w:left w:w="15" w:type="dxa"/>
          <w:bottom w:w="15" w:type="dxa"/>
          <w:right w:w="15" w:type="dxa"/>
        </w:tblCellMar>
        <w:tblLook w:val="04A0" w:firstRow="1" w:lastRow="0" w:firstColumn="1" w:lastColumn="0" w:noHBand="0" w:noVBand="1"/>
      </w:tblPr>
      <w:tblGrid>
        <w:gridCol w:w="2402"/>
        <w:gridCol w:w="1240"/>
        <w:gridCol w:w="1557"/>
        <w:gridCol w:w="1650"/>
        <w:gridCol w:w="989"/>
        <w:gridCol w:w="1172"/>
      </w:tblGrid>
      <w:tr w:rsidR="00000000" w14:paraId="6707CDC2" w14:textId="77777777">
        <w:trPr>
          <w:divId w:val="1860268827"/>
        </w:trPr>
        <w:tc>
          <w:tcPr>
            <w:tcW w:w="0" w:type="auto"/>
            <w:tcBorders>
              <w:top w:val="single" w:sz="6" w:space="0" w:color="999999"/>
              <w:left w:val="single" w:sz="6" w:space="0" w:color="999999"/>
              <w:bottom w:val="single" w:sz="6" w:space="0" w:color="999999"/>
              <w:right w:val="single" w:sz="6" w:space="0" w:color="999999"/>
            </w:tcBorders>
            <w:shd w:val="clear" w:color="auto" w:fill="1F3A5F"/>
            <w:tcMar>
              <w:top w:w="75" w:type="dxa"/>
              <w:left w:w="120" w:type="dxa"/>
              <w:bottom w:w="75" w:type="dxa"/>
              <w:right w:w="120" w:type="dxa"/>
            </w:tcMar>
            <w:hideMark/>
          </w:tcPr>
          <w:p w14:paraId="297FDEC1" w14:textId="77777777" w:rsidR="00BA5A84" w:rsidRDefault="00BA5A8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Feature</w:t>
            </w:r>
          </w:p>
        </w:tc>
        <w:tc>
          <w:tcPr>
            <w:tcW w:w="0" w:type="auto"/>
            <w:tcBorders>
              <w:top w:val="single" w:sz="6" w:space="0" w:color="999999"/>
              <w:left w:val="single" w:sz="6" w:space="0" w:color="999999"/>
              <w:bottom w:val="single" w:sz="6" w:space="0" w:color="999999"/>
              <w:right w:val="single" w:sz="6" w:space="0" w:color="999999"/>
            </w:tcBorders>
            <w:shd w:val="clear" w:color="auto" w:fill="1F3A5F"/>
            <w:tcMar>
              <w:top w:w="75" w:type="dxa"/>
              <w:left w:w="120" w:type="dxa"/>
              <w:bottom w:w="75" w:type="dxa"/>
              <w:right w:w="120" w:type="dxa"/>
            </w:tcMar>
            <w:hideMark/>
          </w:tcPr>
          <w:p w14:paraId="29915B3F" w14:textId="77777777" w:rsidR="00BA5A84" w:rsidRDefault="00BA5A8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Customer value</w:t>
            </w:r>
          </w:p>
        </w:tc>
        <w:tc>
          <w:tcPr>
            <w:tcW w:w="0" w:type="auto"/>
            <w:tcBorders>
              <w:top w:val="single" w:sz="6" w:space="0" w:color="999999"/>
              <w:left w:val="single" w:sz="6" w:space="0" w:color="999999"/>
              <w:bottom w:val="single" w:sz="6" w:space="0" w:color="999999"/>
              <w:right w:val="single" w:sz="6" w:space="0" w:color="999999"/>
            </w:tcBorders>
            <w:shd w:val="clear" w:color="auto" w:fill="1F3A5F"/>
            <w:tcMar>
              <w:top w:w="75" w:type="dxa"/>
              <w:left w:w="120" w:type="dxa"/>
              <w:bottom w:w="75" w:type="dxa"/>
              <w:right w:w="120" w:type="dxa"/>
            </w:tcMar>
            <w:hideMark/>
          </w:tcPr>
          <w:p w14:paraId="48663E27" w14:textId="77777777" w:rsidR="00BA5A84" w:rsidRDefault="00BA5A8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Revenue</w:t>
            </w:r>
          </w:p>
        </w:tc>
        <w:tc>
          <w:tcPr>
            <w:tcW w:w="0" w:type="auto"/>
            <w:tcBorders>
              <w:top w:val="single" w:sz="6" w:space="0" w:color="999999"/>
              <w:left w:val="single" w:sz="6" w:space="0" w:color="999999"/>
              <w:bottom w:val="single" w:sz="6" w:space="0" w:color="999999"/>
              <w:right w:val="single" w:sz="6" w:space="0" w:color="999999"/>
            </w:tcBorders>
            <w:shd w:val="clear" w:color="auto" w:fill="1F3A5F"/>
            <w:tcMar>
              <w:top w:w="75" w:type="dxa"/>
              <w:left w:w="120" w:type="dxa"/>
              <w:bottom w:w="75" w:type="dxa"/>
              <w:right w:w="120" w:type="dxa"/>
            </w:tcMar>
            <w:hideMark/>
          </w:tcPr>
          <w:p w14:paraId="156B35D6" w14:textId="77777777" w:rsidR="00BA5A84" w:rsidRDefault="00BA5A8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Strategic</w:t>
            </w:r>
          </w:p>
        </w:tc>
        <w:tc>
          <w:tcPr>
            <w:tcW w:w="0" w:type="auto"/>
            <w:tcBorders>
              <w:top w:val="single" w:sz="6" w:space="0" w:color="999999"/>
              <w:left w:val="single" w:sz="6" w:space="0" w:color="999999"/>
              <w:bottom w:val="single" w:sz="6" w:space="0" w:color="999999"/>
              <w:right w:val="single" w:sz="6" w:space="0" w:color="999999"/>
            </w:tcBorders>
            <w:shd w:val="clear" w:color="auto" w:fill="1F3A5F"/>
            <w:tcMar>
              <w:top w:w="75" w:type="dxa"/>
              <w:left w:w="120" w:type="dxa"/>
              <w:bottom w:w="75" w:type="dxa"/>
              <w:right w:w="120" w:type="dxa"/>
            </w:tcMar>
            <w:hideMark/>
          </w:tcPr>
          <w:p w14:paraId="4CFD1A26" w14:textId="77777777" w:rsidR="00BA5A84" w:rsidRDefault="00BA5A8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Effort</w:t>
            </w:r>
          </w:p>
        </w:tc>
        <w:tc>
          <w:tcPr>
            <w:tcW w:w="0" w:type="auto"/>
            <w:tcBorders>
              <w:top w:val="single" w:sz="6" w:space="0" w:color="999999"/>
              <w:left w:val="single" w:sz="6" w:space="0" w:color="999999"/>
              <w:bottom w:val="single" w:sz="6" w:space="0" w:color="999999"/>
              <w:right w:val="single" w:sz="6" w:space="0" w:color="999999"/>
            </w:tcBorders>
            <w:shd w:val="clear" w:color="auto" w:fill="1F3A5F"/>
            <w:tcMar>
              <w:top w:w="75" w:type="dxa"/>
              <w:left w:w="120" w:type="dxa"/>
              <w:bottom w:w="75" w:type="dxa"/>
              <w:right w:w="120" w:type="dxa"/>
            </w:tcMar>
            <w:hideMark/>
          </w:tcPr>
          <w:p w14:paraId="24E1019E" w14:textId="77777777" w:rsidR="00BA5A84" w:rsidRDefault="00BA5A8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Priority</w:t>
            </w:r>
          </w:p>
        </w:tc>
      </w:tr>
      <w:tr w:rsidR="00000000" w14:paraId="2A26147B"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16D70A2"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CFO PDF</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E86B292"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07D5BF7"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 (closes deals)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43DCCC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 — the wedge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1E6A58B"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869B3DE"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1</w:t>
            </w:r>
          </w:p>
        </w:tc>
      </w:tr>
      <w:tr w:rsidR="00000000" w14:paraId="493C7E44"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1EC7B71"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Stripe billing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8485FD7"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B918103"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Required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80F3BFD"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B7D21F7"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A8CDE64"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2</w:t>
            </w:r>
          </w:p>
        </w:tc>
      </w:tr>
      <w:tr w:rsidR="00000000" w14:paraId="346E8BC8"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0C4CBAC"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Reconciliation report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8C65E94"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D27061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D228923"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 — trust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0F3CE31"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43A1CC5"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3</w:t>
            </w:r>
          </w:p>
        </w:tc>
      </w:tr>
      <w:tr w:rsidR="00000000" w14:paraId="1757F56D"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FF545CF"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Telemetry SDK</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F83DAFC"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074C5A6"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 (upsell to Growth)</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ACF2B72"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Highest — moat + lock-in</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8C2B2D2"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052E640"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4</w:t>
            </w:r>
          </w:p>
        </w:tc>
      </w:tr>
      <w:tr w:rsidR="00000000" w14:paraId="537A1036"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46F17B6"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Per-customer margin</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4ED7509"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Very high</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4AFC4E5"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 (justifies $1,500 tier)</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6214AE0"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Highest — nobody else has it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6424A5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82BCD91"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5</w:t>
            </w:r>
          </w:p>
        </w:tc>
      </w:tr>
      <w:tr w:rsidR="00000000" w14:paraId="51535677"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CCCCDF9"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Read-only key docs + security page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8068195"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CA5E67B"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 (unblocks funnel)</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387BCC0"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960D0D7"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Trivial</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2389FB3" w14:textId="77777777" w:rsidR="00BA5A84" w:rsidRDefault="00BA5A84">
            <w:pPr>
              <w:spacing w:before="180" w:after="180"/>
              <w:rPr>
                <w:rFonts w:ascii="Calibri" w:eastAsia="Times New Roman" w:hAnsi="Calibri" w:cs="Calibri"/>
                <w:color w:val="1A1A1A"/>
                <w:sz w:val="20"/>
                <w:szCs w:val="20"/>
              </w:rPr>
            </w:pPr>
            <w:r>
              <w:rPr>
                <w:rStyle w:val="Strong"/>
                <w:rFonts w:ascii="Calibri" w:eastAsia="Times New Roman" w:hAnsi="Calibri" w:cs="Calibri"/>
                <w:sz w:val="20"/>
                <w:szCs w:val="20"/>
              </w:rPr>
              <w:t>Do this week</w:t>
            </w:r>
          </w:p>
        </w:tc>
      </w:tr>
      <w:tr w:rsidR="00000000" w14:paraId="2F2E1BF7"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528F52B"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CFO viewer seat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F522640"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D921E7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9A8BF49"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 — buyer spread</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9BF227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49B26D8"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6</w:t>
            </w:r>
          </w:p>
        </w:tc>
      </w:tr>
      <w:tr w:rsidR="00000000" w14:paraId="77DE299B"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6F39100"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Weekly email digest</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90E5E4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7449DB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E645FD5"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 — retention</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BBD581A"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9E9C2AC"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7</w:t>
            </w:r>
          </w:p>
        </w:tc>
      </w:tr>
      <w:tr w:rsidR="00000000" w14:paraId="0F124558"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0EF1972"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Slack interactivity</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FAFE0E4"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69534053"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9D7A484"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 — retention</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0CF392B"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8D0D899"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8</w:t>
            </w:r>
          </w:p>
        </w:tc>
      </w:tr>
      <w:tr w:rsidR="00000000" w14:paraId="63D81230"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AFAF9B0"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Azure OpenAI adapter</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949C209"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 (for some)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DA598BB"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4E10006"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6CAA19A"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6A645F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Demand-gated</w:t>
            </w:r>
          </w:p>
        </w:tc>
      </w:tr>
      <w:tr w:rsidR="00000000" w14:paraId="3BD834FE"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33EB172"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Kill switch (Admin API)</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72A65D7"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4091B3A9"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0A629F8"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 — category change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1A4E52F"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 + risk</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DF930F6"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V2 spike</w:t>
            </w:r>
          </w:p>
        </w:tc>
      </w:tr>
      <w:tr w:rsidR="00000000" w14:paraId="0B76312E"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075D621"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Peer benchmarking</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73A4925E"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B900D06"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0504FCF"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High long-term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4128D9F"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Medium</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6CFC2F0"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Needs scale</w:t>
            </w:r>
          </w:p>
        </w:tc>
      </w:tr>
      <w:tr w:rsidR="00000000" w14:paraId="462B7382" w14:textId="77777777">
        <w:trPr>
          <w:divId w:val="1860268827"/>
        </w:trPr>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504969D5"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AI narratives/explainers</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2B6DEC18"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30714C9"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None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31B5221C"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None</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0CEA63C4"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Low</w:t>
            </w:r>
          </w:p>
        </w:tc>
        <w:tc>
          <w:tcPr>
            <w:tcW w:w="0" w:type="auto"/>
            <w:tcBorders>
              <w:top w:val="single" w:sz="6" w:space="0" w:color="999999"/>
              <w:left w:val="single" w:sz="6" w:space="0" w:color="999999"/>
              <w:bottom w:val="single" w:sz="6" w:space="0" w:color="999999"/>
              <w:right w:val="single" w:sz="6" w:space="0" w:color="999999"/>
            </w:tcBorders>
            <w:tcMar>
              <w:top w:w="75" w:type="dxa"/>
              <w:left w:w="120" w:type="dxa"/>
              <w:bottom w:w="75" w:type="dxa"/>
              <w:right w:w="120" w:type="dxa"/>
            </w:tcMar>
            <w:hideMark/>
          </w:tcPr>
          <w:p w14:paraId="170216A5" w14:textId="77777777" w:rsidR="00BA5A84" w:rsidRDefault="00BA5A84">
            <w:pPr>
              <w:spacing w:before="180" w:after="180"/>
              <w:rPr>
                <w:rFonts w:ascii="Calibri" w:eastAsia="Times New Roman" w:hAnsi="Calibri" w:cs="Calibri"/>
                <w:color w:val="1A1A1A"/>
                <w:sz w:val="20"/>
                <w:szCs w:val="20"/>
              </w:rPr>
            </w:pPr>
            <w:r>
              <w:rPr>
                <w:rFonts w:ascii="Calibri" w:eastAsia="Times New Roman" w:hAnsi="Calibri" w:cs="Calibri"/>
                <w:color w:val="1A1A1A"/>
                <w:sz w:val="20"/>
                <w:szCs w:val="20"/>
              </w:rPr>
              <w:t>Cut</w:t>
            </w:r>
          </w:p>
        </w:tc>
      </w:tr>
    </w:tbl>
    <w:p w14:paraId="0BFB2B94" w14:textId="77777777" w:rsidR="00BA5A84" w:rsidRDefault="00BA5A84">
      <w:pPr>
        <w:pStyle w:val="NormalWeb"/>
        <w:divId w:val="1860268827"/>
        <w:rPr>
          <w:rFonts w:ascii="Calibri" w:hAnsi="Calibri" w:cs="Calibri"/>
          <w:color w:val="1A1A1A"/>
          <w:sz w:val="22"/>
          <w:szCs w:val="22"/>
        </w:rPr>
      </w:pPr>
      <w:r>
        <w:rPr>
          <w:rStyle w:val="Strong"/>
          <w:rFonts w:ascii="Calibri" w:hAnsi="Calibri" w:cs="Calibri"/>
          <w:sz w:val="22"/>
          <w:szCs w:val="22"/>
        </w:rPr>
        <w:t>Moat, in order of durability:</w:t>
      </w:r>
      <w:r>
        <w:rPr>
          <w:rFonts w:ascii="Calibri" w:hAnsi="Calibri" w:cs="Calibri"/>
          <w:color w:val="1A1A1A"/>
          <w:sz w:val="22"/>
          <w:szCs w:val="22"/>
        </w:rPr>
        <w:t xml:space="preserve"> </w:t>
      </w:r>
      <w:r>
        <w:rPr>
          <w:rFonts w:ascii="Calibri" w:hAnsi="Calibri" w:cs="Calibri"/>
          <w:color w:val="1A1A1A"/>
          <w:sz w:val="22"/>
          <w:szCs w:val="22"/>
        </w:rPr>
        <w:t>(1) per-customer margin data joined across providers — providers and dev-tools structurally won't build it; (2) SDK integration lock-in; (3) eventually, cross-customer benchmarking data. Anomalies, budgets, and Slack alerts are not moats — they're the price of admission.</w:t>
      </w:r>
    </w:p>
    <w:p w14:paraId="3DC38F14" w14:textId="77777777" w:rsidR="00BA5A84" w:rsidRDefault="00BA5A84">
      <w:pPr>
        <w:pStyle w:val="Heading2"/>
        <w:divId w:val="1860268827"/>
        <w:rPr>
          <w:rFonts w:ascii="Calibri" w:eastAsia="Times New Roman" w:hAnsi="Calibri" w:cs="Calibri"/>
        </w:rPr>
      </w:pPr>
      <w:r>
        <w:rPr>
          <w:rFonts w:ascii="Calibri" w:eastAsia="Times New Roman" w:hAnsi="Calibri" w:cs="Calibri"/>
        </w:rPr>
        <w:t>Bottom Line</w:t>
      </w:r>
    </w:p>
    <w:p w14:paraId="1254C298" w14:textId="77777777" w:rsidR="00BA5A84" w:rsidRDefault="00BA5A84">
      <w:pPr>
        <w:pStyle w:val="NormalWeb"/>
        <w:divId w:val="1860268827"/>
        <w:rPr>
          <w:rFonts w:ascii="Calibri" w:hAnsi="Calibri" w:cs="Calibri"/>
          <w:color w:val="1A1A1A"/>
          <w:sz w:val="22"/>
          <w:szCs w:val="22"/>
        </w:rPr>
      </w:pPr>
      <w:r>
        <w:rPr>
          <w:rFonts w:ascii="Calibri" w:hAnsi="Calibri" w:cs="Calibri"/>
          <w:color w:val="1A1A1A"/>
          <w:sz w:val="22"/>
          <w:szCs w:val="22"/>
        </w:rPr>
        <w:t xml:space="preserve">This is a genuinely well-engineered product built against a sharp, well-reasoned spec — the constraint discipline (no proxy, statistics-first, scope refusal) is rarer and more valuable than the code. But the plan currently sequences the differentiator last, promises an attribution capability the architecture can't yet deliver, and contains no answer to "why will a CTO trust you with admin keys" or "how will anyone find this." Fix the sequencing in M4, promote the SDK and the margin module to the top of V1, </w:t>
      </w:r>
      <w:r>
        <w:rPr>
          <w:rFonts w:ascii="Calibri" w:hAnsi="Calibri" w:cs="Calibri"/>
          <w:color w:val="1A1A1A"/>
          <w:sz w:val="22"/>
          <w:szCs w:val="22"/>
        </w:rPr>
        <w:t>treat trust as a feature, and define the next milestone's done-condition in customers rather than tests — and this is a credible business. Keep executing the current roadmap in its current order, and the risk is arriving at a polished, well-tested product that's identical to free provider dashboards on demo day.</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E03F1"/>
    <w:multiLevelType w:val="multilevel"/>
    <w:tmpl w:val="A8A8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E2704"/>
    <w:multiLevelType w:val="multilevel"/>
    <w:tmpl w:val="DCA0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A1F93"/>
    <w:multiLevelType w:val="multilevel"/>
    <w:tmpl w:val="FC4A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45255"/>
    <w:multiLevelType w:val="multilevel"/>
    <w:tmpl w:val="A9FE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254E7"/>
    <w:multiLevelType w:val="multilevel"/>
    <w:tmpl w:val="B81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119CA"/>
    <w:multiLevelType w:val="multilevel"/>
    <w:tmpl w:val="2F4C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160907"/>
    <w:multiLevelType w:val="multilevel"/>
    <w:tmpl w:val="237E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075954">
    <w:abstractNumId w:val="4"/>
  </w:num>
  <w:num w:numId="2" w16cid:durableId="1858351094">
    <w:abstractNumId w:val="5"/>
  </w:num>
  <w:num w:numId="3" w16cid:durableId="65079122">
    <w:abstractNumId w:val="1"/>
  </w:num>
  <w:num w:numId="4" w16cid:durableId="1545606015">
    <w:abstractNumId w:val="0"/>
  </w:num>
  <w:num w:numId="5" w16cid:durableId="495266620">
    <w:abstractNumId w:val="2"/>
  </w:num>
  <w:num w:numId="6" w16cid:durableId="258489835">
    <w:abstractNumId w:val="6"/>
  </w:num>
  <w:num w:numId="7" w16cid:durableId="193926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5A84"/>
    <w:rsid w:val="00136FEB"/>
    <w:rsid w:val="00BA5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C2F5F5"/>
  <w15:chartTrackingRefBased/>
  <w15:docId w15:val="{808A8E76-5B57-40E8-BEFC-29203797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333333"/>
      </w:pBdr>
      <w:spacing w:before="100" w:beforeAutospacing="1" w:after="100" w:afterAutospacing="1"/>
      <w:outlineLvl w:val="0"/>
    </w:pPr>
    <w:rPr>
      <w:b/>
      <w:bCs/>
      <w:color w:val="111111"/>
      <w:kern w:val="36"/>
      <w:sz w:val="40"/>
      <w:szCs w:val="40"/>
    </w:rPr>
  </w:style>
  <w:style w:type="paragraph" w:styleId="Heading2">
    <w:name w:val="heading 2"/>
    <w:basedOn w:val="Normal"/>
    <w:link w:val="Heading2Char"/>
    <w:uiPriority w:val="9"/>
    <w:qFormat/>
    <w:pPr>
      <w:pBdr>
        <w:bottom w:val="single" w:sz="6" w:space="2" w:color="CCCCCC"/>
      </w:pBdr>
      <w:spacing w:before="420" w:after="100" w:afterAutospacing="1"/>
      <w:outlineLvl w:val="1"/>
    </w:pPr>
    <w:rPr>
      <w:b/>
      <w:bCs/>
      <w:color w:val="1F3A5F"/>
      <w:sz w:val="28"/>
      <w:szCs w:val="28"/>
    </w:rPr>
  </w:style>
  <w:style w:type="paragraph" w:styleId="Heading3">
    <w:name w:val="heading 3"/>
    <w:basedOn w:val="Normal"/>
    <w:link w:val="Heading3Char"/>
    <w:uiPriority w:val="9"/>
    <w:qFormat/>
    <w:pPr>
      <w:spacing w:before="270" w:after="100" w:afterAutospacing="1"/>
      <w:outlineLvl w:val="2"/>
    </w:pPr>
    <w:rPr>
      <w:b/>
      <w:bCs/>
      <w:color w:val="1F3A5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5"/>
    </w:rPr>
  </w:style>
  <w:style w:type="character" w:styleId="Strong">
    <w:name w:val="Strong"/>
    <w:basedOn w:val="DefaultParagraphFont"/>
    <w:uiPriority w:val="22"/>
    <w:qFormat/>
    <w:rPr>
      <w:b/>
      <w:bCs/>
      <w:color w:val="111111"/>
    </w:rPr>
  </w:style>
  <w:style w:type="paragraph" w:customStyle="1" w:styleId="msonormal0">
    <w:name w:val="msonormal"/>
    <w:basedOn w:val="Normal"/>
    <w:pPr>
      <w:spacing w:before="100" w:beforeAutospacing="1" w:after="100" w:afterAutospacing="1"/>
    </w:pPr>
  </w:style>
  <w:style w:type="paragraph" w:customStyle="1" w:styleId="meta">
    <w:name w:val="meta"/>
    <w:basedOn w:val="Normal"/>
    <w:pPr>
      <w:spacing w:before="100" w:beforeAutospacing="1" w:after="100" w:afterAutospacing="1"/>
    </w:pPr>
    <w:rPr>
      <w:color w:val="666666"/>
      <w:sz w:val="20"/>
      <w:szCs w:val="20"/>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268827">
      <w:bodyDiv w:val="1"/>
      <w:marLeft w:val="600"/>
      <w:marRight w:val="60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1988</Words>
  <Characters>11336</Characters>
  <Application>Microsoft Office Word</Application>
  <DocSecurity>0</DocSecurity>
  <Lines>94</Lines>
  <Paragraphs>26</Paragraphs>
  <ScaleCrop>false</ScaleCrop>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SpendOps AI — Strategic Review (2026-06-11)</dc:title>
  <dc:subject/>
  <dc:creator>Bhargav Telu</dc:creator>
  <cp:keywords/>
  <dc:description/>
  <cp:lastModifiedBy>Bhargav Telu</cp:lastModifiedBy>
  <cp:revision>2</cp:revision>
  <dcterms:created xsi:type="dcterms:W3CDTF">2026-06-11T06:41:00Z</dcterms:created>
  <dcterms:modified xsi:type="dcterms:W3CDTF">2026-06-11T06:41:00Z</dcterms:modified>
</cp:coreProperties>
</file>