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STATUTORY ENGINEERING MEMORANDUM &amp; APPROVAL NOTE</w:t>
      </w:r>
    </w:p>
    <w:p>
      <w:r>
        <w:rPr>
          <w:b/>
        </w:rPr>
        <w:t>1. ASSET &amp; INSPECTION METADATA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Reference Number</w:t>
            </w:r>
          </w:p>
        </w:tc>
        <w:tc>
          <w:tcPr>
            <w:tcW w:type="dxa" w:w="4320"/>
          </w:tcPr>
          <w:p>
            <w:r>
              <w:t>CASE-2026-0091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Refinery / Plant</w:t>
            </w:r>
          </w:p>
        </w:tc>
        <w:tc>
          <w:tcPr>
            <w:tcW w:type="dxa" w:w="4320"/>
          </w:tcPr>
          <w:p>
            <w:r>
              <w:t>Paradip Refinery - Crude Distillation Unit 3 (CDU-3)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Process Unit</w:t>
            </w:r>
          </w:p>
        </w:tc>
        <w:tc>
          <w:tcPr>
            <w:tcW w:type="dxa" w:w="4320"/>
          </w:tcPr>
          <w:p>
            <w:r>
              <w:t>Unit 3 Crude Pre-Heat Train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Target Equipment Tag</w:t>
            </w:r>
          </w:p>
        </w:tc>
        <w:tc>
          <w:tcPr>
            <w:tcW w:type="dxa" w:w="4320"/>
          </w:tcPr>
          <w:p>
            <w:r>
              <w:t>12"-P-1042-CS-150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Inspection Date</w:t>
            </w:r>
          </w:p>
        </w:tc>
        <w:tc>
          <w:tcPr>
            <w:tcW w:type="dxa" w:w="4320"/>
          </w:tcPr>
          <w:p>
            <w:r>
              <w:t>2026-09-14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Lead Engineer</w:t>
            </w:r>
          </w:p>
        </w:tc>
        <w:tc>
          <w:tcPr>
            <w:tcW w:type="dxa" w:w="4320"/>
          </w:tcPr>
          <w:p>
            <w:r>
              <w:t>Er. R. K. Sharma (Superintending Engineer - Inspection)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Approving Authority</w:t>
            </w:r>
          </w:p>
        </w:tc>
        <w:tc>
          <w:tcPr>
            <w:tcW w:type="dxa" w:w="4320"/>
          </w:tcPr>
          <w:p>
            <w:r>
              <w:t>Shri V. G. Menon (Executive Director - Technical &amp; Operations)</w:t>
            </w:r>
          </w:p>
        </w:tc>
      </w:tr>
    </w:tbl>
    <w:p/>
    <w:p>
      <w:r>
        <w:rPr>
          <w:b/>
        </w:rPr>
        <w:t>2. VERIFIED THICKNESS &amp; INVARIANT CALCULATIONS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VALUE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t>Nominal Pipe Diameter (OD)</w:t>
            </w:r>
          </w:p>
        </w:tc>
        <w:tc>
          <w:tcPr>
            <w:tcW w:type="dxa" w:w="2160"/>
          </w:tcPr>
          <w:p>
            <w:r>
              <w:t>12.75 in (323.8 mm)</w:t>
            </w:r>
          </w:p>
        </w:tc>
        <w:tc>
          <w:tcPr>
            <w:tcW w:type="dxa" w:w="2160"/>
          </w:tcPr>
          <w:p>
            <w:r>
              <w:t>SAT</w:t>
            </w:r>
          </w:p>
        </w:tc>
        <w:tc>
          <w:tcPr>
            <w:tcW w:type="dxa" w:w="2160"/>
          </w:tcPr>
          <w:p>
            <w:r>
              <w:t>Nominal Pipe Size 12 Schedule 40</w:t>
            </w:r>
          </w:p>
        </w:tc>
      </w:tr>
      <w:tr>
        <w:tc>
          <w:tcPr>
            <w:tcW w:type="dxa" w:w="2160"/>
          </w:tcPr>
          <w:p>
            <w:r>
              <w:t>Design Operating Pressure (P)</w:t>
            </w:r>
          </w:p>
        </w:tc>
        <w:tc>
          <w:tcPr>
            <w:tcW w:type="dxa" w:w="2160"/>
          </w:tcPr>
          <w:p>
            <w:r>
              <w:t>400.0 psig (2.76 MPa)</w:t>
            </w:r>
          </w:p>
        </w:tc>
        <w:tc>
          <w:tcPr>
            <w:tcW w:type="dxa" w:w="2160"/>
          </w:tcPr>
          <w:p>
            <w:r>
              <w:t>SAT</w:t>
            </w:r>
          </w:p>
        </w:tc>
        <w:tc>
          <w:tcPr>
            <w:tcW w:type="dxa" w:w="2160"/>
          </w:tcPr>
          <w:p>
            <w:r>
              <w:t>Crude charge preheat design rating</w:t>
            </w:r>
          </w:p>
        </w:tc>
      </w:tr>
      <w:tr>
        <w:tc>
          <w:tcPr>
            <w:tcW w:type="dxa" w:w="2160"/>
          </w:tcPr>
          <w:p>
            <w:r>
              <w:t>Allowable Stress @ 350F (S)</w:t>
            </w:r>
          </w:p>
        </w:tc>
        <w:tc>
          <w:tcPr>
            <w:tcW w:type="dxa" w:w="2160"/>
          </w:tcPr>
          <w:p>
            <w:r>
              <w:t>20,000 psi (137.9 MPa)</w:t>
            </w:r>
          </w:p>
        </w:tc>
        <w:tc>
          <w:tcPr>
            <w:tcW w:type="dxa" w:w="2160"/>
          </w:tcPr>
          <w:p>
            <w:r>
              <w:t>SAT</w:t>
            </w:r>
          </w:p>
        </w:tc>
        <w:tc>
          <w:tcPr>
            <w:tcW w:type="dxa" w:w="2160"/>
          </w:tcPr>
          <w:p>
            <w:r>
              <w:t>ASTM A106 Gr. B Seamless per Mill Cert #4471</w:t>
            </w:r>
          </w:p>
        </w:tc>
      </w:tr>
      <w:tr>
        <w:tc>
          <w:tcPr>
            <w:tcW w:type="dxa" w:w="2160"/>
          </w:tcPr>
          <w:p>
            <w:r>
              <w:t>Joint Quality Factor (E)</w:t>
            </w:r>
          </w:p>
        </w:tc>
        <w:tc>
          <w:tcPr>
            <w:tcW w:type="dxa" w:w="2160"/>
          </w:tcPr>
          <w:p>
            <w:r>
              <w:t>1.00</w:t>
            </w:r>
          </w:p>
        </w:tc>
        <w:tc>
          <w:tcPr>
            <w:tcW w:type="dxa" w:w="2160"/>
          </w:tcPr>
          <w:p>
            <w:r>
              <w:t>SAT</w:t>
            </w:r>
          </w:p>
        </w:tc>
        <w:tc>
          <w:tcPr>
            <w:tcW w:type="dxa" w:w="2160"/>
          </w:tcPr>
          <w:p>
            <w:r>
              <w:t>Seamless extrusion factor</w:t>
            </w:r>
          </w:p>
        </w:tc>
      </w:tr>
      <w:tr>
        <w:tc>
          <w:tcPr>
            <w:tcW w:type="dxa" w:w="2160"/>
          </w:tcPr>
          <w:p>
            <w:r>
              <w:t>Temperature Coefficient (Y)</w:t>
            </w:r>
          </w:p>
        </w:tc>
        <w:tc>
          <w:tcPr>
            <w:tcW w:type="dxa" w:w="2160"/>
          </w:tcPr>
          <w:p>
            <w:r>
              <w:t>0.40</w:t>
            </w:r>
          </w:p>
        </w:tc>
        <w:tc>
          <w:tcPr>
            <w:tcW w:type="dxa" w:w="2160"/>
          </w:tcPr>
          <w:p>
            <w:r>
              <w:t>SAT</w:t>
            </w:r>
          </w:p>
        </w:tc>
        <w:tc>
          <w:tcPr>
            <w:tcW w:type="dxa" w:w="2160"/>
          </w:tcPr>
          <w:p>
            <w:r>
              <w:t>Ferritic steel at 350 deg F</w:t>
            </w:r>
          </w:p>
        </w:tc>
      </w:tr>
      <w:tr>
        <w:tc>
          <w:tcPr>
            <w:tcW w:type="dxa" w:w="2160"/>
          </w:tcPr>
          <w:p>
            <w:r>
              <w:t>Corrosion Allowance (c)</w:t>
            </w:r>
          </w:p>
        </w:tc>
        <w:tc>
          <w:tcPr>
            <w:tcW w:type="dxa" w:w="2160"/>
          </w:tcPr>
          <w:p>
            <w:r>
              <w:t>0.0625 in (1.587 mm)</w:t>
            </w:r>
          </w:p>
        </w:tc>
        <w:tc>
          <w:tcPr>
            <w:tcW w:type="dxa" w:w="2160"/>
          </w:tcPr>
          <w:p>
            <w:r>
              <w:t>SAT</w:t>
            </w:r>
          </w:p>
        </w:tc>
        <w:tc>
          <w:tcPr>
            <w:tcW w:type="dxa" w:w="2160"/>
          </w:tcPr>
          <w:p>
            <w:r>
              <w:t>Mandatory PSU minimum reserve buffer</w:t>
            </w:r>
          </w:p>
        </w:tc>
      </w:tr>
      <w:tr>
        <w:tc>
          <w:tcPr>
            <w:tcW w:type="dxa" w:w="2160"/>
          </w:tcPr>
          <w:p>
            <w:r>
              <w:t>Measured Thickness (t_actual)</w:t>
            </w:r>
          </w:p>
        </w:tc>
        <w:tc>
          <w:tcPr>
            <w:tcW w:type="dxa" w:w="2160"/>
          </w:tcPr>
          <w:p>
            <w:r>
              <w:t>0.3024 in (7.680 mm)</w:t>
            </w:r>
          </w:p>
        </w:tc>
        <w:tc>
          <w:tcPr>
            <w:tcW w:type="dxa" w:w="2160"/>
          </w:tcPr>
          <w:p>
            <w:r>
              <w:t>SAT</w:t>
            </w:r>
          </w:p>
        </w:tc>
        <w:tc>
          <w:tcPr>
            <w:tcW w:type="dxa" w:w="2160"/>
          </w:tcPr>
          <w:p>
            <w:r>
              <w:t>Ultrasonic Field Point CML-03 (14-Sep-2026)</w:t>
            </w:r>
          </w:p>
        </w:tc>
      </w:tr>
      <w:tr>
        <w:tc>
          <w:tcPr>
            <w:tcW w:type="dxa" w:w="2160"/>
          </w:tcPr>
          <w:p>
            <w:r>
              <w:t>Statutory Minimum Required (t_m)</w:t>
            </w:r>
          </w:p>
        </w:tc>
        <w:tc>
          <w:tcPr>
            <w:tcW w:type="dxa" w:w="2160"/>
          </w:tcPr>
          <w:p>
            <w:r>
              <w:t>0.2212 in (5.618 mm)</w:t>
            </w:r>
          </w:p>
        </w:tc>
        <w:tc>
          <w:tcPr>
            <w:tcW w:type="dxa" w:w="2160"/>
          </w:tcPr>
          <w:p>
            <w:r>
              <w:t>SAT</w:t>
            </w:r>
          </w:p>
        </w:tc>
        <w:tc>
          <w:tcPr>
            <w:tcW w:type="dxa" w:w="2160"/>
          </w:tcPr>
          <w:p>
            <w:r>
              <w:t>Calculated per ASME B31.3 Eq. 3a</w:t>
            </w:r>
          </w:p>
        </w:tc>
      </w:tr>
      <w:tr>
        <w:tc>
          <w:tcPr>
            <w:tcW w:type="dxa" w:w="2160"/>
          </w:tcPr>
          <w:p>
            <w:r>
              <w:t>Compliant Safety Margin</w:t>
            </w:r>
          </w:p>
        </w:tc>
        <w:tc>
          <w:tcPr>
            <w:tcW w:type="dxa" w:w="2160"/>
          </w:tcPr>
          <w:p>
            <w:r>
              <w:t>+0.0812 in (+2.062 mm)</w:t>
            </w:r>
          </w:p>
        </w:tc>
        <w:tc>
          <w:tcPr>
            <w:tcW w:type="dxa" w:w="2160"/>
          </w:tcPr>
          <w:p>
            <w:r>
              <w:t>SAT</w:t>
            </w:r>
          </w:p>
        </w:tc>
        <w:tc>
          <w:tcPr>
            <w:tcW w:type="dxa" w:w="2160"/>
          </w:tcPr>
          <w:p>
            <w:r>
              <w:t>Structural safety margin above minimum code</w:t>
            </w:r>
          </w:p>
        </w:tc>
      </w:tr>
      <w:tr>
        <w:tc>
          <w:tcPr>
            <w:tcW w:type="dxa" w:w="2160"/>
          </w:tcPr>
          <w:p>
            <w:r>
              <w:t>Evaluated Corrosion Rate</w:t>
            </w:r>
          </w:p>
        </w:tc>
        <w:tc>
          <w:tcPr>
            <w:tcW w:type="dxa" w:w="2160"/>
          </w:tcPr>
          <w:p>
            <w:r>
              <w:t>0.240 mm / year</w:t>
            </w:r>
          </w:p>
        </w:tc>
        <w:tc>
          <w:tcPr>
            <w:tcW w:type="dxa" w:w="2160"/>
          </w:tcPr>
          <w:p>
            <w:r>
              <w:t>SAT</w:t>
            </w:r>
          </w:p>
        </w:tc>
        <w:tc>
          <w:tcPr>
            <w:tcW w:type="dxa" w:w="2160"/>
          </w:tcPr>
          <w:p>
            <w:r>
              <w:t>Derived from 2019-2025 UT trend regression</w:t>
            </w:r>
          </w:p>
        </w:tc>
      </w:tr>
      <w:tr>
        <w:tc>
          <w:tcPr>
            <w:tcW w:type="dxa" w:w="2160"/>
          </w:tcPr>
          <w:p>
            <w:r>
              <w:t>Estimated Remaining Safe Life</w:t>
            </w:r>
          </w:p>
        </w:tc>
        <w:tc>
          <w:tcPr>
            <w:tcW w:type="dxa" w:w="2160"/>
          </w:tcPr>
          <w:p>
            <w:r>
              <w:t>6.2 Years</w:t>
            </w:r>
          </w:p>
        </w:tc>
        <w:tc>
          <w:tcPr>
            <w:tcW w:type="dxa" w:w="2160"/>
          </w:tcPr>
          <w:p>
            <w:r>
              <w:t>SAT</w:t>
            </w:r>
          </w:p>
        </w:tc>
        <w:tc>
          <w:tcPr>
            <w:tcW w:type="dxa" w:w="2160"/>
          </w:tcPr>
          <w:p>
            <w:r>
              <w:t>Formula: (t_actual - t_m) / corrosion_rate</w:t>
            </w:r>
          </w:p>
        </w:tc>
      </w:tr>
      <w:tr>
        <w:tc>
          <w:tcPr>
            <w:tcW w:type="dxa" w:w="2160"/>
          </w:tcPr>
          <w:p>
            <w:r>
              <w:t>Recommended Re-Inspection</w:t>
            </w:r>
          </w:p>
        </w:tc>
        <w:tc>
          <w:tcPr>
            <w:tcW w:type="dxa" w:w="2160"/>
          </w:tcPr>
          <w:p>
            <w:r>
              <w:t>12 Months (Sep 2027)</w:t>
            </w:r>
          </w:p>
        </w:tc>
        <w:tc>
          <w:tcPr>
            <w:tcW w:type="dxa" w:w="2160"/>
          </w:tcPr>
          <w:p>
            <w:r>
              <w:t>SAT</w:t>
            </w:r>
          </w:p>
        </w:tc>
        <w:tc>
          <w:tcPr>
            <w:tcW w:type="dxa" w:w="2160"/>
          </w:tcPr>
          <w:p>
            <w:r>
              <w:t>Statutory PSU turnaround interval</w:t>
            </w:r>
          </w:p>
        </w:tc>
      </w:tr>
    </w:tbl>
    <w:p/>
    <w:p>
      <w:r>
        <w:rPr>
          <w:b/>
        </w:rPr>
        <w:t>3. STATUTORY &amp; CODE CITATIONS</w:t>
      </w:r>
    </w:p>
    <w:p>
      <w:pPr>
        <w:pStyle w:val="ListBullet"/>
      </w:pPr>
      <w:r>
        <w:t>• ASME B31.3-2022 Process Piping Code, Section 304.1.2 (Straight Pipe Under Internal Pressure)</w:t>
      </w:r>
    </w:p>
    <w:p>
      <w:pPr>
        <w:pStyle w:val="ListBullet"/>
      </w:pPr>
      <w:r>
        <w:t>• API Standard 510 / API 570 In-Service Inspection, Rating, Repair, and Alteration</w:t>
      </w:r>
    </w:p>
    <w:p>
      <w:pPr>
        <w:pStyle w:val="ListBullet"/>
      </w:pPr>
      <w:r>
        <w:t>• EN 10204 3.1 Certified Material Test Report (ASTM A106 Gr. B, Heat 4471)</w:t>
      </w:r>
    </w:p>
    <w:p>
      <w:pPr>
        <w:pStyle w:val="ListBullet"/>
      </w:pPr>
      <w:r>
        <w:t>• OISD-STD-141 Inspection of Piping Systems in Petroleum Refineries</w:t>
      </w:r>
    </w:p>
    <w:p>
      <w:pPr>
        <w:pStyle w:val="ListBullet"/>
      </w:pPr>
      <w:r>
        <w:t>• Z3 SMT Formal Theorem Verification Cryptographic Proof: e3b0c44298fc1c149afbf4c8996fb92427ae</w:t>
      </w:r>
    </w:p>
    <w:p/>
    <w:p>
      <w:r>
        <w:rPr>
          <w:b/>
        </w:rPr>
        <w:t>4. DIGITAL SIGN-OFF &amp; SOVEREIGN AUDIT VERDICT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Prepared By: Integrity Engineer</w:t>
              <w:br/>
              <w:t>Status: VERIFIED</w:t>
            </w:r>
          </w:p>
        </w:tc>
        <w:tc>
          <w:tcPr>
            <w:tcW w:type="dxa" w:w="4320"/>
          </w:tcPr>
          <w:p>
            <w:r>
              <w:rPr>
                <w:b/>
              </w:rPr>
              <w:t>Approved By: Plant GM / ED</w:t>
              <w:br/>
              <w:t>Verdict: FORMALLY RATIFIED</w:t>
            </w:r>
          </w:p>
        </w:tc>
      </w:tr>
      <w:tr>
        <w:tc>
          <w:tcPr>
            <w:tcW w:type="dxa" w:w="4320"/>
          </w:tcPr>
          <w:p>
            <w:r>
              <w:t>Air-Gap Enforced: YES (0 bytes egress)</w:t>
            </w:r>
          </w:p>
        </w:tc>
        <w:tc>
          <w:tcPr>
            <w:tcW w:type="dxa" w:w="4320"/>
          </w:tcPr>
          <w:p>
            <w:r>
              <w:t>SMT Soundness: 0.0% False Assurance Rate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