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STATUTORY ENGINEERING MEMORANDUM &amp; APPROVAL NOTE</w:t>
      </w:r>
    </w:p>
    <w:p>
      <w:r>
        <w:rPr>
          <w:b/>
        </w:rPr>
        <w:t>1. ASSET &amp; INSPECTION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Number</w:t>
            </w:r>
          </w:p>
        </w:tc>
        <w:tc>
          <w:tcPr>
            <w:tcW w:type="dxa" w:w="4320"/>
          </w:tcPr>
          <w:p>
            <w:r>
              <w:t>PSU/IOCL/CRIT-ALERT/2026/014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/ Plant</w:t>
            </w:r>
          </w:p>
        </w:tc>
        <w:tc>
          <w:tcPr>
            <w:tcW w:type="dxa" w:w="4320"/>
          </w:tcPr>
          <w:p>
            <w:r>
              <w:t>Paradip Refinery - Crude Distillation Unit (CDU-1)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Unit</w:t>
            </w:r>
          </w:p>
        </w:tc>
        <w:tc>
          <w:tcPr>
            <w:tcW w:type="dxa" w:w="4320"/>
          </w:tcPr>
          <w:p>
            <w:r>
              <w:t>Atmospheric Distillation Preheater Rundown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Equipment Tag</w:t>
            </w:r>
          </w:p>
        </w:tc>
        <w:tc>
          <w:tcPr>
            <w:tcW w:type="dxa" w:w="4320"/>
          </w:tcPr>
          <w:p>
            <w:r>
              <w:t>12"-P-105-CS-150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Engineer</w:t>
            </w:r>
          </w:p>
        </w:tc>
        <w:tc>
          <w:tcPr>
            <w:tcW w:type="dxa" w:w="4320"/>
          </w:tcPr>
          <w:p>
            <w:r>
              <w:t>Er. R. K. Sharma (Superintending Engineer - Inspection)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Approving Authority</w:t>
            </w:r>
          </w:p>
        </w:tc>
        <w:tc>
          <w:tcPr>
            <w:tcW w:type="dxa" w:w="4320"/>
          </w:tcPr>
          <w:p>
            <w:r>
              <w:t>Shri V. G. Menon (Executive Director - Technical &amp; Operations)</w:t>
            </w:r>
          </w:p>
        </w:tc>
      </w:tr>
    </w:tbl>
    <w:p/>
    <w:p>
      <w:r>
        <w:rPr>
          <w:b/>
        </w:rPr>
        <w:t>2. VERIFIED THICKNESS &amp; INVARIANT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Nominal Pipe Diameter (OD)</w:t>
            </w:r>
          </w:p>
        </w:tc>
        <w:tc>
          <w:tcPr>
            <w:tcW w:type="dxa" w:w="2160"/>
          </w:tcPr>
          <w:p>
            <w:r>
              <w:t>12.75 in (323.8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Nominal Pipe Size 12 Schedule 20</w:t>
            </w:r>
          </w:p>
        </w:tc>
      </w:tr>
      <w:tr>
        <w:tc>
          <w:tcPr>
            <w:tcW w:type="dxa" w:w="2160"/>
          </w:tcPr>
          <w:p>
            <w:r>
              <w:t>Design Operating Pressure (P)</w:t>
            </w:r>
          </w:p>
        </w:tc>
        <w:tc>
          <w:tcPr>
            <w:tcW w:type="dxa" w:w="2160"/>
          </w:tcPr>
          <w:p>
            <w:r>
              <w:t>355.0 psig (2.45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Rundown line normal pressure</w:t>
            </w:r>
          </w:p>
        </w:tc>
      </w:tr>
      <w:tr>
        <w:tc>
          <w:tcPr>
            <w:tcW w:type="dxa" w:w="2160"/>
          </w:tcPr>
          <w:p>
            <w:r>
              <w:t>Allowable Stress @ 420F (S)</w:t>
            </w:r>
          </w:p>
        </w:tc>
        <w:tc>
          <w:tcPr>
            <w:tcW w:type="dxa" w:w="2160"/>
          </w:tcPr>
          <w:p>
            <w:r>
              <w:t>20,000 psi (137.9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Carbon Steel SA-106 B</w:t>
            </w:r>
          </w:p>
        </w:tc>
      </w:tr>
      <w:tr>
        <w:tc>
          <w:tcPr>
            <w:tcW w:type="dxa" w:w="2160"/>
          </w:tcPr>
          <w:p>
            <w:r>
              <w:t>Joint Quality Factor (E)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Seamless pipe factor</w:t>
            </w:r>
          </w:p>
        </w:tc>
      </w:tr>
      <w:tr>
        <w:tc>
          <w:tcPr>
            <w:tcW w:type="dxa" w:w="2160"/>
          </w:tcPr>
          <w:p>
            <w:r>
              <w:t>Temperature Coefficient (Y)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Ferritic steel</w:t>
            </w:r>
          </w:p>
        </w:tc>
      </w:tr>
      <w:tr>
        <w:tc>
          <w:tcPr>
            <w:tcW w:type="dxa" w:w="2160"/>
          </w:tcPr>
          <w:p>
            <w:r>
              <w:t>Corrosion Allowance (c)</w:t>
            </w:r>
          </w:p>
        </w:tc>
        <w:tc>
          <w:tcPr>
            <w:tcW w:type="dxa" w:w="2160"/>
          </w:tcPr>
          <w:p>
            <w:r>
              <w:t>0.1250 in (3.175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Specified design corrosion allowance</w:t>
            </w:r>
          </w:p>
        </w:tc>
      </w:tr>
      <w:tr>
        <w:tc>
          <w:tcPr>
            <w:tcW w:type="dxa" w:w="2160"/>
          </w:tcPr>
          <w:p>
            <w:r>
              <w:t>Measured Thickness (t_actual)</w:t>
            </w:r>
          </w:p>
        </w:tc>
        <w:tc>
          <w:tcPr>
            <w:tcW w:type="dxa" w:w="2160"/>
          </w:tcPr>
          <w:p>
            <w:r>
              <w:t>0.2100 in (5.20 mm)</w:t>
            </w:r>
          </w:p>
        </w:tc>
        <w:tc>
          <w:tcPr>
            <w:tcW w:type="dxa" w:w="2160"/>
          </w:tcPr>
          <w:p>
            <w:r>
              <w:t>UNSAT</w:t>
            </w:r>
          </w:p>
        </w:tc>
        <w:tc>
          <w:tcPr>
            <w:tcW w:type="dxa" w:w="2160"/>
          </w:tcPr>
          <w:p>
            <w:r>
              <w:t>Severe localized wall thinning</w:t>
            </w:r>
          </w:p>
        </w:tc>
      </w:tr>
      <w:tr>
        <w:tc>
          <w:tcPr>
            <w:tcW w:type="dxa" w:w="2160"/>
          </w:tcPr>
          <w:p>
            <w:r>
              <w:t>Statutory Minimum Required (t_m)</w:t>
            </w:r>
          </w:p>
        </w:tc>
        <w:tc>
          <w:tcPr>
            <w:tcW w:type="dxa" w:w="2160"/>
          </w:tcPr>
          <w:p>
            <w:r>
              <w:t>0.2304 in (5.85 mm)</w:t>
            </w:r>
          </w:p>
        </w:tc>
        <w:tc>
          <w:tcPr>
            <w:tcW w:type="dxa" w:w="2160"/>
          </w:tcPr>
          <w:p>
            <w:r>
              <w:t>UNSAT</w:t>
            </w:r>
          </w:p>
        </w:tc>
        <w:tc>
          <w:tcPr>
            <w:tcW w:type="dxa" w:w="2160"/>
          </w:tcPr>
          <w:p>
            <w:r>
              <w:t>Code mandated minimum per ASME B31.3</w:t>
            </w:r>
          </w:p>
        </w:tc>
      </w:tr>
      <w:tr>
        <w:tc>
          <w:tcPr>
            <w:tcW w:type="dxa" w:w="2160"/>
          </w:tcPr>
          <w:p>
            <w:r>
              <w:t>Safety Margin (t_actual - t_m)</w:t>
            </w:r>
          </w:p>
        </w:tc>
        <w:tc>
          <w:tcPr>
            <w:tcW w:type="dxa" w:w="2160"/>
          </w:tcPr>
          <w:p>
            <w:r>
              <w:t>-0.0204 in (-0.65 mm)</w:t>
            </w:r>
          </w:p>
        </w:tc>
        <w:tc>
          <w:tcPr>
            <w:tcW w:type="dxa" w:w="2160"/>
          </w:tcPr>
          <w:p>
            <w:r>
              <w:t>UNSAT</w:t>
            </w:r>
          </w:p>
        </w:tc>
        <w:tc>
          <w:tcPr>
            <w:tcW w:type="dxa" w:w="2160"/>
          </w:tcPr>
          <w:p>
            <w:r>
              <w:t>CRITICAL DEFICIT: VIOLATES CODE</w:t>
            </w:r>
          </w:p>
        </w:tc>
      </w:tr>
    </w:tbl>
    <w:p/>
    <w:p>
      <w:r>
        <w:rPr>
          <w:b/>
        </w:rPr>
        <w:t>3. STATUTORY &amp; CODE CITATIONS</w:t>
      </w:r>
    </w:p>
    <w:p>
      <w:pPr>
        <w:pStyle w:val="ListBullet"/>
      </w:pPr>
      <w:r>
        <w:t>• ASME B31.3-2022 Section 304.1.2 - MANDATORY MINIMUM THICKNESS VIOLATION</w:t>
      </w:r>
    </w:p>
    <w:p>
      <w:pPr>
        <w:pStyle w:val="ListBullet"/>
      </w:pPr>
      <w:r>
        <w:t>• API 570 Section 7 - Fitness for Service and Rerating Guidelines</w:t>
      </w:r>
    </w:p>
    <w:p>
      <w:pPr>
        <w:pStyle w:val="ListBullet"/>
      </w:pPr>
      <w:r>
        <w:t>• OISD-GDN-178 Guidelines on Management of Plant Integrity</w:t>
      </w:r>
    </w:p>
    <w:p>
      <w:pPr>
        <w:pStyle w:val="ListBullet"/>
      </w:pPr>
      <w:r>
        <w:t>• SMT Formal Safety Invariant `t_actual &gt;= t_min` FAILED (Proof violation detected)</w:t>
      </w:r>
    </w:p>
    <w:p/>
    <w:p>
      <w:r>
        <w:rPr>
          <w:b/>
        </w:rPr>
        <w:t>4. DIGITAL SIGN-OFF &amp; SOVEREIGN AUDIT 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By: Integrity Engineer</w:t>
              <w:br/>
              <w:t>Status: VERIFIED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By: Plant GM / ED</w:t>
              <w:br/>
              <w:t>Verdict: FORMALLY RATIFIED</w:t>
            </w:r>
          </w:p>
        </w:tc>
      </w:tr>
      <w:tr>
        <w:tc>
          <w:tcPr>
            <w:tcW w:type="dxa" w:w="4320"/>
          </w:tcPr>
          <w:p>
            <w:r>
              <w:t>Air-Gap Enforced: YES (0 bytes egress)</w:t>
            </w:r>
          </w:p>
        </w:tc>
        <w:tc>
          <w:tcPr>
            <w:tcW w:type="dxa" w:w="4320"/>
          </w:tcPr>
          <w:p>
            <w:r>
              <w:t>SMT Soundness: 0.0% False Assurance 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