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STATUTORY ENGINEERING MEMORANDUM &amp; APPROVAL NOTE</w:t>
      </w:r>
    </w:p>
    <w:p>
      <w:r>
        <w:rPr>
          <w:b/>
        </w:rPr>
        <w:t>1. ASSET &amp; INSPECTION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Reference Number</w:t>
            </w:r>
          </w:p>
        </w:tc>
        <w:tc>
          <w:tcPr>
            <w:tcW w:type="dxa" w:w="4320"/>
          </w:tcPr>
          <w:p>
            <w:r>
              <w:t>PSU/IOCL/SURGE-EVAL/2026/007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Refinery / Plant</w:t>
            </w:r>
          </w:p>
        </w:tc>
        <w:tc>
          <w:tcPr>
            <w:tcW w:type="dxa" w:w="4320"/>
          </w:tcPr>
          <w:p>
            <w:r>
              <w:t>Paradip Refinery - Crude Distillation Unit (CDU-1)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 Unit</w:t>
            </w:r>
          </w:p>
        </w:tc>
        <w:tc>
          <w:tcPr>
            <w:tcW w:type="dxa" w:w="4320"/>
          </w:tcPr>
          <w:p>
            <w:r>
              <w:t>Crude Booster Pump Discharge Header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Target Equipment Tag</w:t>
            </w:r>
          </w:p>
        </w:tc>
        <w:tc>
          <w:tcPr>
            <w:tcW w:type="dxa" w:w="4320"/>
          </w:tcPr>
          <w:p>
            <w:r>
              <w:t>10"-P-103-CS-300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Inspection Date</w:t>
            </w:r>
          </w:p>
        </w:tc>
        <w:tc>
          <w:tcPr>
            <w:tcW w:type="dxa" w:w="4320"/>
          </w:tcPr>
          <w:p>
            <w:r>
              <w:t>2026-09-09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Lead Engineer</w:t>
            </w:r>
          </w:p>
        </w:tc>
        <w:tc>
          <w:tcPr>
            <w:tcW w:type="dxa" w:w="4320"/>
          </w:tcPr>
          <w:p>
            <w:r>
              <w:t>Er. R. K. Sharma (Superintending Engineer - Inspection)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Approving Authority</w:t>
            </w:r>
          </w:p>
        </w:tc>
        <w:tc>
          <w:tcPr>
            <w:tcW w:type="dxa" w:w="4320"/>
          </w:tcPr>
          <w:p>
            <w:r>
              <w:t>Shri V. G. Menon (Executive Director - Technical &amp; Operations)</w:t>
            </w:r>
          </w:p>
        </w:tc>
      </w:tr>
    </w:tbl>
    <w:p/>
    <w:p>
      <w:r>
        <w:rPr>
          <w:b/>
        </w:rPr>
        <w:t>2. VERIFIED THICKNESS &amp; INVARIANT CALCULATIONS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Nominal Pipe Diameter (OD)</w:t>
            </w:r>
          </w:p>
        </w:tc>
        <w:tc>
          <w:tcPr>
            <w:tcW w:type="dxa" w:w="2160"/>
          </w:tcPr>
          <w:p>
            <w:r>
              <w:t>10.75 in (273.0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Nominal Pipe Size 10 Schedule 40</w:t>
            </w:r>
          </w:p>
        </w:tc>
      </w:tr>
      <w:tr>
        <w:tc>
          <w:tcPr>
            <w:tcW w:type="dxa" w:w="2160"/>
          </w:tcPr>
          <w:p>
            <w:r>
              <w:t>Surge Peak Pressure (P_surge)</w:t>
            </w:r>
          </w:p>
        </w:tc>
        <w:tc>
          <w:tcPr>
            <w:tcW w:type="dxa" w:w="2160"/>
          </w:tcPr>
          <w:p>
            <w:r>
              <w:t>650.0 psig (4.48 MPa)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Exceeds 550 psig normal rating</w:t>
            </w:r>
          </w:p>
        </w:tc>
      </w:tr>
      <w:tr>
        <w:tc>
          <w:tcPr>
            <w:tcW w:type="dxa" w:w="2160"/>
          </w:tcPr>
          <w:p>
            <w:r>
              <w:t>Allowable Stress (S)</w:t>
            </w:r>
          </w:p>
        </w:tc>
        <w:tc>
          <w:tcPr>
            <w:tcW w:type="dxa" w:w="2160"/>
          </w:tcPr>
          <w:p>
            <w:r>
              <w:t>20,000 psi (137.9 MPa)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ASTM A106 Gr. B Seamless</w:t>
            </w:r>
          </w:p>
        </w:tc>
      </w:tr>
      <w:tr>
        <w:tc>
          <w:tcPr>
            <w:tcW w:type="dxa" w:w="2160"/>
          </w:tcPr>
          <w:p>
            <w:r>
              <w:t>Joint Quality Factor (E)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Seamless extrusion factor</w:t>
            </w:r>
          </w:p>
        </w:tc>
      </w:tr>
      <w:tr>
        <w:tc>
          <w:tcPr>
            <w:tcW w:type="dxa" w:w="2160"/>
          </w:tcPr>
          <w:p>
            <w:r>
              <w:t>Temperature Coefficient (Y)</w:t>
            </w:r>
          </w:p>
        </w:tc>
        <w:tc>
          <w:tcPr>
            <w:tcW w:type="dxa" w:w="2160"/>
          </w:tcPr>
          <w:p>
            <w:r>
              <w:t>0.40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Ferritic steel</w:t>
            </w:r>
          </w:p>
        </w:tc>
      </w:tr>
      <w:tr>
        <w:tc>
          <w:tcPr>
            <w:tcW w:type="dxa" w:w="2160"/>
          </w:tcPr>
          <w:p>
            <w:r>
              <w:t>Corrosion Allowance (c)</w:t>
            </w:r>
          </w:p>
        </w:tc>
        <w:tc>
          <w:tcPr>
            <w:tcW w:type="dxa" w:w="2160"/>
          </w:tcPr>
          <w:p>
            <w:r>
              <w:t>0.1250 in (3.175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Specified design corrosion allowance</w:t>
            </w:r>
          </w:p>
        </w:tc>
      </w:tr>
      <w:tr>
        <w:tc>
          <w:tcPr>
            <w:tcW w:type="dxa" w:w="2160"/>
          </w:tcPr>
          <w:p>
            <w:r>
              <w:t>Measured Thickness (t_actual)</w:t>
            </w:r>
          </w:p>
        </w:tc>
        <w:tc>
          <w:tcPr>
            <w:tcW w:type="dxa" w:w="2160"/>
          </w:tcPr>
          <w:p>
            <w:r>
              <w:t>0.3650 in (9.27 mm)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Ultrasonic Point UT-PT-03</w:t>
            </w:r>
          </w:p>
        </w:tc>
      </w:tr>
      <w:tr>
        <w:tc>
          <w:tcPr>
            <w:tcW w:type="dxa" w:w="2160"/>
          </w:tcPr>
          <w:p>
            <w:r>
              <w:t>Surge Required Minimum (t_m)</w:t>
            </w:r>
          </w:p>
        </w:tc>
        <w:tc>
          <w:tcPr>
            <w:tcW w:type="dxa" w:w="2160"/>
          </w:tcPr>
          <w:p>
            <w:r>
              <w:t>0.3802 in (9.65 mm)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Exceeds actual thickness under 650 psig</w:t>
            </w:r>
          </w:p>
        </w:tc>
      </w:tr>
      <w:tr>
        <w:tc>
          <w:tcPr>
            <w:tcW w:type="dxa" w:w="2160"/>
          </w:tcPr>
          <w:p>
            <w:r>
              <w:t>Surge Margin</w:t>
            </w:r>
          </w:p>
        </w:tc>
        <w:tc>
          <w:tcPr>
            <w:tcW w:type="dxa" w:w="2160"/>
          </w:tcPr>
          <w:p>
            <w:r>
              <w:t>-0.0152 in (-0.38 mm)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Safe at 550 psig; UNSAT at 650 psig surge</w:t>
            </w:r>
          </w:p>
        </w:tc>
      </w:tr>
    </w:tbl>
    <w:p/>
    <w:p>
      <w:r>
        <w:rPr>
          <w:b/>
        </w:rPr>
        <w:t>3. STATUTORY &amp; CODE CITATIONS</w:t>
      </w:r>
    </w:p>
    <w:p>
      <w:pPr>
        <w:pStyle w:val="ListBullet"/>
      </w:pPr>
      <w:r>
        <w:t>• ASME B31.3-2022 Section 302.2.4 (Allowable Transient Overpressure Variations)</w:t>
      </w:r>
    </w:p>
    <w:p>
      <w:pPr>
        <w:pStyle w:val="ListBullet"/>
      </w:pPr>
      <w:r>
        <w:t>• API 520 Sizing, Selection, and Installation of Pressure-relieving Devices</w:t>
      </w:r>
    </w:p>
    <w:p>
      <w:pPr>
        <w:pStyle w:val="ListBullet"/>
      </w:pPr>
      <w:r>
        <w:t>• OISD-STD-106 Process Design and Operating Philosophies</w:t>
      </w:r>
    </w:p>
    <w:p>
      <w:pPr>
        <w:pStyle w:val="ListBullet"/>
      </w:pPr>
      <w:r>
        <w:t>• Automated ReAct Self-Correction Trace Hash: 7b86d081884c7d659a2feaa0c55ad015a</w:t>
      </w:r>
    </w:p>
    <w:p/>
    <w:p>
      <w:r>
        <w:rPr>
          <w:b/>
        </w:rPr>
        <w:t>4. DIGITAL SIGN-OFF &amp; SOVEREIGN AUDIT 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Prepared By: Integrity Engineer</w:t>
              <w:br/>
              <w:t>Status: VERIFIED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Approved By: Plant GM / ED</w:t>
              <w:br/>
              <w:t>Verdict: FORMALLY RATIFIED</w:t>
            </w:r>
          </w:p>
        </w:tc>
      </w:tr>
      <w:tr>
        <w:tc>
          <w:tcPr>
            <w:tcW w:type="dxa" w:w="4320"/>
          </w:tcPr>
          <w:p>
            <w:r>
              <w:t>Air-Gap Enforced: YES (0 bytes egress)</w:t>
            </w:r>
          </w:p>
        </w:tc>
        <w:tc>
          <w:tcPr>
            <w:tcW w:type="dxa" w:w="4320"/>
          </w:tcPr>
          <w:p>
            <w:r>
              <w:t>SMT Soundness: 0.0% False Assurance Rate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