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28"/>
        </w:rPr>
        <w:t>INDIAN OIL CORPORATION LIMITED</w:t>
        <w:br/>
      </w:r>
      <w:r>
        <w:rPr>
          <w:b/>
          <w:color w:val="0F172A"/>
          <w:sz w:val="24"/>
        </w:rPr>
        <w:t>ANNUAL STATUTORY INSPECTION &amp; FITNESS-FOR-SERVICE APPROVAL NOTE (2025)</w:t>
        <w:br/>
      </w:r>
      <w:r>
        <w:rPr>
          <w:color w:val="64748B"/>
          <w:sz w:val="18"/>
        </w:rPr>
        <w:t>REFERENCE: PSU/IOCL/UNIT3/2025/112  •  DATE: 18-SEP-2025</w:t>
        <w:br/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Plant / Refinery Unit:</w:t>
            </w:r>
          </w:p>
        </w:tc>
        <w:tc>
          <w:tcPr>
            <w:tcW w:type="dxa" w:w="4680"/>
          </w:tcPr>
          <w:p>
            <w:r>
              <w:t>Paradip Refinery • CDU-3 Crude Pre-Heat Train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Piping System Tag:</w:t>
            </w:r>
          </w:p>
        </w:tc>
        <w:tc>
          <w:tcPr>
            <w:tcW w:type="dxa" w:w="4680"/>
          </w:tcPr>
          <w:p>
            <w:r>
              <w:t>12"-P-1042-CS-150 (Unit 3 Line 1042)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Governing Code:</w:t>
            </w:r>
          </w:p>
        </w:tc>
        <w:tc>
          <w:tcPr>
            <w:tcW w:type="dxa" w:w="4680"/>
          </w:tcPr>
          <w:p>
            <w:r>
              <w:t>ASME B31.3 Process Piping / API Standard 570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Previous Approval Status:</w:t>
            </w:r>
          </w:p>
        </w:tc>
        <w:tc>
          <w:tcPr>
            <w:tcW w:type="dxa" w:w="4680"/>
          </w:tcPr>
          <w:p>
            <w:r>
              <w:t>APPROVED WITH MANDATORY 12-MONTH RE-SURVEY (SEP 2026)</w:t>
            </w:r>
          </w:p>
        </w:tc>
      </w:tr>
    </w:tbl>
    <w:p>
      <w:pPr>
        <w:spacing w:after="240"/>
      </w:pPr>
    </w:p>
    <w:p>
      <w:r>
        <w:rPr>
          <w:b/>
        </w:rPr>
        <w:t>1. EXECUTIVE SUMMARY &amp; 2025 FITNESS-FOR-SERVICE VERDICT</w:t>
        <w:br/>
      </w:r>
      <w:r>
        <w:t>During the scheduled statutory turnaround inspection on 16-Sep-2025, ultrasonic thickness gauging was performed across 5 Condition Monitoring Locations (CMLs) on crude line 12"-P-1042-CS-150. The minimum recorded wall thickness was 7.80 mm at CML-03 (governing lower quadrant). The calculated ASME B31.3 statutory minimum required wall thickness is 5.62 mm, demonstrating a compliant structural margin of +2.18 mm and an estimated remaining life of 7.4 years at an evaluated corrosion rate of 0.22 mm/year.</w:t>
      </w:r>
    </w:p>
    <w:p>
      <w:pPr>
        <w:spacing w:after="160"/>
      </w:pPr>
    </w:p>
    <w:p>
      <w:r>
        <w:rPr>
          <w:b/>
        </w:rPr>
        <w:t>2. STATUTORY APPROVAL CONDITIONS &amp; RE-INSPECTION MANDATE</w:t>
        <w:br/>
      </w:r>
      <w:r>
        <w:t>Continued operation is formally authorized for 12 calendar months subject to the following statutory stipulations:</w:t>
        <w:br/>
        <w:t>• Operating pressure shall not exceed 400 psig at 350°F.</w:t>
        <w:br/>
        <w:t>• Ultrasonic thickness re-gauging must be conducted no later than September 2026.</w:t>
        <w:br/>
        <w:t>• If measured thickness at CML-03 falls below 7.00 mm, comprehensive fitness-for-service re-evaluation per API 570 Section 7 is mandatory prior to permit renewal.</w:t>
      </w:r>
    </w:p>
    <w:p>
      <w:pPr>
        <w:spacing w:after="320"/>
      </w:pPr>
    </w:p>
    <w:p>
      <w:r>
        <w:rPr>
          <w:b/>
        </w:rPr>
        <w:t>FORMALLY APPROVED BY:</w:t>
        <w:br/>
        <w:br/>
      </w:r>
      <w:r>
        <w:rPr>
          <w:b/>
        </w:rPr>
        <w:t>Er. R. K. Sharma</w:t>
        <w:br/>
      </w:r>
      <w:r>
        <w:t>Superintending Engineer (Inspection &amp; NDT)</w:t>
        <w:br/>
      </w:r>
      <w:r>
        <w:t>Indian Oil Corporation Ltd, Paradip Refinery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