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P.</w:t>
      </w:r>
      <w:r>
        <w:t xml:space="preserve"> </w:t>
      </w:r>
      <w:r>
        <w:t xml:space="preserve">N.</w:t>
      </w:r>
      <w:r>
        <w:t xml:space="preserve"> </w:t>
      </w:r>
      <w:r>
        <w:t xml:space="preserve">Bhargav</w:t>
      </w:r>
      <w:r>
        <w:t xml:space="preserve"> </w:t>
      </w:r>
      <w:r>
        <w:t xml:space="preserve">Teja,</w:t>
      </w:r>
      <w:r>
        <w:t xml:space="preserve"> </w:t>
      </w:r>
      <w:r>
        <w:t xml:space="preserve">Lanka</w:t>
      </w:r>
      <w:r>
        <w:t xml:space="preserve"> </w:t>
      </w:r>
      <w:r>
        <w:t xml:space="preserve">Sree</w:t>
      </w:r>
      <w:r>
        <w:t xml:space="preserve"> </w:t>
      </w:r>
      <w:r>
        <w:t xml:space="preserve">Chathurya,</w:t>
      </w:r>
      <w:r>
        <w:t xml:space="preserve"> </w:t>
      </w:r>
      <w:r>
        <w:t xml:space="preserve">K.</w:t>
      </w:r>
      <w:r>
        <w:t xml:space="preserve"> </w:t>
      </w:r>
      <w:r>
        <w:t xml:space="preserve">Arun</w:t>
      </w:r>
      <w:r>
        <w:t xml:space="preserve"> </w:t>
      </w:r>
      <w:r>
        <w:t xml:space="preserve">Reddy</w:t>
      </w:r>
      <w:r>
        <w:t xml:space="preserve"> </w:t>
      </w:r>
      <w:r>
        <w:t xml:space="preserve">and</w:t>
      </w:r>
      <w:r>
        <w:t xml:space="preserve"> </w:t>
      </w:r>
      <w:r>
        <w:t xml:space="preserve">Ragavan</w:t>
      </w:r>
      <w:r>
        <w:t xml:space="preserve"> </w:t>
      </w:r>
      <w:r>
        <w:t xml:space="preserve">K</w:t>
      </w:r>
      <w:r>
        <w:br/>
      </w:r>
      <w:r>
        <w:t xml:space="preserve">School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t xml:space="preserve"> </w:t>
      </w:r>
      <w:r>
        <w:t xml:space="preserve">Vellore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Vellore,</w:t>
      </w:r>
      <w:r>
        <w:t xml:space="preserve"> </w:t>
      </w:r>
      <w:r>
        <w:t xml:space="preserve">India</w:t>
      </w:r>
      <w:r>
        <w:br/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Ragavan</w:t>
      </w:r>
      <w:r>
        <w:t xml:space="preserve"> </w:t>
      </w:r>
      <w:r>
        <w:t xml:space="preserve">K,</w:t>
      </w:r>
      <w:r>
        <w:t xml:space="preserve"> </w:t>
      </w:r>
      <w:r>
        <w:t xml:space="preserve">[ADD</w:t>
      </w:r>
      <w:r>
        <w:t xml:space="preserve"> </w:t>
      </w:r>
      <w:r>
        <w:t xml:space="preserve">E-MAIL]</w:t>
      </w:r>
    </w:p>
    <w:p>
      <w:pPr>
        <w:pStyle w:val="FirstParagraph"/>
      </w:pPr>
      <w:r>
        <w:t xml:space="preserve">The Editor-in-Chief</w:t>
      </w:r>
      <w:r>
        <w:br/>
      </w:r>
      <w:r>
        <w:t xml:space="preserve">IEEE Access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our manuscript,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Excitation-Coherent Telemetry Analysis for</w:t>
      </w:r>
      <w:r>
        <w:rPr>
          <w:iCs/>
          <w:i/>
        </w:rPr>
        <w:t xml:space="preserve"> </w:t>
      </w:r>
      <w:r>
        <w:rPr>
          <w:iCs/>
          <w:i/>
        </w:rPr>
        <w:t xml:space="preserve">Predictive OBD-II Connector Wear Detection: A Physics-Informed Study on Real</w:t>
      </w:r>
      <w:r>
        <w:rPr>
          <w:iCs/>
          <w:i/>
        </w:rPr>
        <w:t xml:space="preserve"> </w:t>
      </w:r>
      <w:r>
        <w:rPr>
          <w:iCs/>
          <w:i/>
        </w:rPr>
        <w:t xml:space="preserve">In-Vehicle Network Data,</w:t>
      </w:r>
      <w:r>
        <w:rPr>
          <w:iCs/>
          <w:i/>
        </w:rPr>
        <w:t xml:space="preserve">”</w:t>
      </w:r>
      <w:r>
        <w:t xml:space="preserve"> </w:t>
      </w:r>
      <w:r>
        <w:t xml:space="preserve">for consideration as a regular article in</w:t>
      </w:r>
      <w:r>
        <w:t xml:space="preserve"> </w:t>
      </w:r>
      <w:r>
        <w:rPr>
          <w:iCs/>
          <w:i/>
        </w:rPr>
        <w:t xml:space="preserve">IEEE Access</w:t>
      </w:r>
      <w:r>
        <w:t xml:space="preserve">.</w:t>
      </w:r>
    </w:p>
    <w:p>
      <w:pPr>
        <w:pStyle w:val="BodyText"/>
      </w:pPr>
      <w:r>
        <w:t xml:space="preserve">The SAE J1962 diagnostic connector now serves as the permanent mount and</w:t>
      </w:r>
      <w:r>
        <w:t xml:space="preserve"> </w:t>
      </w:r>
      <w:r>
        <w:t xml:space="preserve">power source of telematics, insurance and fleet devices, although it was</w:t>
      </w:r>
      <w:r>
        <w:t xml:space="preserve"> </w:t>
      </w:r>
      <w:r>
        <w:t xml:space="preserve">designed for occasional workshop use. Vibration-induced fretting of its</w:t>
      </w:r>
      <w:r>
        <w:t xml:space="preserve"> </w:t>
      </w:r>
      <w:r>
        <w:t xml:space="preserve">contacts causes intermittent data loss and device brown-outs that are</w:t>
      </w:r>
      <w:r>
        <w:t xml:space="preserve"> </w:t>
      </w:r>
      <w:r>
        <w:t xml:space="preserve">routinely blamed on the device or the vehicle. To our knowledge, this is</w:t>
      </w:r>
      <w:r>
        <w:t xml:space="preserve"> </w:t>
      </w:r>
      <w:r>
        <w:t xml:space="preserve">the first study of whether the wear of the diagnostic connector itself can</w:t>
      </w:r>
      <w:r>
        <w:t xml:space="preserve"> </w:t>
      </w:r>
      <w:r>
        <w:t xml:space="preserve">be detected, attributed and predicted from the telemetry that the attached</w:t>
      </w:r>
      <w:r>
        <w:t xml:space="preserve"> </w:t>
      </w:r>
      <w:r>
        <w:t xml:space="preserve">device already records, without added hardware.</w:t>
      </w:r>
    </w:p>
    <w:p>
      <w:pPr>
        <w:pStyle w:val="BodyText"/>
      </w:pPr>
      <w:r>
        <w:t xml:space="preserve">The main contributions are:</w:t>
      </w:r>
    </w:p>
    <w:p>
      <w:pPr>
        <w:numPr>
          <w:ilvl w:val="0"/>
          <w:numId w:val="1001"/>
        </w:numPr>
      </w:pPr>
      <w:r>
        <w:t xml:space="preserve">a physics-informed model linking contact wear to the observable</w:t>
      </w:r>
      <w:r>
        <w:t xml:space="preserve"> </w:t>
      </w:r>
      <w:r>
        <w:t xml:space="preserve">behaviour of three classes of diagnostic tool, with four realistic</w:t>
      </w:r>
      <w:r>
        <w:t xml:space="preserve"> </w:t>
      </w:r>
      <w:r>
        <w:t xml:space="preserve">confounders;</w:t>
      </w:r>
    </w:p>
    <w:p>
      <w:pPr>
        <w:numPr>
          <w:ilvl w:val="0"/>
          <w:numId w:val="1001"/>
        </w:numPr>
      </w:pPr>
      <w:r>
        <w:t xml:space="preserve">ECTA, a detection and attribution method built around a test of</w:t>
      </w:r>
      <w:r>
        <w:t xml:space="preserve"> </w:t>
      </w:r>
      <w:r>
        <w:t xml:space="preserve">whether data losses co-vary with the vehicle’s own measured engine and road</w:t>
      </w:r>
      <w:r>
        <w:t xml:space="preserve"> </w:t>
      </w:r>
      <w:r>
        <w:t xml:space="preserve">excitation;</w:t>
      </w:r>
    </w:p>
    <w:p>
      <w:pPr>
        <w:numPr>
          <w:ilvl w:val="0"/>
          <w:numId w:val="1001"/>
        </w:numPr>
      </w:pPr>
      <w:r>
        <w:t xml:space="preserve">a first-principles observability law that predicts, without any</w:t>
      </w:r>
      <w:r>
        <w:t xml:space="preserve"> </w:t>
      </w:r>
      <w:r>
        <w:t xml:space="preserve">classifier, which wear stages each class of tool can detect (Spearman</w:t>
      </w:r>
      <w:r>
        <w:t xml:space="preserve"> </w:t>
      </w:r>
      <w:r>
        <w:t xml:space="preserve">0.93 with the measured performance);</w:t>
      </w:r>
    </w:p>
    <w:p>
      <w:pPr>
        <w:numPr>
          <w:ilvl w:val="0"/>
          <w:numId w:val="1001"/>
        </w:numPr>
      </w:pPr>
      <w:r>
        <w:t xml:space="preserve">an evaluation on five public real-vehicle datasets (nine vehicles in</w:t>
      </w:r>
      <w:r>
        <w:t xml:space="preserve"> </w:t>
      </w:r>
      <w:r>
        <w:t xml:space="preserve">detail and a 381-vehicle fleet) with strictly vehicle-disjoint splits and</w:t>
      </w:r>
      <w:r>
        <w:t xml:space="preserve"> </w:t>
      </w:r>
      <w:r>
        <w:t xml:space="preserve">ten baseline and ablation models. On unseen vehicles a full-bus tool</w:t>
      </w:r>
      <w:r>
        <w:t xml:space="preserve"> </w:t>
      </w:r>
      <w:r>
        <w:t xml:space="preserve">detects wear with AUROC 0.880 (moderate 0.891, severe 0.995) and confirms</w:t>
      </w:r>
      <w:r>
        <w:t xml:space="preserve"> </w:t>
      </w:r>
      <w:r>
        <w:t xml:space="preserve">moderate wear within two minutes of driving, whereas deep sequence</w:t>
      </w:r>
      <w:r>
        <w:t xml:space="preserve"> </w:t>
      </w:r>
      <w:r>
        <w:t xml:space="preserve">baselines reach 0.646.</w:t>
      </w:r>
    </w:p>
    <w:p>
      <w:pPr>
        <w:pStyle w:val="FirstParagraph"/>
      </w:pPr>
      <w:r>
        <w:t xml:space="preserve">We have taken care to report the limits of the approach as clearly as its</w:t>
      </w:r>
      <w:r>
        <w:t xml:space="preserve"> </w:t>
      </w:r>
      <w:r>
        <w:t xml:space="preserve">successes: the connector faults are modelled on top of real telemetry (no</w:t>
      </w:r>
      <w:r>
        <w:t xml:space="preserve"> </w:t>
      </w:r>
      <w:r>
        <w:t xml:space="preserve">public dataset of naturally worn J1962 connectors exists), the unmeasured</w:t>
      </w:r>
      <w:r>
        <w:t xml:space="preserve"> </w:t>
      </w:r>
      <w:r>
        <w:t xml:space="preserve">constants of the model are stress-tested by deliberate mis-specification,</w:t>
      </w:r>
      <w:r>
        <w:t xml:space="preserve"> </w:t>
      </w:r>
      <w:r>
        <w:t xml:space="preserve">and the negative findings (incipient wear, moderate wear for low-rate</w:t>
      </w:r>
      <w:r>
        <w:t xml:space="preserve"> </w:t>
      </w:r>
      <w:r>
        <w:t xml:space="preserve">tools, and months-ahead remaining-life estimation) are reported in full.</w:t>
      </w:r>
      <w:r>
        <w:t xml:space="preserve"> </w:t>
      </w:r>
      <w:r>
        <w:t xml:space="preserve">All code is publicly available, and every reported number can be</w:t>
      </w:r>
      <w:r>
        <w:t xml:space="preserve"> </w:t>
      </w:r>
      <w:r>
        <w:t xml:space="preserve">reproduced from it.</w:t>
      </w:r>
    </w:p>
    <w:p>
      <w:pPr>
        <w:pStyle w:val="BodyText"/>
      </w:pPr>
      <w:r>
        <w:t xml:space="preserve">The work spans intelligent transportation, vehicular electronics,</w:t>
      </w:r>
      <w:r>
        <w:t xml:space="preserve"> </w:t>
      </w:r>
      <w:r>
        <w:t xml:space="preserve">fault diagnosis and prognostics and health management, which we believe</w:t>
      </w:r>
      <w:r>
        <w:t xml:space="preserve"> </w:t>
      </w:r>
      <w:r>
        <w:t xml:space="preserve">fits the broad, multidisciplinary scope of</w:t>
      </w:r>
      <w:r>
        <w:t xml:space="preserve"> </w:t>
      </w:r>
      <w:r>
        <w:rPr>
          <w:iCs/>
          <w:i/>
        </w:rPr>
        <w:t xml:space="preserve">IEEE Access</w:t>
      </w:r>
      <w:r>
        <w:t xml:space="preserve">.</w:t>
      </w:r>
    </w:p>
    <w:p>
      <w:pPr>
        <w:pStyle w:val="BodyText"/>
      </w:pPr>
      <w:r>
        <w:t xml:space="preserve">We confirm that this manuscript is original, has not been published</w:t>
      </w:r>
      <w:r>
        <w:t xml:space="preserve"> </w:t>
      </w:r>
      <w:r>
        <w:t xml:space="preserve">previously, and is not under consideration for publication elsewhere. All</w:t>
      </w:r>
      <w:r>
        <w:t xml:space="preserve"> </w:t>
      </w:r>
      <w:r>
        <w:t xml:space="preserve">authors have approved the manuscript and agree with its submission. The</w:t>
      </w:r>
      <w:r>
        <w:t xml:space="preserve"> </w:t>
      </w:r>
      <w:r>
        <w:t xml:space="preserve">method is related to Indian Patent Application 202641074361, filed by the</w:t>
      </w:r>
      <w:r>
        <w:t xml:space="preserve"> </w:t>
      </w:r>
      <w:r>
        <w:t xml:space="preserve">authors, which is disclosed in the manuscript. The authors declare no other</w:t>
      </w:r>
      <w:r>
        <w:t xml:space="preserve"> </w:t>
      </w:r>
      <w:r>
        <w:t xml:space="preserve">competing interests.</w:t>
      </w:r>
    </w:p>
    <w:p>
      <w:pPr>
        <w:pStyle w:val="BodyText"/>
      </w:pPr>
      <w:r>
        <w:t xml:space="preserve">Sincerely,</w:t>
      </w:r>
    </w:p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P. N. Bhargav Teja, Lanka Sree Chathurya, K. Arun Reddy and Ragavan K School of Computer Science and Engineering, Vellore Institute of Technology, Vellore, India Corresponding author: Ragavan K, [ADD E-MAIL]</dc:creator>
  <cp:keywords/>
  <dcterms:created xsi:type="dcterms:W3CDTF">2026-10-02T12:52:38Z</dcterms:created>
  <dcterms:modified xsi:type="dcterms:W3CDTF">2026-10-02T12:52:38Z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School of Computer Science and Engineering Vellore Institute of Technology Vellore, Tamil Nadu 632014, India</vt:lpwstr>
  </property>
</Properties>
</file>