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  <w:r>
        <w:br/>
      </w:r>
      <w:r>
        <w:t xml:space="preserve">Excitation-Coherent</w:t>
      </w:r>
      <w:r>
        <w:t xml:space="preserve"> </w:t>
      </w:r>
      <w:r>
        <w:t xml:space="preserve">Telemetry</w:t>
      </w:r>
      <w:r>
        <w:t xml:space="preserve"> </w:t>
      </w:r>
      <w:r>
        <w:t xml:space="preserve">Analysis</w:t>
      </w:r>
      <w:r>
        <w:t xml:space="preserve"> </w:t>
      </w:r>
      <w:r>
        <w:t xml:space="preserve">for</w:t>
      </w:r>
      <w:r>
        <w:t xml:space="preserve"> </w:t>
      </w:r>
      <w:r>
        <w:t xml:space="preserve">Predictive</w:t>
      </w:r>
      <w:r>
        <w:t xml:space="preserve"> </w:t>
      </w:r>
      <w:r>
        <w:t xml:space="preserve">OBD-II</w:t>
      </w:r>
      <w:r>
        <w:t xml:space="preserve"> </w:t>
      </w:r>
      <w:r>
        <w:t xml:space="preserve">Connector</w:t>
      </w:r>
      <w:r>
        <w:t xml:space="preserve"> </w:t>
      </w:r>
      <w:r>
        <w:t xml:space="preserve">Wear</w:t>
      </w:r>
      <w:r>
        <w:t xml:space="preserve"> </w:t>
      </w:r>
      <w:r>
        <w:t xml:space="preserve">Detection:</w:t>
      </w:r>
      <w:r>
        <w:t xml:space="preserve"> </w:t>
      </w:r>
      <w:r>
        <w:t xml:space="preserve">A</w:t>
      </w:r>
      <w:r>
        <w:t xml:space="preserve"> </w:t>
      </w:r>
      <w:r>
        <w:t xml:space="preserve">Physics-Informed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In-Vehicle</w:t>
      </w:r>
      <w:r>
        <w:t xml:space="preserve"> </w:t>
      </w:r>
      <w:r>
        <w:t xml:space="preserve">Network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P.</w:t>
      </w:r>
      <w:r>
        <w:t xml:space="preserve"> </w:t>
      </w:r>
      <w:r>
        <w:t xml:space="preserve">N.</w:t>
      </w:r>
      <w:r>
        <w:t xml:space="preserve"> </w:t>
      </w:r>
      <w:r>
        <w:t xml:space="preserve">Bhargav</w:t>
      </w:r>
      <w:r>
        <w:t xml:space="preserve"> </w:t>
      </w:r>
      <w:r>
        <w:t xml:space="preserve">Teja,</w:t>
      </w:r>
      <w:r>
        <w:t xml:space="preserve"> </w:t>
      </w:r>
      <w:r>
        <w:t xml:space="preserve">Lanka</w:t>
      </w:r>
      <w:r>
        <w:t xml:space="preserve"> </w:t>
      </w:r>
      <w:r>
        <w:t xml:space="preserve">Sree</w:t>
      </w:r>
      <w:r>
        <w:t xml:space="preserve"> </w:t>
      </w:r>
      <w:r>
        <w:t xml:space="preserve">Chathurya,</w:t>
      </w:r>
      <w:r>
        <w:t xml:space="preserve"> </w:t>
      </w:r>
      <w:r>
        <w:t xml:space="preserve">K.</w:t>
      </w:r>
      <w:r>
        <w:t xml:space="preserve"> </w:t>
      </w:r>
      <w:r>
        <w:t xml:space="preserve">Arun</w:t>
      </w:r>
      <w:r>
        <w:t xml:space="preserve"> </w:t>
      </w:r>
      <w:r>
        <w:t xml:space="preserve">Reddy,</w:t>
      </w:r>
      <w:r>
        <w:t xml:space="preserve"> </w:t>
      </w:r>
      <w:r>
        <w:t xml:space="preserve">Ragavan</w:t>
      </w:r>
      <w:r>
        <w:t xml:space="preserve"> </w:t>
      </w:r>
      <w:r>
        <w:t xml:space="preserve">K</w:t>
      </w:r>
    </w:p>
    <w:p>
      <w:pPr>
        <w:pStyle w:val="FirstParagraph"/>
      </w:pPr>
      <w:r>
        <w:t xml:space="preserve">This document complements the article. Every number below is generated by</w:t>
      </w:r>
      <w:r>
        <w:t xml:space="preserve"> </w:t>
      </w:r>
      <w:r>
        <w:rPr>
          <w:rStyle w:val="VerbatimChar"/>
        </w:rPr>
        <w:t xml:space="preserve">python -m ocwd.experiments.supplement</w:t>
      </w:r>
      <w:r>
        <w:t xml:space="preserve"> </w:t>
      </w:r>
      <w:r>
        <w:t xml:space="preserve">from the result files produced by the released code.</w:t>
      </w:r>
    </w:p>
    <w:bookmarkStart w:id="21" w:name="datasets-and-cleaning"/>
    <w:p>
      <w:pPr>
        <w:pStyle w:val="Heading1"/>
      </w:pPr>
      <w:r>
        <w:t xml:space="preserve">Datasets and cleaning</w:t>
      </w:r>
    </w:p>
    <w:p>
      <w:pPr>
        <w:pStyle w:val="FirstParagraph"/>
      </w:pPr>
      <w:r>
        <w:t xml:space="preserve">All healthy telemetry is real and unmodified. Sessions are contiguous recordings after splitting at</w:t>
      </w:r>
      <w:r>
        <w:t xml:space="preserve"> </w:t>
      </w:r>
      <w:r>
        <w:t xml:space="preserve">backward time steps or gaps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 s and discarding sessions shorter than 120 s. CANmodes</w:t>
      </w:r>
      <w:r>
        <w:t xml:space="preserve"> </w:t>
      </w:r>
      <w:r>
        <w:t xml:space="preserve">timestamps are repaired for an unpadded millisecond field, a seconds field that lags the</w:t>
      </w:r>
      <w:r>
        <w:t xml:space="preserve"> </w:t>
      </w:r>
      <w:r>
        <w:t xml:space="preserve">millisecond counter after each wrap, and locale thousands separators; rows with non-hexadecimal</w:t>
      </w:r>
      <w:r>
        <w:t xml:space="preserve"> </w:t>
      </w:r>
      <w:r>
        <w:t xml:space="preserve">identifiers are dropped. The four HCRL attack captures share one 482-s benign block, which is kept</w:t>
      </w:r>
      <w:r>
        <w:t xml:space="preserve"> </w:t>
      </w:r>
      <w:r>
        <w:t xml:space="preserve">once; attack segments are excluded. From can-train-and-test only the attack-free drives are used.</w:t>
      </w:r>
      <w:r>
        <w:t xml:space="preserve"> </w:t>
      </w:r>
      <w:r>
        <w:t xml:space="preserve">VED trips shorter than 150 s or with fewer than 20 engine- and vehicle-speed samples are excluded,</w:t>
      </w:r>
      <w:r>
        <w:t xml:space="preserve"> </w:t>
      </w:r>
      <w:r>
        <w:t xml:space="preserve">and at most 40 trips per vehicle are used in the detection corpus.</w:t>
      </w:r>
    </w:p>
    <w:bookmarkStart w:id="20" w:name="tab:s_sessions"/>
    <w:p>
      <w:pPr>
        <w:pStyle w:val="TableCaption"/>
      </w:pPr>
      <w:r>
        <w:t xml:space="preserve">TABLE S1. Sessions per vehicle after cleaning.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. Sessions per vehicle after cleaning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451"/>
        <w:gridCol w:w="1451"/>
        <w:gridCol w:w="1451"/>
        <w:gridCol w:w="1451"/>
        <w:gridCol w:w="1451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Vehicle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Sessions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Hours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Frames/responses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IDs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Ford Fiesta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sampling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3.35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781 310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Cruze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sampling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5.23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1 261 129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Impala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full-bus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5 362 001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Silverado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full-bus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4 568 357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Traverse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full-bus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2 407 121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KIA Soul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full-bus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0.27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1 879 939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27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MIRGU car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full-bus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368 296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Subaru Forester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full-bus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2 873 382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VW Gol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sampling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2.07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444 502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Ford Fiesta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2.71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57 613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Cruze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27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3.61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72 908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VW Gol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2.71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23 664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–</w:t>
            </w:r>
          </w:p>
        </w:tc>
      </w:tr>
    </w:tbl>
    <w:bookmarkEnd w:id="20"/>
    <w:bookmarkEnd w:id="21"/>
    <w:bookmarkStart w:id="23" w:name="excitation-decoders"/>
    <w:p>
      <w:pPr>
        <w:pStyle w:val="Heading1"/>
      </w:pPr>
      <w:r>
        <w:t xml:space="preserve">Excitation decoders</w:t>
      </w:r>
    </w:p>
    <w:p>
      <w:pPr>
        <w:pStyle w:val="FirstParagraph"/>
      </w:pPr>
      <w:r>
        <w:t xml:space="preserve">Engine and vehicle speed are decoded only from frames or responses that reached the tool. Values</w:t>
      </w:r>
      <w:r>
        <w:t xml:space="preserve"> </w:t>
      </w:r>
      <w:r>
        <w:t xml:space="preserve">outside 0–8000 rpm and 0–250 km/h are discarded. Polling sessions use PIDs 0x0C and 0x0D.</w:t>
      </w:r>
    </w:p>
    <w:bookmarkStart w:id="22" w:name="tab:s_dec"/>
    <w:p>
      <w:pPr>
        <w:pStyle w:val="TableCaption"/>
      </w:pPr>
      <w:r>
        <w:t xml:space="preserve">TABLE S2. Engine-speed and vehicle-speed decoders (identifier, first byte, byte order, scale).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2. Engine-speed and vehicle-speed decoders (identifier, first byte, byte order, scale)."/>
        <w:tblW w:w="10080" w:type="dxa"/>
        <w:tblCellMar>
          <w:left w:w="80" w:type="dxa"/>
          <w:right w:w="80" w:type="dxa"/>
        </w:tblCellMar>
        <w:tblLayout w:type="fixed"/>
      </w:tblPr>
      <w:tblGrid>
        <w:gridCol w:w="3360"/>
        <w:gridCol w:w="3359"/>
        <w:gridCol w:w="3359"/>
      </w:tblGrid>
      <w:tr>
        <w:trPr>
          <w:tblHeader w:val="true"/>
        </w:trP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Vehicle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Engine speed (rpm)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Vehicle speed (km/h)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Cruze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0x0C9, byte 1,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0.25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0x3E9, byte 0,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0.01609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VW Gol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0x280, byte 2, le,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0.25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0x1A0, byte 2, le,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0.005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KIA Soul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0x316, byte 2, le,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0.25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0x316, byte 6, u8,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1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Impala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0x0C9, byte 1,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0.25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0x3E9, byte 0,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0.01609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Traverse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0x0C9, byte 1,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0.25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0x3E9, byte 0,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0.01609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GM Silverado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0x0C9, byte 1,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0.25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0x3E9, byte 0,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0.01609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Subaru Forester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0x140, byte 2, le14,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1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0x0D1, byte 0, le,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0.05625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Ford Fiesta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0x201, byte 0,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1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0x201, byte 4, be,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sz w:val="17"/>
              </w:rPr>
              <w:t xml:space="preserve">0.01</w:t>
            </w:r>
          </w:p>
        </w:tc>
      </w:tr>
    </w:tbl>
    <w:bookmarkEnd w:id="22"/>
    <w:bookmarkEnd w:id="23"/>
    <w:bookmarkStart w:id="25" w:name="feature-definitions"/>
    <w:p>
      <w:pPr>
        <w:pStyle w:val="Heading1"/>
      </w:pPr>
      <w:r>
        <w:t xml:space="preserve">Feature definitions</w:t>
      </w:r>
    </w:p>
    <w:p>
      <w:pPr>
        <w:pStyle w:val="FirstParagraph"/>
      </w:pPr>
      <m:oMath>
        <m:r>
          <m:t>P</m:t>
        </m:r>
      </m:oMath>
      <w:r>
        <w:t xml:space="preserve"> </w:t>
      </w:r>
      <w:r>
        <w:t xml:space="preserve">denotes the median inter-arrival interval of an identifier (passive) or of the polling loop.</w:t>
      </w:r>
    </w:p>
    <w:bookmarkStart w:id="24" w:name="tab:s_feat"/>
    <w:p>
      <w:pPr>
        <w:pStyle w:val="TableCaption"/>
      </w:pPr>
      <w:r>
        <w:t xml:space="preserve">TABLE S3. ECTA features (25 passive, 20 polling).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3. ECTA features (25 passive, 20 polling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2419"/>
        <w:gridCol w:w="2419"/>
        <w:gridCol w:w="2419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Tool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Family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Feature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Definition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rate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frames received per second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n_ids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distinct identifiers in the window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miss_ratio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frames / expected frames over periodic identifiers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gap_events_pm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gaps containing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missing frame, per minute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miss_pm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frames per minute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max_silence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longest all-identifier silence (s)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silences_pm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all-identifier silences per minute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late_ratio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share of intervals in</w:t>
            </w:r>
            <w:r>
              <w:rPr>
                <w:sz w:val="17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1.08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1.5</m:t>
                  </m:r>
                  <m:r>
                    <m:t>P</m:t>
                  </m:r>
                </m:e>
              </m:d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without a missing frame (retransmission)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bunch_ratio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share of intervals below</w:t>
            </w:r>
            <w:r>
              <w:rPr>
                <w:sz w:val="17"/>
              </w:rPr>
              <w:t xml:space="preserve"> </w:t>
            </w:r>
            <m:oMath>
              <m:r>
                <m:t>0.5</m:t>
              </m:r>
              <m:r>
                <m:t>P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(backlog release)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jitter_mad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median</w:t>
            </w:r>
            <w:r>
              <w:rPr>
                <w:sz w:val="17"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regular intervals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sel_chi2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</m:e>
              </m:d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per-ID losses vs. traffic-proportional losses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sel_gini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Gini coefficient of per-ID loss rates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sel_frac_ids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share of identifiers with any loss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load_at_gap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log ratio of local frame density at losses to window mean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load_corr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Spearman correlation of per-second losses and load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coh_rho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Spearman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  <w:r>
              <w:rPr>
                <w:sz w:val="17"/>
              </w:rPr>
              <w:t xml:space="preserve">(loss events,</w:t>
            </w:r>
            <w:r>
              <w:rPr>
                <w:sz w:val="17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oMath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coh_beta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Poisson GLM slope</w:t>
            </w:r>
            <w:r>
              <w:rPr>
                <w:sz w:val="17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coh_z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Wald statistic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β</m:t>
                  </m:r>
                </m:sub>
              </m:sSub>
            </m:oMath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coh_hilo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log rate ratio above/below median excitation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coh2_rho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coh_rho,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coh2_beta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coh_beta,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coh2_z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coh_z,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coh2_hilo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coh_hilo,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exc_mean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mean excitation proxy</w:t>
            </w:r>
            <w:r>
              <w:rPr>
                <w:sz w:val="17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oMath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exc_avail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 if an excitation decoder exists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txn_rate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responses per second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med_dt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median inter-response interval (s)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gap_ratio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share of intervals above median + 0.12 s (timeout-like)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gaps_pm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timeout-like gaps per minute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excess_frac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excess time in timeout-like gaps / window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long_gaps_pm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gaps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0.8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 per minute (re-initialisation)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max_gap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longest inter-response gap (s)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pid_miss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PID cycles / expected cycles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jitter_mad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median</w:t>
            </w:r>
            <w:r>
              <w:rPr>
                <w:sz w:val="17"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regular intervals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gap_dur_med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median excess duration of timeout-like gaps (s)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gap_dur_cv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coefficient of variation of those durations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coh_rho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Spearman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</m:oMath>
            <w:r>
              <w:rPr>
                <w:sz w:val="17"/>
              </w:rPr>
              <w:t xml:space="preserve">(loss events,</w:t>
            </w:r>
            <w:r>
              <w:rPr>
                <w:sz w:val="17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oMath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coh_beta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Poisson GLM slope</w:t>
            </w:r>
            <w:r>
              <w:rPr>
                <w:sz w:val="17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coh_z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Wald statistic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β</m:t>
                  </m:r>
                </m:sub>
              </m:sSub>
            </m:oMath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coh_hilo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log rate ratio above/below median excitation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coh2_rho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coh_rho,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coh2_beta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coh_beta,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coh2_z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coh_z,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coh2_hilo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as coh_hilo, strong events only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coherence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exc_mean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mean excitation proxy</w:t>
            </w:r>
            <w:r>
              <w:rPr>
                <w:sz w:val="17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oMath>
          </w:p>
        </w:tc>
      </w:tr>
    </w:tbl>
    <w:bookmarkEnd w:id="24"/>
    <w:bookmarkEnd w:id="25"/>
    <w:bookmarkStart w:id="30" w:name="full-detection-results"/>
    <w:p>
      <w:pPr>
        <w:pStyle w:val="Heading1"/>
      </w:pPr>
      <w:r>
        <w:t xml:space="preserve">Full detection results</w:t>
      </w:r>
    </w:p>
    <w:bookmarkStart w:id="26" w:name="tab:s_det_fullbus"/>
    <w:p>
      <w:pPr>
        <w:pStyle w:val="TableCaption"/>
      </w:pPr>
      <w:r>
        <w:t xml:space="preserve">TABLE S4. Full-bus passive: all methods (6468 windows, 6 vehicles, 6 folds). All = wear vs. all; Inc./Mod./Sev. vs. healthy; ECU/EMI/Ovf. = moderate+severe wear vs. that confounder.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4. Full-bus passive: all methods (6468 windows, 6 vehicles, 6 folds). All = wear vs. all; Inc./Mod./Sev. vs. healthy; ECU/EMI/Ovf. = moderate+severe wear vs. that confounder.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blHeader w:val="true"/>
        </w:trP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Method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AUROC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AUPRC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TPR@1%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Inc.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ECU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EMI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Ovf.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ECTA (proposed)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0.995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0.949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0.979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0.977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w/o 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0.878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0.877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0.996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0.945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0.978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0.977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 only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0.308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0.865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0.935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0.778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loss+coherence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0.812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0.799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0.315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Isolation Forest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0.622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0.044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0.939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0.992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0.460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One-class SVM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0.830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0.828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0.492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Loss-rate threshold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0.280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0.963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0.996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0.914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0.830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U-code timeout rule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0.620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0.285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0.922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0.728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0.718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Coherence test (no training)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0.161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0.684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0.638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1D-CNN (supervised)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0.646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0.283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0.704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LSTM autoencoder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0.631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0.291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0.907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0.715</w:t>
            </w:r>
          </w:p>
        </w:tc>
      </w:tr>
    </w:tbl>
    <w:bookmarkEnd w:id="26"/>
    <w:bookmarkStart w:id="27" w:name="tab:s_det_sampler"/>
    <w:p>
      <w:pPr>
        <w:pStyle w:val="TableCaption"/>
      </w:pPr>
      <w:r>
        <w:t xml:space="preserve">TABLE S5. Sampling passive: all methods (12684 windows, 3 vehicles, 3 folds). All = wear vs. all; Inc./Mod./Sev. vs. healthy; ECU/EMI/Ovf. = moderate+severe wear vs. that confounder.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5. Sampling passive: all methods (12684 windows, 3 vehicles, 3 folds). All = wear vs. all; Inc./Mod./Sev. vs. healthy; ECU/EMI/Ovf. = moderate+severe wear vs. that confounder.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blHeader w:val="true"/>
        </w:trP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Method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AUROC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AUPRC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TPR@1%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Inc.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ECU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EMI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Ovf.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ECTA (proposed)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0.326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w/o 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0.316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0.755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 only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0.287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0.752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loss+coherence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0.318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Isolation Forest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0.637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0.614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0.110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One-class SVM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0.170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0.931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Loss-rate threshold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0.619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0.340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0.948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U-code timeout rule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0.124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0.952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0.741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0.770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Coherence test (no training)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0.433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1D-CNN (supervised)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0.345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0.964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LSTM autoencoder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0.625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0.920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0.726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0.727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0.727</w:t>
            </w:r>
          </w:p>
        </w:tc>
      </w:tr>
    </w:tbl>
    <w:bookmarkEnd w:id="27"/>
    <w:bookmarkStart w:id="28" w:name="tab:s_det_poll"/>
    <w:p>
      <w:pPr>
        <w:pStyle w:val="TableCaption"/>
      </w:pPr>
      <w:r>
        <w:t xml:space="preserve">TABLE S6. OBD-II polling: all methods (8631 windows, 3 vehicles, 3 folds). All = wear vs. all; Inc./Mod./Sev. vs. healthy; ECU/EMI/Ovf. = moderate+severe wear vs. that confounder.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6. OBD-II polling: all methods (8631 windows, 3 vehicles, 3 folds). All = wear vs. all; Inc./Mod./Sev. vs. healthy; ECU/EMI/Ovf. = moderate+severe wear vs. that confounder.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blHeader w:val="true"/>
        </w:trP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Method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AUROC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AUPRC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TPR@1%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Inc.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ECU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EMI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Ovf.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ECTA (proposed)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0.723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0.727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0.297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0.878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0.762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w/o 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0.686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0.277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0.761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0.741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0.772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 only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0.682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0.250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0.845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0.740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0.753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loss+coherence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0.270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Isolation Forest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0.068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0.821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0.628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One-class SVM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0.058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0.864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0.665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0.618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Loss-rate threshold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0.579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0.141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0.520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0.893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U-code timeout rule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0.646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0.209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0.575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0.962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0.699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Coherence test (no training)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0.485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0.455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0.026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0.413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0.479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0.478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0.461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1D-CNN (supervised)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0.272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0.512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0.882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LSTM autoencoder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0.061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0.795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0.611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0.596</w:t>
            </w:r>
          </w:p>
        </w:tc>
      </w:tr>
    </w:tbl>
    <w:bookmarkEnd w:id="28"/>
    <w:bookmarkStart w:id="29" w:name="tab:s_det_ved"/>
    <w:p>
      <w:pPr>
        <w:pStyle w:val="TableCaption"/>
      </w:pPr>
      <w:r>
        <w:t xml:space="preserve">TABLE S7. VED fleet: all methods (236817 windows, 381 vehicles, 5 folds). All = wear vs. all; Inc./Mod./Sev. vs. healthy; ECU/EMI/Ovf. = moderate+severe wear vs. that confounder.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7. VED fleet: all methods (236817 windows, 381 vehicles, 5 folds). All = wear vs. all; Inc./Mod./Sev. vs. healthy; ECU/EMI/Ovf. = moderate+severe wear vs. that confounder.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blHeader w:val="true"/>
        </w:trP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Method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AUROC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AUPRC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TPR@1%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Inc.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Mod.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Sev.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ECU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EMI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Ovf.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ECTA (proposed)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0.775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0.235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0.851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0.947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0.856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w/o 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0.190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0.845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0.749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0.825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 only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0.672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0.643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0.148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0.806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0.771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GBM loss+coherence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0.715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0.197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Isolation Forest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0.020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0.570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0.584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One-class SVM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0.489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0.029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0.488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0.682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0.598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Loss-rate threshold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0.542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0.073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0.813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0.617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0.560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U-code timeout rule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0.467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0.006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0.796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0.615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0.654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0.533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Coherence test (no training)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0.442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0.440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0.492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0.423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1D-CNN (supervised)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0.698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0.249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0.539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0.911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0.756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0.734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0.841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LSTM autoencoder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0.480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0.010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0.500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0.502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0.703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0.592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0.604</w:t>
            </w:r>
          </w:p>
        </w:tc>
        <w:tc>
          <w:tcPr>
            <w:tcW w:w="872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0.556</w:t>
            </w:r>
          </w:p>
        </w:tc>
      </w:tr>
    </w:tbl>
    <w:bookmarkEnd w:id="29"/>
    <w:bookmarkEnd w:id="30"/>
    <w:bookmarkStart w:id="32" w:name="per-vehicle-results"/>
    <w:p>
      <w:pPr>
        <w:pStyle w:val="Heading1"/>
      </w:pPr>
      <w:r>
        <w:t xml:space="preserve">Per-vehicle results</w:t>
      </w:r>
    </w:p>
    <w:bookmarkStart w:id="31" w:name="tab:s_pv"/>
    <w:p>
      <w:pPr>
        <w:pStyle w:val="TableCaption"/>
      </w:pPr>
      <w:r>
        <w:t xml:space="preserve">TABLE S8. ECTA per held-out vehicle (leave-one-vehicle-out).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8. ECTA per held-out vehicle (leave-one-vehicle-out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451"/>
        <w:gridCol w:w="1451"/>
        <w:gridCol w:w="1451"/>
        <w:gridCol w:w="1451"/>
        <w:gridCol w:w="1451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Held-out vehicle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Windows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All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GM Impala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2541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GM Silverado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1176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0.863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GM Traverse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798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0.921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KIA Soul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651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0.869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0.978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MIRGU car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126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1.000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Subaru Forester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1176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0.910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Ford Fiesta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3990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0.566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GM Cruze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6216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0.567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0.963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VW Gol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2478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0.533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Ford Fiesta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2898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0.786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0.559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GM Cruze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3360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0.782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0.546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0.957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VW Gol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2373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0.529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0.929</w:t>
            </w:r>
          </w:p>
        </w:tc>
      </w:tr>
    </w:tbl>
    <w:bookmarkEnd w:id="31"/>
    <w:bookmarkEnd w:id="32"/>
    <w:bookmarkStart w:id="35" w:name="robustness-to-mis-specified-physics"/>
    <w:p>
      <w:pPr>
        <w:pStyle w:val="Heading1"/>
      </w:pPr>
      <w:r>
        <w:t xml:space="preserve">Robustness to mis-specified physics</w:t>
      </w:r>
    </w:p>
    <w:p>
      <w:pPr>
        <w:pStyle w:val="FirstParagraph"/>
      </w:pPr>
      <w:r>
        <w:t xml:space="preserve">Trained on the nominal model, tested on held-out vehicles generated with each perturbation.</w:t>
      </w:r>
    </w:p>
    <w:bookmarkStart w:id="33" w:name="tab:s_rob_fullbus"/>
    <w:p>
      <w:pPr>
        <w:pStyle w:val="TableCaption"/>
      </w:pPr>
      <w:r>
        <w:t xml:space="preserve">TABLE S9. Robustness, Full-bus passive (AUROC vs. healthy and confounders).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9. Robustness, Full-bus passive (AUROC vs. healthy and confounders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Test physics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All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nominal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0.997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sigma=0.5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0.851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0.701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0.858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sigma=1.2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0.927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0.833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d0 x0.25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0.864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0.711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d0 x4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0.916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0.788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nu0 x0.5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0.875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0.717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nu0 x2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R_th=3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0.862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R_th=15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0.837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0.693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0.837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p_power=0.1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p_power=0.6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0.916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holdup=0.5ms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holdup=10ms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road noise 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0.926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road noise x2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engine-only excitation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1.000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road-only excitation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0.875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0.918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0.968</w:t>
            </w:r>
          </w:p>
        </w:tc>
      </w:tr>
    </w:tbl>
    <w:bookmarkEnd w:id="33"/>
    <w:bookmarkStart w:id="34" w:name="tab:s_rob_ved"/>
    <w:p>
      <w:pPr>
        <w:pStyle w:val="TableCaption"/>
      </w:pPr>
      <w:r>
        <w:t xml:space="preserve">TABLE S10. Robustness, VED fleet (AUROC vs. healthy and confounders).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0. Robustness, VED fleet (AUROC vs. healthy and confounders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Test physics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All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nominal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0.887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sigma=0.5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sigma=1.2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d0 x0.25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0.649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d0 x4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0.728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nu0 x0.5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0.838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nu0 x2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0.922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R_th=3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0.792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0.677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0.731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R_th=15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0.722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p_power=0.1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0.713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0.788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p_power=0.6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0.681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holdup=0.5ms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0.728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holdup=10ms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0.653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0.623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road noise 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0.694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0.888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road noise x2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0.887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engine-only excitation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0.690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0.675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0.870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road-only excitation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0.746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0.684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0.669</w:t>
            </w:r>
          </w:p>
        </w:tc>
        <w:tc>
          <w:tcPr>
            <w:tcW w:w="1814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0.885</w:t>
            </w:r>
          </w:p>
        </w:tc>
      </w:tr>
    </w:tbl>
    <w:bookmarkEnd w:id="34"/>
    <w:bookmarkEnd w:id="35"/>
    <w:bookmarkStart w:id="39" w:name="prognosis-and-multi-trip-pooling"/>
    <w:p>
      <w:pPr>
        <w:pStyle w:val="Heading1"/>
      </w:pPr>
      <w:r>
        <w:t xml:space="preserve">Prognosis and multi-trip pooling</w:t>
      </w:r>
    </w:p>
    <w:bookmarkStart w:id="36" w:name="tab:s_acc"/>
    <w:p>
      <w:pPr>
        <w:pStyle w:val="TableCaption"/>
      </w:pPr>
      <w:r>
        <w:t xml:space="preserve">TABLE S11. VED vehicle-level detection after pooling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trips (left: vs. all; right: vs. healthy).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1. VED vehicle-level detection after pooling K trips (left: vs. all; right: vs. healthy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036"/>
        <w:gridCol w:w="1036"/>
        <w:gridCol w:w="1036"/>
        <w:gridCol w:w="1036"/>
        <w:gridCol w:w="1036"/>
        <w:gridCol w:w="1036"/>
        <w:gridCol w:w="1036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Vehicles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Inc.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Mod.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Sev.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Inc.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Mod.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Sev.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381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0.718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0.704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0.907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0.483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0.850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368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0.753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0.487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0.478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354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0.782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0.767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0.484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0.461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0.971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341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0.809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0.802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0.489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320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0.830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0.817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0.470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272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0.844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0.835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0.483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1.000</w:t>
            </w:r>
          </w:p>
        </w:tc>
      </w:tr>
    </w:tbl>
    <w:bookmarkEnd w:id="36"/>
    <w:bookmarkStart w:id="37" w:name="tab:s_prog6"/>
    <w:p>
      <w:pPr>
        <w:pStyle w:val="TableCaption"/>
      </w:pPr>
      <w:r>
        <w:t xml:space="preserve">TABLE S12. Prognosis, failure at 6 </w:t>
      </w:r>
      <m:oMath>
        <m:r>
          <m:t>Ω</m:t>
        </m:r>
      </m:oMath>
      <w:r>
        <w:t xml:space="preserve"> </w:t>
      </w:r>
      <w:r>
        <w:t xml:space="preserve">(110 of 166 vehicles fail; health-index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0.86).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2. Prognosis, failure at 6 \Omega (110 of 166 vehicles fail; health-index R^2 = 0.86).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tblHeader w:val="true"/>
        </w:trP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Method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MAE (d)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Median AE (d)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sz w:val="14"/>
              </w:rPr>
              <w:t xml:space="preserve">=0.3 acc. %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Timely 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Prem. 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Missed 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Lead (d)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FA %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proposed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13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29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16.1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raw_hi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72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87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1.8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conditional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85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fleet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19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18.7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60.7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linear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82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3.6</w:t>
            </w:r>
          </w:p>
        </w:tc>
      </w:tr>
    </w:tbl>
    <w:bookmarkEnd w:id="37"/>
    <w:bookmarkStart w:id="38" w:name="tab:s_prog20"/>
    <w:p>
      <w:pPr>
        <w:pStyle w:val="TableCaption"/>
      </w:pPr>
      <w:r>
        <w:t xml:space="preserve">TABLE S13. Prognosis, failure at 20 </w:t>
      </w:r>
      <m:oMath>
        <m:r>
          <m:t>Ω</m:t>
        </m:r>
      </m:oMath>
      <w:r>
        <w:t xml:space="preserve"> </w:t>
      </w:r>
      <w:r>
        <w:t xml:space="preserve">(100 of 166 vehicles fail; health-index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0.86).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3. Prognosis, failure at 20 \Omega (100 of 166 vehicles fail; health-index R^2 = 0.86)."/>
        <w:tblW w:w="10080" w:type="dxa"/>
        <w:tblCellMar>
          <w:left w:w="40" w:type="dxa"/>
          <w:right w:w="40" w:type="dxa"/>
        </w:tblCellMar>
        <w:tblLayout w:type="fixed"/>
      </w:tblPr>
      <w:tblGrid>
        <w:gridCol w:w="2232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tblHeader w:val="true"/>
        </w:trP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Method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MAE (d)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Median AE (d)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sz w:val="14"/>
              </w:rPr>
              <w:t xml:space="preserve">=0.3 acc. %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Timely 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Prem. 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Missed %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Lead (d)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FA %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proposed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4.0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12.1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raw_hi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79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92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1.5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conditional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85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0.0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fleet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69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47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36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30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25.1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60.6</w:t>
            </w:r>
          </w:p>
        </w:tc>
      </w:tr>
      <w:tr>
        <w:tc>
          <w:tcPr>
            <w:tcW w:w="2232" w:type="dxa"/>
          </w:tcPr>
          <w:p>
            <w:pPr>
              <w:pStyle w:val="Compact"/>
              <w:jc w:val="left"/>
            </w:pPr>
            <w:r>
              <w:rPr>
                <w:sz w:val="14"/>
              </w:rPr>
              <w:t xml:space="preserve">linear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–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3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88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5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7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6.4</w:t>
            </w:r>
          </w:p>
        </w:tc>
        <w:tc>
          <w:tcPr>
            <w:tcW w:w="981" w:type="dxa"/>
          </w:tcPr>
          <w:p>
            <w:pPr>
              <w:pStyle w:val="Compact"/>
              <w:jc w:val="center"/>
            </w:pPr>
            <w:r>
              <w:rPr>
                <w:sz w:val="14"/>
              </w:rPr>
              <w:t xml:space="preserve">1.5</w:t>
            </w:r>
          </w:p>
        </w:tc>
      </w:tr>
    </w:tbl>
    <w:bookmarkEnd w:id="38"/>
    <w:bookmarkEnd w:id="39"/>
    <w:bookmarkStart w:id="41" w:name="cross-model-generalization"/>
    <w:p>
      <w:pPr>
        <w:pStyle w:val="Heading1"/>
      </w:pPr>
      <w:r>
        <w:t xml:space="preserve">Cross-model generalization</w:t>
      </w:r>
    </w:p>
    <w:p>
      <w:pPr>
        <w:pStyle w:val="FirstParagraph"/>
      </w:pPr>
      <w:r>
        <w:t xml:space="preserve">The test faults are generated by a structurally different process: a two-state (Gilbert–Elliott)</w:t>
      </w:r>
      <w:r>
        <w:t xml:space="preserve"> </w:t>
      </w:r>
      <w:r>
        <w:t xml:space="preserve">contact alternating between quiet periods and chatter episodes (mean 0.1 s, 100 interruptions/s),</w:t>
      </w:r>
      <w:r>
        <w:t xml:space="preserve"> </w:t>
      </w:r>
      <w:r>
        <w:t xml:space="preserve">with exponentially distributed durations and a brown-out triggered when the</w:t>
      </w:r>
      <w:r>
        <w:t xml:space="preserve"> </w:t>
      </w:r>
      <w:r>
        <w:rPr>
          <w:iCs/>
          <w:i/>
        </w:rPr>
        <w:t xml:space="preserve">cumulative</w:t>
      </w:r>
      <w:r>
        <w:t xml:space="preserve"> </w:t>
      </w:r>
      <w:r>
        <w:t xml:space="preserve">open</w:t>
      </w:r>
      <w:r>
        <w:t xml:space="preserve"> </w:t>
      </w:r>
      <w:r>
        <w:t xml:space="preserve">time of a supply-pin episode exceeds the hold-up time. Expected interruption rate and mean duration</w:t>
      </w:r>
      <w:r>
        <w:t xml:space="preserve"> </w:t>
      </w:r>
      <w:r>
        <w:t xml:space="preserve">equal those of the nominal Poisson model; temporal clustering, duration law and brown-out mechanism</w:t>
      </w:r>
      <w:r>
        <w:t xml:space="preserve"> </w:t>
      </w:r>
      <w:r>
        <w:t xml:space="preserve">differ. The detector is trained only on the nominal model.</w:t>
      </w:r>
    </w:p>
    <w:bookmarkStart w:id="40" w:name="tab:s_cm"/>
    <w:p>
      <w:pPr>
        <w:pStyle w:val="TableCaption"/>
      </w:pPr>
      <w:r>
        <w:t xml:space="preserve">TABLE S14. Train on the nominal model, test on the nominal or the Markov model (vehicle-disjoint).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4. Train on the nominal model, test on the nominal or the Markov model (vehicle-disjoint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451"/>
        <w:gridCol w:w="1451"/>
        <w:gridCol w:w="1451"/>
        <w:gridCol w:w="1451"/>
        <w:gridCol w:w="1451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Train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test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All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nominal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nominal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0.880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0.555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nominal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Markov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0.856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0.528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0.848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nominal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nominal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0.723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0.528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nominal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Markov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0.941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nominal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nominal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0.771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0.490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0.842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nominal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Markov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0.813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0.499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0.577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0.950</w:t>
            </w:r>
          </w:p>
        </w:tc>
      </w:tr>
    </w:tbl>
    <w:bookmarkEnd w:id="40"/>
    <w:bookmarkEnd w:id="41"/>
    <w:bookmarkStart w:id="44" w:name="operating-points-and-calibration"/>
    <w:p>
      <w:pPr>
        <w:pStyle w:val="Heading1"/>
      </w:pPr>
      <w:r>
        <w:t xml:space="preserve">Operating points and calibration</w:t>
      </w:r>
    </w:p>
    <w:p>
      <w:pPr>
        <w:pStyle w:val="FirstParagraph"/>
      </w:pPr>
      <w:r>
        <w:t xml:space="preserve">The threshold is set to reach the stated detection rate for the given wear stage; false alarms are counted on the real healthy windows of held-out vehicles.</w:t>
      </w:r>
    </w:p>
    <w:bookmarkStart w:id="42" w:name="tab:s_op"/>
    <w:p>
      <w:pPr>
        <w:pStyle w:val="TableCaption"/>
      </w:pPr>
      <w:r>
        <w:t xml:space="preserve">TABLE S15. False alarms at fixed detection rates.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5. False alarms at fixed detection rates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451"/>
        <w:gridCol w:w="1451"/>
        <w:gridCol w:w="1451"/>
        <w:gridCol w:w="1451"/>
        <w:gridCol w:w="1451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Stage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Detection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FPR healthy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False alarms / h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FPR confounders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11.0%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13.25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6.6%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52.6%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63.12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25.3%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66.6%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79.87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34.1%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0.1%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0.4%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76.5%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45.89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75.6%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88.1%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52.85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86.6%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94.2%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56.52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92.6%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0.20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2.6%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1.59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2.6%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44.2%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26.52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43.0%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79.3%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23.80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65.3%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89.5%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26.86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77.4%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94.6%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28.39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83.7%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1.2%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1.0%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66.2%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19.85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41.8%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74.2%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22.26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60.1%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83.3%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7.10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35.7%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92.3%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7.86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45.1%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96.2%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8.20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52.8%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19.7%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1.68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8.4%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90%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78.9%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6.73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32.7%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95%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93.2%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7.94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46.7%</w:t>
            </w:r>
          </w:p>
        </w:tc>
      </w:tr>
    </w:tbl>
    <w:bookmarkEnd w:id="42"/>
    <w:bookmarkStart w:id="43" w:name="tab:s_cal"/>
    <w:p>
      <w:pPr>
        <w:pStyle w:val="TableCaption"/>
      </w:pPr>
      <w:r>
        <w:t xml:space="preserve">TABLE S16. Calibration of the ECTA wear probability (wear vs. all).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6. Calibration of the ECTA wear probability (wear vs. all)."/>
        <w:tblW w:w="10080" w:type="dxa"/>
        <w:tblCellMar>
          <w:left w:w="80" w:type="dxa"/>
          <w:right w:w="80" w:type="dxa"/>
        </w:tblCellMar>
        <w:tblLayout w:type="fixed"/>
      </w:tblPr>
      <w:tblGrid>
        <w:gridCol w:w="3360"/>
        <w:gridCol w:w="3359"/>
        <w:gridCol w:w="3359"/>
      </w:tblGrid>
      <w:tr>
        <w:trPr>
          <w:tblHeader w:val="true"/>
        </w:trP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Brier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ECE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0.145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0.098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0.312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0.276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0.237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0.180</w:t>
            </w:r>
          </w:p>
        </w:tc>
      </w:tr>
      <w:tr>
        <w:tc>
          <w:tcPr>
            <w:tcW w:w="336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0.185</w:t>
            </w:r>
          </w:p>
        </w:tc>
        <w:tc>
          <w:tcPr>
            <w:tcW w:w="3359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0.052</w:t>
            </w:r>
          </w:p>
        </w:tc>
      </w:tr>
    </w:tbl>
    <w:bookmarkEnd w:id="43"/>
    <w:bookmarkEnd w:id="44"/>
    <w:bookmarkStart w:id="46" w:name="window-length"/>
    <w:p>
      <w:pPr>
        <w:pStyle w:val="Heading1"/>
      </w:pPr>
      <w:r>
        <w:t xml:space="preserve">Window length</w:t>
      </w:r>
    </w:p>
    <w:bookmarkStart w:id="45" w:name="tab:s_win"/>
    <w:p>
      <w:pPr>
        <w:pStyle w:val="TableCaption"/>
      </w:pPr>
      <w:r>
        <w:t xml:space="preserve">TABLE S17. Full-bus detection vs. window length (one seed, leave-one-vehicle-out).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7. Full-bus detection vs. window length (one seed, leave-one-vehicle-out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451"/>
        <w:gridCol w:w="1451"/>
        <w:gridCol w:w="1451"/>
        <w:gridCol w:w="1451"/>
        <w:gridCol w:w="1451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Window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Windows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All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10s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6629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0.824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0.543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0.843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0.983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30s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2156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0.879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0.565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0.895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60s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1050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0.911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0.643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0.930</w:t>
            </w:r>
          </w:p>
        </w:tc>
        <w:tc>
          <w:tcPr>
            <w:tcW w:w="1451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0.999</w:t>
            </w:r>
          </w:p>
        </w:tc>
      </w:tr>
    </w:tbl>
    <w:bookmarkEnd w:id="45"/>
    <w:bookmarkEnd w:id="46"/>
    <w:bookmarkStart w:id="48" w:name="observability-law"/>
    <w:p>
      <w:pPr>
        <w:pStyle w:val="Heading1"/>
      </w:pPr>
      <w:r>
        <w:t xml:space="preserve">Observability law</w:t>
      </w:r>
    </w:p>
    <w:bookmarkStart w:id="47" w:name="tab:s_obs"/>
    <w:p>
      <w:pPr>
        <w:pStyle w:val="TableCaption"/>
      </w:pPr>
      <w:r>
        <w:t xml:space="preserve">TABLE S18. Inputs and outputs of the observability analysis (Spearman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0.93).</w:t>
      </w:r>
    </w:p>
    <w:tbl>
      <w:tblPr>
        <w:tblStyle w:val="Table"/>
        <w:jc w:val="center"/>
        <w:tblLook w:firstRow="1" w:lastRow="0" w:firstColumn="0" w:lastColumn="0" w:noHBand="0" w:noVBand="0" w:val="0020"/>
        <w:tblCaption w:val="TABLE S18. Inputs and outputs of the observability analysis (Spearman \rho = 0.93).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1036"/>
        <w:gridCol w:w="1036"/>
        <w:gridCol w:w="1036"/>
        <w:gridCol w:w="1036"/>
        <w:gridCol w:w="1036"/>
        <w:gridCol w:w="1036"/>
        <w:gridCol w:w="1036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Stage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m:oMath>
              <m:r>
                <m:t>Ω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Unit rate (1/s)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SNR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Best AUROC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1613.5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0.206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49.7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0.00414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0.592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3.00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1613.5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44.8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49.7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0.963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13.42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1613.5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6.95e+03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49.7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140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0.996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65.6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6.75e-07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0.0909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7.43e-06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3.00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65.6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0.0282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0.0909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0.31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0.587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13.42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65.6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9.31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0.0909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102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0.964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5.6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0.0108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33.9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0.000319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0.501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3.00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5.6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1.18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33.9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0.0348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0.575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13.42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5.6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29.5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33.9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0.869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0.962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incipient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0.67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0.00785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54.5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0.000144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0.500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moderate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3.00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0.992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54.5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0.0182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0.539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severe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13.42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1.3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66.1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54.5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1.21</w:t>
            </w:r>
          </w:p>
        </w:tc>
        <w:tc>
          <w:tcPr>
            <w:tcW w:w="1036" w:type="dxa"/>
          </w:tcPr>
          <w:p>
            <w:pPr>
              <w:pStyle w:val="Compact"/>
              <w:jc w:val="center"/>
            </w:pPr>
            <w:r>
              <w:rPr>
                <w:sz w:val="17"/>
              </w:rPr>
              <w:t xml:space="preserve">0.911</w:t>
            </w:r>
          </w:p>
        </w:tc>
      </w:tr>
    </w:tbl>
    <w:bookmarkEnd w:id="47"/>
    <w:bookmarkEnd w:id="48"/>
    <w:bookmarkStart w:id="49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Software: Python 3.11, NumPy 2.4.6, pandas 3.0.6, SciPy 1.17.1, scikit-learn 1.9.1, LightGBM 4.7.0,</w:t>
      </w:r>
      <w:r>
        <w:t xml:space="preserve"> </w:t>
      </w:r>
      <w:r>
        <w:t xml:space="preserve">PyTorch 2.14.1 (CPU). Hardware: 4-core CPU, no GPU. Complete pipeline:</w:t>
      </w:r>
      <w:r>
        <w:t xml:space="preserve"> </w:t>
      </w:r>
      <w:r>
        <w:rPr>
          <w:rStyle w:val="VerbatimChar"/>
        </w:rPr>
        <w:t xml:space="preserve">ocwd/get_data.sh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ocwd/run_all.sh</w:t>
      </w:r>
      <w:r>
        <w:t xml:space="preserve"> </w:t>
      </w:r>
      <w:r>
        <w:t xml:space="preserve">(about 4–5 h). Fourteen unit tests (</w:t>
      </w:r>
      <w:r>
        <w:rPr>
          <w:rStyle w:val="VerbatimChar"/>
        </w:rPr>
        <w:t xml:space="preserve">ocwd/tests</w:t>
      </w:r>
      <w:r>
        <w:t xml:space="preserve">) cover the</w:t>
      </w:r>
      <w:r>
        <w:t xml:space="preserve"> </w:t>
      </w:r>
      <w:r>
        <w:t xml:space="preserve">timestamp repair, interruption statistics, loss mechanics, Poisson coherence test, Markov fault model</w:t>
      </w:r>
      <w:r>
        <w:t xml:space="preserve"> </w:t>
      </w:r>
      <w:r>
        <w:t xml:space="preserve">and baselines. Random seeds: three injection seeds (0, 1, 2) for all detection corpora; per-session</w:t>
      </w:r>
      <w:r>
        <w:t xml:space="preserve"> </w:t>
      </w:r>
      <w:r>
        <w:t xml:space="preserve">streams are derived from CRC32 of the session name, so results are independent of execution order.</w:t>
      </w:r>
    </w:p>
    <w:bookmarkEnd w:id="49"/>
    <w:sectPr>
      <w:pgMar w:left="1080" w:right="1080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Excitation-Coherent Telemetry Analysis for Predictive OBD-II Connector Wear Detection: A Physics-Informed Study on Real In-Vehicle Network Data</dc:title>
  <dc:creator>P. N. Bhargav Teja, Lanka Sree Chathurya, K. Arun Reddy, Ragavan K</dc:creator>
  <cp:keywords/>
  <dcterms:created xsi:type="dcterms:W3CDTF">2026-10-02T12:52:38Z</dcterms:created>
  <dcterms:modified xsi:type="dcterms:W3CDTF">2026-10-02T12:52:38Z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