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ocwd-project-guide"/>
    <w:p>
      <w:pPr>
        <w:pStyle w:val="Heading1"/>
      </w:pPr>
      <w:r>
        <w:t xml:space="preserve">OCWD project guide</w:t>
      </w:r>
    </w:p>
    <w:p>
      <w:pPr>
        <w:pStyle w:val="FirstParagraph"/>
      </w:pPr>
      <w:r>
        <w:rPr>
          <w:bCs/>
          <w:b/>
        </w:rPr>
        <w:t xml:space="preserve">Predictive OBD-II connector wear detection from CAN telemetry.</w:t>
      </w:r>
      <w:r>
        <w:t xml:space="preserve"> </w:t>
      </w:r>
      <w:r>
        <w:t xml:space="preserve">Companion to the IEEE Access manuscript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Excitation-Coherent Telemetry Analysis for Predictive</w:t>
      </w:r>
      <w:r>
        <w:rPr>
          <w:iCs/>
          <w:i/>
        </w:rPr>
        <w:t xml:space="preserve"> </w:t>
      </w:r>
      <w:r>
        <w:rPr>
          <w:iCs/>
          <w:i/>
        </w:rPr>
        <w:t xml:space="preserve">OBD-II Connector Wear Detection: A Physics-Informed Study on Real In-Vehicle Network Data</w:t>
      </w:r>
      <w:r>
        <w:rPr>
          <w:iCs/>
          <w:i/>
        </w:rPr>
        <w:t xml:space="preserve">”</w:t>
      </w:r>
      <w:r>
        <w:t xml:space="preserve"> </w:t>
      </w:r>
      <w:r>
        <w:t xml:space="preserve">(P. N. Bhargav Teja, Lanka Sree Chathurya, K. Arun Reddy, Ragavan K; related to Indian Patent</w:t>
      </w:r>
      <w:r>
        <w:t xml:space="preserve"> </w:t>
      </w:r>
      <w:r>
        <w:t xml:space="preserve">Application 202641074361).</w:t>
      </w:r>
    </w:p>
    <w:p>
      <w:r>
        <w:pict>
          <v:rect style="width:0;height:1.5pt" o:hralign="center" o:hrstd="t" o:hr="t"/>
        </w:pict>
      </w:r>
    </w:p>
    <w:bookmarkStart w:id="20" w:name="the-problem-in-one-paragraph"/>
    <w:p>
      <w:pPr>
        <w:pStyle w:val="Heading2"/>
      </w:pPr>
      <w:r>
        <w:t xml:space="preserve">1. The problem in one paragraph</w:t>
      </w:r>
    </w:p>
    <w:p>
      <w:pPr>
        <w:pStyle w:val="FirstParagraph"/>
      </w:pPr>
      <w:r>
        <w:t xml:space="preserve">Telematics, insurance and fleet devices stay plugged into the car’s SAE J1962 diagnostic connector</w:t>
      </w:r>
      <w:r>
        <w:t xml:space="preserve"> </w:t>
      </w:r>
      <w:r>
        <w:t xml:space="preserve">(DLC) for years and draw power through it. The connector was designed for occasional workshop use;</w:t>
      </w:r>
      <w:r>
        <w:t xml:space="preserve"> </w:t>
      </w:r>
      <w:r>
        <w:t xml:space="preserve">vibration slowly frets its tin-plated contacts until they open intermittently. The car never</w:t>
      </w:r>
      <w:r>
        <w:t xml:space="preserve"> </w:t>
      </w:r>
      <w:r>
        <w:t xml:space="preserve">notices. The device sees lost CAN frames, missed OBD-II responses and brown-out reboots, and the</w:t>
      </w:r>
      <w:r>
        <w:t xml:space="preserve"> </w:t>
      </w:r>
      <w:r>
        <w:t xml:space="preserve">usual</w:t>
      </w:r>
      <w:r>
        <w:t xml:space="preserve"> </w:t>
      </w:r>
      <w:r>
        <w:t xml:space="preserve">“</w:t>
      </w:r>
      <w:r>
        <w:t xml:space="preserve">fix</w:t>
      </w:r>
      <w:r>
        <w:t xml:space="preserve">”</w:t>
      </w:r>
      <w:r>
        <w:t xml:space="preserve"> </w:t>
      </w:r>
      <w:r>
        <w:t xml:space="preserve">(replacing the device) leaves the worn connector in place.</w:t>
      </w:r>
      <w:r>
        <w:t xml:space="preserve"> </w:t>
      </w:r>
      <w:r>
        <w:rPr>
          <w:bCs/>
          <w:b/>
        </w:rPr>
        <w:t xml:space="preserve">OCWD detects, attributes</w:t>
      </w:r>
      <w:r>
        <w:rPr>
          <w:bCs/>
          <w:b/>
        </w:rPr>
        <w:t xml:space="preserve"> </w:t>
      </w:r>
      <w:r>
        <w:rPr>
          <w:bCs/>
          <w:b/>
        </w:rPr>
        <w:t xml:space="preserve">and predicts connector wear from the device’s own telemetry, with no added sensor.</w:t>
      </w:r>
    </w:p>
    <w:bookmarkEnd w:id="20"/>
    <w:bookmarkStart w:id="21" w:name="key-idea"/>
    <w:p>
      <w:pPr>
        <w:pStyle w:val="Heading2"/>
      </w:pPr>
      <w:r>
        <w:t xml:space="preserve">2. Key idea</w:t>
      </w:r>
    </w:p>
    <w:p>
      <w:pPr>
        <w:pStyle w:val="FirstParagraph"/>
      </w:pPr>
      <w:r>
        <w:t xml:space="preserve">A fretted contact interrupts more often when it is</w:t>
      </w:r>
      <w:r>
        <w:t xml:space="preserve"> </w:t>
      </w:r>
      <w:r>
        <w:rPr>
          <w:bCs/>
          <w:b/>
        </w:rPr>
        <w:t xml:space="preserve">shaken harder</w:t>
      </w:r>
      <w:r>
        <w:t xml:space="preserve">. Its interruption rate</w:t>
      </w:r>
      <w:r>
        <w:t xml:space="preserve"> </w:t>
      </w:r>
      <w:r>
        <w:t xml:space="preserve">therefore follows the car’s own engine and road excitation, which the device can read from the</w:t>
      </w:r>
      <w:r>
        <w:t xml:space="preserve"> </w:t>
      </w:r>
      <w:r>
        <w:t xml:space="preserve">same data stream (engine-speed and vehicle-speed signals, or PIDs 0x0C/0x0D). Logger overflow,</w:t>
      </w:r>
      <w:r>
        <w:t xml:space="preserve"> </w:t>
      </w:r>
      <w:r>
        <w:t xml:space="preserve">ECU busy states and most interference do not follow excitation, and bus-wide interference is</w:t>
      </w:r>
      <w:r>
        <w:t xml:space="preserve"> </w:t>
      </w:r>
      <w:r>
        <w:t xml:space="preserve">retransmitted rather than lost. OCWD’s method,</w:t>
      </w:r>
      <w:r>
        <w:t xml:space="preserve"> </w:t>
      </w:r>
      <w:r>
        <w:rPr>
          <w:bCs/>
          <w:b/>
        </w:rPr>
        <w:t xml:space="preserve">ECTA (excitation-coherent telemetry analysis)</w:t>
      </w:r>
      <w:r>
        <w:t xml:space="preserve">,</w:t>
      </w:r>
      <w:r>
        <w:t xml:space="preserve"> </w:t>
      </w:r>
      <w:r>
        <w:t xml:space="preserve">turns these physical differences into features.</w:t>
      </w:r>
    </w:p>
    <w:bookmarkEnd w:id="21"/>
    <w:bookmarkStart w:id="22" w:name="what-is-real-and-what-is-modelled"/>
    <w:p>
      <w:pPr>
        <w:pStyle w:val="Heading2"/>
      </w:pPr>
      <w:r>
        <w:t xml:space="preserve">3. What is real and what is modelled</w:t>
      </w:r>
    </w:p>
    <w:tbl>
      <w:tblPr>
        <w:tblStyle w:val="Table"/>
        <w:jc w:val="center"/>
        <w:tblLook w:firstRow="1" w:lastRow="0" w:firstColumn="0" w:lastColumn="0" w:noHBand="0" w:noVBand="0" w:val="0020"/>
        <w:tblW w:w="10080" w:type="dxa"/>
        <w:tblCellMar>
          <w:left w:w="80" w:type="dxa"/>
          <w:right w:w="80" w:type="dxa"/>
        </w:tblCellMar>
        <w:tblLayout w:type="fixed"/>
      </w:tblPr>
      <w:tblGrid>
        <w:gridCol w:w="5040"/>
        <w:gridCol w:w="5040"/>
      </w:tblGrid>
      <w:tr>
        <w:trPr>
          <w:tblHeader w:val="true"/>
        </w:trPr>
        <w:tc>
          <w:tcPr>
            <w:tcW w:w="5040" w:type="dxa"/>
          </w:tcPr>
          <w:p>
            <w:pPr>
              <w:pStyle w:val="Compact"/>
            </w:pP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Healthy telemetry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Real</w:t>
            </w:r>
            <w:r>
              <w:rPr>
                <w:sz w:val="17"/>
              </w:rPr>
              <w:t xml:space="preserve">: five public datasets, recorded on real vehicles, never modified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Engine/road excitation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Real</w:t>
            </w:r>
            <w:r>
              <w:rPr>
                <w:sz w:val="17"/>
              </w:rPr>
              <w:t xml:space="preserve">: decoded from each capture; it drives the wear process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Usage histories (prognosis)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Real</w:t>
            </w:r>
            <w:r>
              <w:rPr>
                <w:sz w:val="17"/>
              </w:rPr>
              <w:t xml:space="preserve">: one year of trips per VED vehicle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The connector fault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Modelled</w:t>
            </w:r>
            <w:r>
              <w:rPr>
                <w:sz w:val="17"/>
              </w:rPr>
              <w:t xml:space="preserve">: physics-informed fretting → intermittency → telemetry model, applied to the real data. No public dataset of naturally worn J1962 connectors exists.</w:t>
            </w:r>
          </w:p>
        </w:tc>
      </w:tr>
    </w:tbl>
    <w:p>
      <w:pPr>
        <w:pStyle w:val="BodyText"/>
      </w:pPr>
      <w:r>
        <w:t xml:space="preserve">The model’s unmeasured constants are stress-tested (16 perturbations), and a structurally</w:t>
      </w:r>
      <w:r>
        <w:t xml:space="preserve"> </w:t>
      </w:r>
      <w:r>
        <w:t xml:space="preserve">different fault model (bursty Markov chatter with an energy-based brown-out rule) is used to test</w:t>
      </w:r>
      <w:r>
        <w:t xml:space="preserve"> </w:t>
      </w:r>
      <w:r>
        <w:t xml:space="preserve">cross-model generalization.</w:t>
      </w:r>
    </w:p>
    <w:bookmarkEnd w:id="22"/>
    <w:bookmarkStart w:id="23" w:name="data"/>
    <w:p>
      <w:pPr>
        <w:pStyle w:val="Heading2"/>
      </w:pPr>
      <w:r>
        <w:t xml:space="preserve">4. Data</w:t>
      </w:r>
    </w:p>
    <w:tbl>
      <w:tblPr>
        <w:tblStyle w:val="Table"/>
        <w:jc w:val="center"/>
        <w:tblLook w:firstRow="1" w:lastRow="0" w:firstColumn="0" w:lastColumn="0" w:noHBand="0" w:noVBand="0" w:val="0020"/>
        <w:tblW w:w="10080" w:type="dxa"/>
        <w:tblCellMar>
          <w:left w:w="80" w:type="dxa"/>
          <w:right w:w="80" w:type="dxa"/>
        </w:tblCellMar>
        <w:tblLayout w:type="fixed"/>
      </w:tblPr>
      <w:tblGrid>
        <w:gridCol w:w="2822"/>
        <w:gridCol w:w="2419"/>
        <w:gridCol w:w="2419"/>
        <w:gridCol w:w="2419"/>
      </w:tblGrid>
      <w:tr>
        <w:trPr>
          <w:tblHeader w:val="true"/>
        </w:trP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Corpus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Dataset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Vehicles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Size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can-train-and-test, HCRL Car-Hacking, CAN-MIRGU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6 (Chevrolet Impala, Traverse, Silverado; Subaru Forester; KIA Soul; undisclosed)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2.68 h, 17.5 M frames, 6 468 windows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Sampling passive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CANmodes RAW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 (GM Cruze, Ford Fiesta, VW Gol)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10.65 h, 12 684 windows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OBD-II 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CANmodes OBD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same 3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9.03 h, 8 631 windows</w:t>
            </w:r>
          </w:p>
        </w:tc>
      </w:tr>
      <w:tr>
        <w:tc>
          <w:tcPr>
            <w:tcW w:w="2822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Fleet polling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381</w:t>
            </w:r>
          </w:p>
        </w:tc>
        <w:tc>
          <w:tcPr>
            <w:tcW w:w="2419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11 277 trips, 8.24 M records, 236 817 windows</w:t>
            </w:r>
          </w:p>
        </w:tc>
      </w:tr>
    </w:tbl>
    <w:p>
      <w:pPr>
        <w:pStyle w:val="BodyText"/>
      </w:pPr>
      <w:r>
        <w:t xml:space="preserve">Download everything with</w:t>
      </w:r>
      <w:r>
        <w:t xml:space="preserve"> </w:t>
      </w:r>
      <w:r>
        <w:rPr>
          <w:rStyle w:val="VerbatimChar"/>
        </w:rPr>
        <w:t xml:space="preserve">ocwd/get_data.sh</w:t>
      </w:r>
      <w:r>
        <w:t xml:space="preserve">.</w:t>
      </w:r>
    </w:p>
    <w:bookmarkEnd w:id="23"/>
    <w:bookmarkStart w:id="24" w:name="code-map"/>
    <w:p>
      <w:pPr>
        <w:pStyle w:val="Heading2"/>
      </w:pPr>
      <w:r>
        <w:t xml:space="preserve">5. Code map</w:t>
      </w:r>
    </w:p>
    <w:p>
      <w:pPr>
        <w:pStyle w:val="SourceCode"/>
      </w:pPr>
      <w:r>
        <w:rPr>
          <w:rStyle w:val="VerbatimChar"/>
        </w:rPr>
        <w:t xml:space="preserve">ocwd/</w:t>
      </w:r>
      <w:r>
        <w:br/>
      </w:r>
      <w:r>
        <w:rPr>
          <w:rStyle w:val="VerbatimChar"/>
        </w:rPr>
        <w:t xml:space="preserve">  loaders.py      dataset parsers; CANmodes timestamp repair; session splitting; HCRL de-duplication</w:t>
      </w:r>
      <w:r>
        <w:br/>
      </w:r>
      <w:r>
        <w:rPr>
          <w:rStyle w:val="VerbatimChar"/>
        </w:rPr>
        <w:t xml:space="preserve">  signals.py      engine/vehicle-speed decoders per vehicle</w:t>
      </w:r>
      <w:r>
        <w:br/>
      </w:r>
      <w:r>
        <w:rPr>
          <w:rStyle w:val="VerbatimChar"/>
        </w:rPr>
        <w:t xml:space="preserve">  physics.py      wear law, excitation, Poisson and Markov interruption processes,</w:t>
      </w:r>
      <w:r>
        <w:br/>
      </w:r>
      <w:r>
        <w:rPr>
          <w:rStyle w:val="VerbatimChar"/>
        </w:rPr>
        <w:t xml:space="preserve">                  passive/polling telemetry effects, confounders</w:t>
      </w:r>
      <w:r>
        <w:br/>
      </w:r>
      <w:r>
        <w:rPr>
          <w:rStyle w:val="VerbatimChar"/>
        </w:rPr>
        <w:t xml:space="preserve">  scenarios.py    paired real/faulted window generation (5 classes, 3 wear stages)</w:t>
      </w:r>
      <w:r>
        <w:br/>
      </w:r>
      <w:r>
        <w:rPr>
          <w:rStyle w:val="VerbatimChar"/>
        </w:rPr>
        <w:t xml:space="preserve">  features.py     loss, structure and excitation-coherence features (Poisson GLM, IRLS)</w:t>
      </w:r>
      <w:r>
        <w:br/>
      </w:r>
      <w:r>
        <w:rPr>
          <w:rStyle w:val="VerbatimChar"/>
        </w:rPr>
        <w:t xml:space="preserve">  models.py       ECTA (LightGBM) and baselines: IsolationForest, OC-SVM, thresholds,</w:t>
      </w:r>
      <w:r>
        <w:br/>
      </w:r>
      <w:r>
        <w:rPr>
          <w:rStyle w:val="VerbatimChar"/>
        </w:rPr>
        <w:t xml:space="preserve">                  1D-CNN, LSTM autoencoder, Transformer</w:t>
      </w:r>
      <w:r>
        <w:br/>
      </w:r>
      <w:r>
        <w:rPr>
          <w:rStyle w:val="VerbatimChar"/>
        </w:rPr>
        <w:t xml:space="preserve">  ved.py          VED trips, exposure, wear trajectories</w:t>
      </w:r>
      <w:r>
        <w:br/>
      </w:r>
      <w:r>
        <w:rPr>
          <w:rStyle w:val="VerbatimChar"/>
        </w:rPr>
        <w:t xml:space="preserve">  experiments/</w:t>
      </w:r>
      <w:r>
        <w:br/>
      </w:r>
      <w:r>
        <w:rPr>
          <w:rStyle w:val="VerbatimChar"/>
        </w:rPr>
        <w:t xml:space="preserve">    build.py            labelled windows, 3 seeds</w:t>
      </w:r>
      <w:r>
        <w:br/>
      </w:r>
      <w:r>
        <w:rPr>
          <w:rStyle w:val="VerbatimChar"/>
        </w:rPr>
        <w:t xml:space="preserve">    evaluate.py         detection + attribution (vehicle-disjoint CV, bootstrap CIs)</w:t>
      </w:r>
      <w:r>
        <w:br/>
      </w:r>
      <w:r>
        <w:rPr>
          <w:rStyle w:val="VerbatimChar"/>
        </w:rPr>
        <w:t xml:space="preserve">    summarize.py        stage-vs-healthy, confounders, per-vehicle</w:t>
      </w:r>
      <w:r>
        <w:br/>
      </w:r>
      <w:r>
        <w:rPr>
          <w:rStyle w:val="VerbatimChar"/>
        </w:rPr>
        <w:t xml:space="preserve">    accumulate.py       multi-trip evidence pooling (VED)</w:t>
      </w:r>
      <w:r>
        <w:br/>
      </w:r>
      <w:r>
        <w:rPr>
          <w:rStyle w:val="VerbatimChar"/>
        </w:rPr>
        <w:t xml:space="preserve">    prognosis.py        fleet RUL (Bayesian, censoring-aware)</w:t>
      </w:r>
      <w:r>
        <w:br/>
      </w:r>
      <w:r>
        <w:rPr>
          <w:rStyle w:val="VerbatimChar"/>
        </w:rPr>
        <w:t xml:space="preserve">    time_to_detect.py   persistent-fault time to detect (full-bus)</w:t>
      </w:r>
      <w:r>
        <w:br/>
      </w:r>
      <w:r>
        <w:rPr>
          <w:rStyle w:val="VerbatimChar"/>
        </w:rPr>
        <w:t xml:space="preserve">    observability.py    analytical observability law</w:t>
      </w:r>
      <w:r>
        <w:br/>
      </w:r>
      <w:r>
        <w:rPr>
          <w:rStyle w:val="VerbatimChar"/>
        </w:rPr>
        <w:t xml:space="preserve">    robustness.py       16 parameter perturbations</w:t>
      </w:r>
      <w:r>
        <w:br/>
      </w:r>
      <w:r>
        <w:rPr>
          <w:rStyle w:val="VerbatimChar"/>
        </w:rPr>
        <w:t xml:space="preserve">    extras.py           cross-model, window length, hyperparameters, operating points,</w:t>
      </w:r>
      <w:r>
        <w:br/>
      </w:r>
      <w:r>
        <w:rPr>
          <w:rStyle w:val="VerbatimChar"/>
        </w:rPr>
        <w:t xml:space="preserve">                        Transformer, significance tests</w:t>
      </w:r>
      <w:r>
        <w:br/>
      </w:r>
      <w:r>
        <w:rPr>
          <w:rStyle w:val="VerbatimChar"/>
        </w:rPr>
        <w:t xml:space="preserve">    figures.py          all figures and LaTeX tables</w:t>
      </w:r>
      <w:r>
        <w:br/>
      </w:r>
      <w:r>
        <w:rPr>
          <w:rStyle w:val="VerbatimChar"/>
        </w:rPr>
        <w:t xml:space="preserve">  tests/          14 unit tests (no data needed)</w:t>
      </w:r>
      <w:r>
        <w:br/>
      </w:r>
      <w:r>
        <w:rPr>
          <w:rStyle w:val="VerbatimChar"/>
        </w:rPr>
        <w:t xml:space="preserve">  results/        every number in the paper, as JSON</w:t>
      </w:r>
      <w:r>
        <w:br/>
      </w:r>
      <w:r>
        <w:rPr>
          <w:rStyle w:val="VerbatimChar"/>
        </w:rPr>
        <w:t xml:space="preserve">  figures/        every figure in the paper, as PDF</w:t>
      </w:r>
      <w:r>
        <w:br/>
      </w:r>
      <w:r>
        <w:rPr>
          <w:rStyle w:val="VerbatimChar"/>
        </w:rPr>
        <w:t xml:space="preserve">paper/            LaTeX manuscript, supplementary material, cover letter, response template</w:t>
      </w:r>
    </w:p>
    <w:bookmarkEnd w:id="24"/>
    <w:bookmarkStart w:id="25" w:name="run-it"/>
    <w:p>
      <w:pPr>
        <w:pStyle w:val="Heading2"/>
      </w:pPr>
      <w:r>
        <w:t xml:space="preserve">6. Run it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ocwd/requirements.txt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ocwd/get_data.sh            </w:t>
      </w:r>
      <w:r>
        <w:rPr>
          <w:rStyle w:val="CommentTok"/>
        </w:rPr>
        <w:t xml:space="preserve"># ~5 GB download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ocwd/run_all.sh             </w:t>
      </w:r>
      <w:r>
        <w:rPr>
          <w:rStyle w:val="CommentTok"/>
        </w:rPr>
        <w:t xml:space="preserve"># ~4-5 h on a 4-core CPU, no GPU needed</w:t>
      </w:r>
    </w:p>
    <w:p>
      <w:pPr>
        <w:pStyle w:val="FirstParagraph"/>
      </w:pPr>
      <w:r>
        <w:t xml:space="preserve">Quick check without data:</w:t>
      </w:r>
      <w:r>
        <w:t xml:space="preserve"> </w:t>
      </w:r>
      <w:r>
        <w:rPr>
          <w:rStyle w:val="VerbatimChar"/>
        </w:rPr>
        <w:t xml:space="preserve">PYTHONPATH=. python -m pytest -q ocwd/tests</w:t>
      </w:r>
      <w:r>
        <w:t xml:space="preserve">.</w:t>
      </w:r>
    </w:p>
    <w:bookmarkEnd w:id="25"/>
    <w:bookmarkStart w:id="26" w:name="headline-results-vehicle-disjoint"/>
    <w:p>
      <w:pPr>
        <w:pStyle w:val="Heading2"/>
      </w:pPr>
      <w:r>
        <w:t xml:space="preserve">7. Headline results (vehicle-disjoint)</w:t>
      </w:r>
    </w:p>
    <w:tbl>
      <w:tblPr>
        <w:tblStyle w:val="Table"/>
        <w:jc w:val="center"/>
        <w:tblLook w:firstRow="1" w:lastRow="0" w:firstColumn="0" w:lastColumn="0" w:noHBand="0" w:noVBand="0" w:val="0020"/>
        <w:tblW w:w="10080" w:type="dxa"/>
        <w:tblCellMar>
          <w:left w:w="80" w:type="dxa"/>
          <w:right w:w="80" w:type="dxa"/>
        </w:tblCellMar>
        <w:tblLayout w:type="fixed"/>
      </w:tblPr>
      <w:tblGrid>
        <w:gridCol w:w="5040"/>
        <w:gridCol w:w="5040"/>
      </w:tblGrid>
      <w:tr>
        <w:trPr>
          <w:tblHeader w:val="true"/>
        </w:trP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Value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detection on unseen vehicles (6-fold LOVO), wear vs everything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AUROC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0.880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(95 % CI 0.871–0.906)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… moderate / severe wear vs healthy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0.891 / 0.995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… per held-out vehicle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0.869–0.921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… deep baselines (1D-CNN / LSTM-AE / Transformer)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0.646 / 0.631 / 0.641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… significance vs every non-ECTA baseline (full-bus, VED)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 ≤ 0.001 (paired vehicle bootstrap)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… hyperparameter sensitivity (7 configurations)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±0.004 (full-bus), ±0.015 (VED)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… trained on Poisson model, tested on Markov-chatter model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0.856 (severe 0.999)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time to detect moderate wear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AUROC 0.94 after 2 min of driving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Full-bus false alarms at 90 % severe-wear detection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 per hour of real healthy driving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Observability law vs measured detectability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Spearman 0.93 (12 tool–stage combinations)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Polling: coherence features vs bus EMI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0.947 vs 0.737 without them (VED)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VED fleet detection (381 vehicles)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0.775 vs 0.704 without coherence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Severe wear, vehicle-level after 10 trips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0.999</w:t>
            </w:r>
          </w:p>
        </w:tc>
      </w:tr>
      <w:tr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Fleet early warning (functional failure at 20 Ω)</w:t>
            </w:r>
          </w:p>
        </w:tc>
        <w:tc>
          <w:tcPr>
            <w:tcW w:w="5040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88 % timely, 1.5 % false alarms</w:t>
            </w:r>
          </w:p>
        </w:tc>
      </w:tr>
    </w:tbl>
    <w:p>
      <w:pPr>
        <w:pStyle w:val="BodyText"/>
      </w:pPr>
      <w:r>
        <w:t xml:space="preserve">Limits, stated in the paper: incipient wear is not detectable in a single window, moderate wear</w:t>
      </w:r>
      <w:r>
        <w:t xml:space="preserve"> </w:t>
      </w:r>
      <w:r>
        <w:t xml:space="preserve">is not detectable by low-rate polling tools, months-ahead RUL is not achieved for polling tools,</w:t>
      </w:r>
      <w:r>
        <w:t xml:space="preserve"> </w:t>
      </w:r>
      <w:r>
        <w:t xml:space="preserve">and telling a DLC fault from an ECU-connector fault needs multi-ECU visibility.</w:t>
      </w:r>
    </w:p>
    <w:bookmarkEnd w:id="26"/>
    <w:bookmarkStart w:id="27" w:name="extending-the-project"/>
    <w:p>
      <w:pPr>
        <w:pStyle w:val="Heading2"/>
      </w:pPr>
      <w:r>
        <w:t xml:space="preserve">8. Extending the 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Bench validation (highest value):</w:t>
      </w:r>
      <w:r>
        <w:t xml:space="preserve"> </w:t>
      </w:r>
      <w:r>
        <w:t xml:space="preserve">follow</w:t>
      </w:r>
      <w:r>
        <w:t xml:space="preserve"> </w:t>
      </w:r>
      <w:r>
        <w:rPr>
          <w:rStyle w:val="VerbatimChar"/>
        </w:rPr>
        <w:t xml:space="preserve">docs/bench_setup.md</w:t>
      </w:r>
      <w:r>
        <w:t xml:space="preserve">. Log naturally worn J1962</w:t>
      </w:r>
      <w:r>
        <w:t xml:space="preserve"> </w:t>
      </w:r>
      <w:r>
        <w:t xml:space="preserve">receptacles with a full-bus tool (SocketCAN, listen-only) on a vibration rig, then run</w:t>
      </w:r>
      <w:r>
        <w:t xml:space="preserve"> </w:t>
      </w:r>
      <w:r>
        <w:rPr>
          <w:rStyle w:val="VerbatimChar"/>
        </w:rPr>
        <w:t xml:space="preserve">ocwd.features.passive_features</w:t>
      </w:r>
      <w:r>
        <w:t xml:space="preserve"> </w:t>
      </w:r>
      <w:r>
        <w:t xml:space="preserve">on the captures. Measuring the interruption-duration</w:t>
      </w:r>
      <w:r>
        <w:t xml:space="preserve"> </w:t>
      </w:r>
      <w:r>
        <w:t xml:space="preserve">distribution and the device hold-up time fixes the two most sensitive constants.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vehicle:</w:t>
      </w:r>
      <w:r>
        <w:t xml:space="preserve"> </w:t>
      </w:r>
      <w:r>
        <w:t xml:space="preserve">add a decoder to</w:t>
      </w:r>
      <w:r>
        <w:t xml:space="preserve"> </w:t>
      </w:r>
      <w:r>
        <w:rPr>
          <w:rStyle w:val="VerbatimChar"/>
        </w:rPr>
        <w:t xml:space="preserve">signals.DECODERS</w:t>
      </w:r>
      <w:r>
        <w:t xml:space="preserve"> </w:t>
      </w:r>
      <w:r>
        <w:t xml:space="preserve">and a loader in</w:t>
      </w:r>
      <w:r>
        <w:t xml:space="preserve"> </w:t>
      </w:r>
      <w:r>
        <w:rPr>
          <w:rStyle w:val="VerbatimChar"/>
        </w:rPr>
        <w:t xml:space="preserve">loaders.py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tool type:</w:t>
      </w:r>
      <w:r>
        <w:t xml:space="preserve"> </w:t>
      </w:r>
      <w:r>
        <w:t xml:space="preserve">implement its telemetry effect in</w:t>
      </w:r>
      <w:r>
        <w:t xml:space="preserve"> </w:t>
      </w:r>
      <w:r>
        <w:rPr>
          <w:rStyle w:val="VerbatimChar"/>
        </w:rPr>
        <w:t xml:space="preserve">physics.py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simulate_poll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baseline:</w:t>
      </w:r>
      <w:r>
        <w:t xml:space="preserve"> </w:t>
      </w:r>
      <w:r>
        <w:t xml:space="preserve">add a class with</w:t>
      </w:r>
      <w:r>
        <w:t xml:space="preserve"> </w:t>
      </w:r>
      <w:r>
        <w:rPr>
          <w:rStyle w:val="VerbatimChar"/>
        </w:rPr>
        <w:t xml:space="preserve">fit</w:t>
      </w:r>
      <w:r>
        <w:t xml:space="preserve">/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and register it in</w:t>
      </w:r>
      <w:r>
        <w:t xml:space="preserve"> </w:t>
      </w:r>
      <w:r>
        <w:rPr>
          <w:rStyle w:val="VerbatimChar"/>
        </w:rPr>
        <w:t xml:space="preserve">experiments/evaluate.py</w:t>
      </w:r>
      <w:r>
        <w:t xml:space="preserve">.</w:t>
      </w:r>
    </w:p>
    <w:bookmarkEnd w:id="27"/>
    <w:bookmarkStart w:id="28" w:name="faq"/>
    <w:p>
      <w:pPr>
        <w:pStyle w:val="Heading2"/>
      </w:pPr>
      <w:r>
        <w:t xml:space="preserve">9. FAQ</w:t>
      </w:r>
    </w:p>
    <w:p>
      <w:pPr>
        <w:pStyle w:val="FirstParagraph"/>
      </w:pPr>
      <w:r>
        <w:rPr>
          <w:bCs/>
          <w:b/>
        </w:rPr>
        <w:t xml:space="preserve">Is this real data?</w:t>
      </w:r>
      <w:r>
        <w:t xml:space="preserve"> </w:t>
      </w:r>
      <w:r>
        <w:t xml:space="preserve">The healthy telemetry, the excitation and the usage are real. The faults are</w:t>
      </w:r>
      <w:r>
        <w:t xml:space="preserve"> </w:t>
      </w:r>
      <w:r>
        <w:t xml:space="preserve">modelled; that is stated everywhere, including in the paper title (</w:t>
      </w:r>
      <w:r>
        <w:t xml:space="preserve">“</w:t>
      </w:r>
      <w:r>
        <w:t xml:space="preserve">physics-informed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Why trust the fault model?</w:t>
      </w:r>
      <w:r>
        <w:t xml:space="preserve"> </w:t>
      </w:r>
      <w:r>
        <w:t xml:space="preserve">Its structure follows the contact literature and the CAN/ISO 15765</w:t>
      </w:r>
      <w:r>
        <w:t xml:space="preserve"> </w:t>
      </w:r>
      <w:r>
        <w:t xml:space="preserve">standards. Results hold under 16 parameter perturbations and under a structurally different</w:t>
      </w:r>
      <w:r>
        <w:t xml:space="preserve"> </w:t>
      </w:r>
      <w:r>
        <w:t xml:space="preserve">fault process, and an analytical observability law predicts the measured performance.</w:t>
      </w:r>
    </w:p>
    <w:p>
      <w:pPr>
        <w:pStyle w:val="BodyText"/>
      </w:pPr>
      <w:r>
        <w:rPr>
          <w:bCs/>
          <w:b/>
        </w:rPr>
        <w:t xml:space="preserve">Can it run on a dongle?</w:t>
      </w:r>
      <w:r>
        <w:t xml:space="preserve"> </w:t>
      </w:r>
      <w:r>
        <w:t xml:space="preserve">Yes. Features take ~23 ms per 30-s full-bus window (58 k frames) in</w:t>
      </w:r>
      <w:r>
        <w:t xml:space="preserve"> </w:t>
      </w:r>
      <w:r>
        <w:t xml:space="preserve">unoptimized Python, and the classifier is a 1.3-MB tree ensemble.</w:t>
      </w:r>
    </w:p>
    <w:bookmarkEnd w:id="28"/>
    <w:bookmarkEnd w:id="29"/>
    <w:sectPr>
      <w:pgMar w:left="1080" w:right="1080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2026-10-02T14:20:13Z</dcterms:created>
  <dcterms:modified xsi:type="dcterms:W3CDTF">2026-10-02T14:20:13Z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