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Response to the Reviewers</w:t>
      </w:r>
      <w:r>
        <w:br/>
      </w:r>
      <w:r>
        <w:t xml:space="preserve">Manuscript ID: [ACCESS-2026-XXXXX] —</w:t>
      </w:r>
      <w:r>
        <w:t xml:space="preserve"> </w:t>
      </w:r>
      <w:r>
        <w:t xml:space="preserve">“</w:t>
      </w:r>
      <w:r>
        <w:t xml:space="preserve">Excitation-Coherent Telemetry Analysis for Predictive</w:t>
      </w:r>
      <w:r>
        <w:t xml:space="preserve"> </w:t>
      </w:r>
      <w:r>
        <w:t xml:space="preserve">OBD-II Connector Wear Detection: A Physics-Informed Study on Real In-Vehicle Network Data</w:t>
      </w:r>
      <w:r>
        <w:t xml:space="preserve">”</w:t>
      </w:r>
    </w:p>
    <w:p>
      <w:pPr>
        <w:pStyle w:val="BodyText"/>
      </w:pPr>
      <w:r>
        <w:t xml:space="preserve">We thank the Editor and the Reviewers for their careful reading and constructive comments. Below,</w:t>
      </w:r>
      <w:r>
        <w:t xml:space="preserve"> </w:t>
      </w:r>
      <w:r>
        <w:t xml:space="preserve">each comment is reproduced in bold, followed by our response and the corresponding changes.</w:t>
      </w:r>
      <w:r>
        <w:t xml:space="preserve"> </w:t>
      </w:r>
      <w:r>
        <w:t xml:space="preserve">Changes in the revised manuscript are highlighted in blue.</w:t>
      </w:r>
    </w:p>
    <w:bookmarkStart w:id="20" w:name="reviewer-1"/>
    <w:p>
      <w:pPr>
        <w:pStyle w:val="Heading1"/>
      </w:pPr>
      <w:r>
        <w:t xml:space="preserve">Reviewer 1</w:t>
      </w:r>
    </w:p>
    <w:p>
      <w:pPr>
        <w:pStyle w:val="FirstParagraph"/>
      </w:pPr>
      <w:r>
        <w:rPr>
          <w:bCs/>
          <w:b/>
        </w:rPr>
        <w:t xml:space="preserve">Comment R1.1 (realism of the faults).</w:t>
      </w:r>
      <w:r>
        <w:t xml:space="preserve"> </w:t>
      </w:r>
      <w:r>
        <w:t xml:space="preserve"> </w:t>
      </w:r>
      <w:r>
        <w:rPr>
          <w:iCs/>
          <w:i/>
        </w:rPr>
        <w:t xml:space="preserve">The faults are simulated; the detector may only learn the simulator.</w:t>
      </w:r>
    </w:p>
    <w:p>
      <w:pPr>
        <w:pStyle w:val="BodyText"/>
      </w:pPr>
      <w:r>
        <w:rPr>
          <w:bCs/>
          <w:b/>
        </w:rPr>
        <w:t xml:space="preserve">Response.</w:t>
      </w:r>
      <w:r>
        <w:t xml:space="preserve"> We agree that this is the central question and address it in four ways. (i) All healthy</w:t>
      </w:r>
      <w:r>
        <w:t xml:space="preserve"> </w:t>
      </w:r>
      <w:r>
        <w:t xml:space="preserve">telemetry, the excitation that drives the faults and the usage histories are real; only the</w:t>
      </w:r>
      <w:r>
        <w:t xml:space="preserve"> </w:t>
      </w:r>
      <w:r>
        <w:t xml:space="preserve">connector fault is modelled, and the detector never sees model internals. (ii) Sixteen parameter</w:t>
      </w:r>
      <w:r>
        <w:t xml:space="preserve"> </w:t>
      </w:r>
      <w:r>
        <w:t xml:space="preserve">perturbations (Section VI-H, Fig. 9; Supplement S6): on full-bus data the AUROC stays within</w:t>
      </w:r>
      <w:r>
        <w:t xml:space="preserve"> </w:t>
      </w:r>
      <w:r>
        <w:t xml:space="preserve">0.84–0.95 and severe-stage AUROC</w:t>
      </w:r>
      <w:r>
        <w:t xml:space="preserve"> </w:t>
      </w:r>
      <m:oMath>
        <m:r>
          <m:rPr>
            <m:sty m:val="p"/>
          </m:rPr>
          <m:t>≥</m:t>
        </m:r>
        <m:r>
          <m:t>0.97</m:t>
        </m:r>
      </m:oMath>
      <w:r>
        <w:t xml:space="preserve">. (iii) A</w:t>
      </w:r>
      <w:r>
        <w:t xml:space="preserve"> </w:t>
      </w:r>
      <w:r>
        <w:rPr>
          <w:iCs/>
          <w:i/>
        </w:rPr>
        <w:t xml:space="preserve">structurally different</w:t>
      </w:r>
      <w:r>
        <w:t xml:space="preserve"> </w:t>
      </w:r>
      <w:r>
        <w:t xml:space="preserve">fault process</w:t>
      </w:r>
      <w:r>
        <w:t xml:space="preserve"> </w:t>
      </w:r>
      <w:r>
        <w:t xml:space="preserve">(bursty Markov chatter with an energy-based brown-out criterion; Section VI-I, Supplement S8):</w:t>
      </w:r>
      <w:r>
        <w:t xml:space="preserve"> </w:t>
      </w:r>
      <w:r>
        <w:t xml:space="preserve">trained only on the nominal model, ECTA reaches 0.856 on full-bus data (moderate 0.848, severe</w:t>
      </w:r>
      <w:r>
        <w:t xml:space="preserve"> </w:t>
      </w:r>
      <w:r>
        <w:t xml:space="preserve">0.999), 0.779 on the polling corpus and 0.813 on VED. (iv) The analytical observability law</w:t>
      </w:r>
      <w:r>
        <w:t xml:space="preserve"> </w:t>
      </w:r>
      <w:r>
        <w:t xml:space="preserve">(Section VI-C), which involves no classifier, predicts the measured detectability (Spearman 0.93).</w:t>
      </w:r>
    </w:p>
    <w:p>
      <w:pPr>
        <w:pStyle w:val="BodyText"/>
      </w:pPr>
      <w:r>
        <w:rPr>
          <w:iCs/>
          <w:i/>
        </w:rPr>
        <w:t xml:space="preserve">Changes in the manuscript:</w:t>
      </w:r>
      <w:r>
        <w:t xml:space="preserve"> [Section/page references.]</w:t>
      </w:r>
    </w:p>
    <w:p>
      <w:pPr>
        <w:pStyle w:val="BodyText"/>
      </w:pPr>
      <w:r>
        <w:rPr>
          <w:bCs/>
          <w:b/>
        </w:rPr>
        <w:t xml:space="preserve">Comment R1.2 (stronger deep baselines).</w:t>
      </w:r>
      <w:r>
        <w:t xml:space="preserve"> </w:t>
      </w:r>
      <w:r>
        <w:t xml:space="preserve"> </w:t>
      </w:r>
      <w:r>
        <w:rPr>
          <w:iCs/>
          <w:i/>
        </w:rPr>
        <w:t xml:space="preserve">Compare with a Transformer.</w:t>
      </w:r>
    </w:p>
    <w:p>
      <w:pPr>
        <w:pStyle w:val="BodyText"/>
      </w:pPr>
      <w:r>
        <w:rPr>
          <w:bCs/>
          <w:b/>
        </w:rPr>
        <w:t xml:space="preserve">Response.</w:t>
      </w:r>
      <w:r>
        <w:t xml:space="preserve"> A Transformer encoder baseline is now reported for all four corpora (Section VI-I,</w:t>
      </w:r>
      <w:r>
        <w:t xml:space="preserve"> </w:t>
      </w:r>
      <w:r>
        <w:t xml:space="preserve">Supplement S10). On unseen vehicles it reaches 0.641 (full-bus), 0.665 (sampling), 0.665 (polling)</w:t>
      </w:r>
      <w:r>
        <w:t xml:space="preserve"> </w:t>
      </w:r>
      <w:r>
        <w:t xml:space="preserve">and 0.590 (VED), against 0.880, 0.675, 0.723 and 0.775 for ECTA.</w:t>
      </w:r>
    </w:p>
    <w:p>
      <w:pPr>
        <w:pStyle w:val="BodyText"/>
      </w:pPr>
      <w:r>
        <w:rPr>
          <w:bCs/>
          <w:b/>
        </w:rPr>
        <w:t xml:space="preserve">Comment R1.3 (statistical significance).</w:t>
      </w:r>
      <w:r>
        <w:t xml:space="preserve"> </w:t>
      </w:r>
    </w:p>
    <w:p>
      <w:pPr>
        <w:pStyle w:val="BodyText"/>
      </w:pPr>
      <w:r>
        <w:rPr>
          <w:bCs/>
          <w:b/>
        </w:rPr>
        <w:t xml:space="preserve">Response.</w:t>
      </w:r>
      <w:r>
        <w:t xml:space="preserve"> Paired vehicle-level bootstrap confidence intervals and p-values for ECTA against every</w:t>
      </w:r>
      <w:r>
        <w:t xml:space="preserve"> </w:t>
      </w:r>
      <w:r>
        <w:t xml:space="preserve">baseline are given in Supplement S11. On the full-bus corpus (six vehicles) and VED (381 vehicles)</w:t>
      </w:r>
      <w:r>
        <w:t xml:space="preserve"> </w:t>
      </w:r>
      <w:r>
        <w:t xml:space="preserve">ECTA’s advantage over every non-ECTA baseline is significant at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0.001</m:t>
        </m:r>
      </m:oMath>
      <w:r>
        <w:t xml:space="preserve"> </w:t>
      </w:r>
      <w:r>
        <w:t xml:space="preserve">(the resolution of</w:t>
      </w:r>
      <w:r>
        <w:t xml:space="preserve"> </w:t>
      </w:r>
      <w:r>
        <w:t xml:space="preserve">1 000 resamples); the three-vehicle corpora support no formal test and are reported as indicative.</w:t>
      </w:r>
    </w:p>
    <w:p>
      <w:pPr>
        <w:pStyle w:val="BodyText"/>
      </w:pPr>
      <w:r>
        <w:rPr>
          <w:bCs/>
          <w:b/>
        </w:rPr>
        <w:t xml:space="preserve">Comment R1.4 (hyperparameters).</w:t>
      </w:r>
      <w:r>
        <w:t xml:space="preserve"> </w:t>
      </w:r>
    </w:p>
    <w:p>
      <w:pPr>
        <w:pStyle w:val="BodyText"/>
      </w:pPr>
      <w:r>
        <w:rPr>
          <w:bCs/>
          <w:b/>
        </w:rPr>
        <w:t xml:space="preserve">Response.</w:t>
      </w:r>
      <w:r>
        <w:t xml:space="preserve"> Hyperparameters were fixed before evaluation and are identical across corpora. Across seven</w:t>
      </w:r>
      <w:r>
        <w:t xml:space="preserve"> </w:t>
      </w:r>
      <w:r>
        <w:t xml:space="preserve">gradient-boosting configurations (Supplement S9) the overall AUROC varies by at most 0.004</w:t>
      </w:r>
      <w:r>
        <w:t xml:space="preserve"> </w:t>
      </w:r>
      <w:r>
        <w:t xml:space="preserve">(full-bus), 0.007 (polling) and 0.015 (VED).</w:t>
      </w:r>
    </w:p>
    <w:bookmarkEnd w:id="20"/>
    <w:bookmarkStart w:id="21" w:name="reviewer-2"/>
    <w:p>
      <w:pPr>
        <w:pStyle w:val="Heading1"/>
      </w:pPr>
      <w:r>
        <w:t xml:space="preserve">Reviewer 2</w:t>
      </w:r>
    </w:p>
    <w:p>
      <w:pPr>
        <w:pStyle w:val="FirstParagraph"/>
      </w:pPr>
      <w:r>
        <w:rPr>
          <w:bCs/>
          <w:b/>
        </w:rPr>
        <w:t xml:space="preserve">Comment R2.1 (practical false-alarm rate).</w:t>
      </w:r>
      <w:r>
        <w:t xml:space="preserve"> </w:t>
      </w:r>
    </w:p>
    <w:p>
      <w:pPr>
        <w:pStyle w:val="BodyText"/>
      </w:pPr>
      <w:r>
        <w:rPr>
          <w:bCs/>
          <w:b/>
        </w:rPr>
        <w:t xml:space="preserve">Response.</w:t>
      </w:r>
      <w:r>
        <w:t xml:space="preserve"> Supplement S12 reports false alarms per hour of real healthy driving at fixed detection</w:t>
      </w:r>
      <w:r>
        <w:t xml:space="preserve"> </w:t>
      </w:r>
      <w:r>
        <w:t xml:space="preserve">rates. A full-bus tool detecting 90% of severely worn connectors raises no false alarm in the</w:t>
      </w:r>
      <w:r>
        <w:t xml:space="preserve"> </w:t>
      </w:r>
      <w:r>
        <w:t xml:space="preserve">held-out healthy data (0.39 per hour at 95% detection); low-rate polling tools need multi-trip</w:t>
      </w:r>
      <w:r>
        <w:t xml:space="preserve"> </w:t>
      </w:r>
      <w:r>
        <w:t xml:space="preserve">pooling (Fig. 7), after which severe wear is detected per vehicle with AUROC 0.999.</w:t>
      </w:r>
    </w:p>
    <w:p>
      <w:pPr>
        <w:pStyle w:val="BodyText"/>
      </w:pPr>
      <w:r>
        <w:rPr>
          <w:bCs/>
          <w:b/>
        </w:rPr>
        <w:t xml:space="preserve">Comment R2.2 (window length).</w:t>
      </w:r>
      <w:r>
        <w:t xml:space="preserve"> </w:t>
      </w:r>
    </w:p>
    <w:p>
      <w:pPr>
        <w:pStyle w:val="BodyText"/>
      </w:pPr>
      <w:r>
        <w:rPr>
          <w:bCs/>
          <w:b/>
        </w:rPr>
        <w:t xml:space="preserve">Response.</w:t>
      </w:r>
      <w:r>
        <w:t xml:space="preserve"> Supplement S13 reports 10-, 30- and 60-s windows (AUROC 0.824, 0.879, 0.911). Detection</w:t>
      </w:r>
      <w:r>
        <w:t xml:space="preserve"> </w:t>
      </w:r>
      <w:r>
        <w:t xml:space="preserve">improves with window length as the physics predicts; the 30-s window is a latency compromise, not</w:t>
      </w:r>
      <w:r>
        <w:t xml:space="preserve"> </w:t>
      </w:r>
      <w:r>
        <w:t xml:space="preserve">the most favourable choice.</w:t>
      </w:r>
    </w:p>
    <w:p>
      <w:pPr>
        <w:pStyle w:val="BodyText"/>
      </w:pPr>
      <w:r>
        <w:rPr>
          <w:bCs/>
          <w:b/>
        </w:rPr>
        <w:t xml:space="preserve">Comment R2.3 (validation on naturally worn connectors).</w:t>
      </w:r>
      <w:r>
        <w:t xml:space="preserve"> </w:t>
      </w:r>
    </w:p>
    <w:p>
      <w:pPr>
        <w:pStyle w:val="BodyText"/>
      </w:pPr>
      <w:r>
        <w:rPr>
          <w:bCs/>
          <w:b/>
        </w:rPr>
        <w:t xml:space="preserve">Response.</w:t>
      </w:r>
      <w:r>
        <w:t xml:space="preserve"> We agree that this is the most valuable next step and state it as the primary limitation.</w:t>
      </w:r>
      <w:r>
        <w:t xml:space="preserve"> </w:t>
      </w:r>
      <w:r>
        <w:t xml:space="preserve">[If bench data have been collected: describe specimens, protocol and results here.]</w:t>
      </w:r>
    </w:p>
    <w:bookmarkEnd w:id="21"/>
    <w:bookmarkStart w:id="22" w:name="reviewer-3"/>
    <w:p>
      <w:pPr>
        <w:pStyle w:val="Heading1"/>
      </w:pPr>
      <w:r>
        <w:t xml:space="preserve">Reviewer 3</w:t>
      </w:r>
    </w:p>
    <w:p>
      <w:pPr>
        <w:pStyle w:val="FirstParagraph"/>
      </w:pPr>
      <w:r>
        <w:rPr>
          <w:bCs/>
          <w:b/>
        </w:rPr>
        <w:t xml:space="preserve">Comment R3.1 [comment].</w:t>
      </w:r>
      <w:r>
        <w:t xml:space="preserve"> </w:t>
      </w:r>
    </w:p>
    <w:p>
      <w:pPr>
        <w:pStyle w:val="BodyText"/>
      </w:pPr>
      <w:r>
        <w:rPr>
          <w:bCs/>
          <w:b/>
        </w:rPr>
        <w:t xml:space="preserve">Response.</w:t>
      </w:r>
      <w:r>
        <w:t xml:space="preserve"> [response]</w:t>
      </w:r>
    </w:p>
    <w:p>
      <w:pPr>
        <w:pStyle w:val="BodyText"/>
      </w:pPr>
      <w:r>
        <w:rPr>
          <w:iCs/>
          <w:i/>
        </w:rPr>
        <w:t xml:space="preserve">Changes in the manuscript:</w:t>
      </w:r>
      <w:r>
        <w:t xml:space="preserve"> [changes]</w:t>
      </w:r>
    </w:p>
    <w:bookmarkEnd w:id="22"/>
    <w:sectPr>
      <w:pgMar w:left="1080" w:right="1080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2026-10-02T14:20:15Z</dcterms:created>
  <dcterms:modified xsi:type="dcterms:W3CDTF">2026-10-02T14:20:15Z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