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Dr. Rajay</w:t>
      </w:r>
      <w:r>
        <w:t xml:space="preserve"> </w:t>
      </w:r>
      <w:r>
        <w:t xml:space="preserve">Vedaraj</w:t>
      </w:r>
      <w:r>
        <w:t xml:space="preserve"> </w:t>
      </w:r>
      <w:r>
        <w:t xml:space="preserve">I.S.</w:t>
      </w:r>
      <w:r>
        <w:br/>
      </w:r>
      <w:r>
        <w:t xml:space="preserve">Corresponding</w:t>
      </w:r>
      <w:r>
        <w:t xml:space="preserve"> </w:t>
      </w:r>
      <w:r>
        <w:t xml:space="preserve">author,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authors</w:t>
      </w:r>
      <w:r>
        <w:br/>
      </w:r>
      <w:r>
        <w:t xml:space="preserve">Vellore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Vellore</w:t>
      </w:r>
      <w:r>
        <w:t xml:space="preserve"> </w:t>
      </w:r>
      <w:r>
        <w:t xml:space="preserve">632014,</w:t>
      </w:r>
      <w:r>
        <w:t xml:space="preserve"> </w:t>
      </w:r>
      <w:r>
        <w:t xml:space="preserve">Tamil</w:t>
      </w:r>
      <w:r>
        <w:t xml:space="preserve"> </w:t>
      </w:r>
      <w:r>
        <w:t xml:space="preserve">Nadu,</w:t>
      </w:r>
      <w:r>
        <w:t xml:space="preserve"> </w:t>
      </w:r>
      <w:r>
        <w:t xml:space="preserve">India</w:t>
      </w:r>
      <w:r>
        <w:br/>
      </w:r>
      <w:hyperlink r:id="rId20">
        <w:r>
          <w:rPr>
            <w:rStyle w:val="Hyperlink"/>
          </w:rPr>
          <w:t xml:space="preserve">rajay@vit.ac.in</w:t>
        </w:r>
      </w:hyperlink>
    </w:p>
    <w:p>
      <w:pPr>
        <w:pStyle w:val="Date"/>
      </w:pPr>
      <w:r>
        <w:t xml:space="preserve">2026-10-28</w:t>
      </w:r>
    </w:p>
    <w:p>
      <w:pPr>
        <w:pStyle w:val="FirstParagraph"/>
      </w:pPr>
      <w:r>
        <w:t xml:space="preserve">Dr. Manisha Aswal</w:t>
      </w:r>
      <w:r>
        <w:br/>
      </w:r>
      <w:r>
        <w:t xml:space="preserve">Scientific Handling Editor</w:t>
      </w:r>
      <w:r>
        <w:br/>
      </w:r>
      <w:r>
        <w:rPr>
          <w:iCs/>
          <w:i/>
        </w:rPr>
        <w:t xml:space="preserve">Array</w:t>
      </w:r>
      <w:r>
        <w:br/>
      </w:r>
      <w:r>
        <w:t xml:space="preserve">Elsevier</w:t>
      </w:r>
    </w:p>
    <w:p>
      <w:pPr>
        <w:pStyle w:val="BodyText"/>
      </w:pPr>
      <w:r>
        <w:t xml:space="preserve">Dear Dr. Aswal,</w:t>
      </w:r>
    </w:p>
    <w:p>
      <w:pPr>
        <w:pStyle w:val="BodyText"/>
      </w:pPr>
      <w:r>
        <w:t xml:space="preserve">Please find enclosed the revised version of our manuscript ARRAY-D-26-01253,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Attention-Aware Task Scheduling via Deep Reinforcement Learning under Partial Observability for Human-Centric Productivity Optimization</w:t>
      </w:r>
      <w:r>
        <w:rPr>
          <w:bCs/>
          <w:b/>
        </w:rPr>
        <w:t xml:space="preserve">”</w:t>
      </w:r>
      <w:r>
        <w:t xml:space="preserve">. We thank you and the two reviewers for constructive comments, which identified real weaknesses of the original submission. We have used them to revise the study itself, not only the text: all experiments were redesigned and re-run, new experiments were added, and the manuscript was rewritten. The author list is unchanged.</w:t>
      </w:r>
    </w:p>
    <w:p>
      <w:pPr>
        <w:pStyle w:val="BodyText"/>
      </w:pPr>
      <w:r>
        <w:t xml:space="preserve">The main revisions are: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Novelty and positioning</w:t>
      </w:r>
      <w:r>
        <w:t xml:space="preserve"> </w:t>
      </w:r>
      <w:r>
        <w:t xml:space="preserve">(Editor, Reviewer 4). A new paragraph in the Introduction states the four elements that distinguish the work from fatigue-aware scheduling and human–robot task allocation, and the related work and positioning table were extended with recent human-aware scheduling studies.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Stronger baselines and a second DRL algorithm</w:t>
      </w:r>
      <w:r>
        <w:t xml:space="preserve"> </w:t>
      </w:r>
      <w:r>
        <w:t xml:space="preserve">(Reviewer 4). The study now compares a value-based learner (AA-DQN) and a new policy-gradient learner (AA-PPO) with nine rule-based schedulers, five of which are grid-tuned and cognition-aware, and with a vanilla DQN.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Rigorous evaluation</w:t>
      </w:r>
      <w:r>
        <w:t xml:space="preserve"> </w:t>
      </w:r>
      <w:r>
        <w:t xml:space="preserve">(Reviewer 4). Ten training seeds per main configuration, 500 held-out test days with common random numbers, disjoint seed sets for training, validation, tuning and testing, bootstrap confidence intervals, and Holm-corrected Wilcoxon tests with effect sizes. In total, 114 agents were trained.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Reward-independent metrics</w:t>
      </w:r>
      <w:r>
        <w:t xml:space="preserve"> </w:t>
      </w:r>
      <w:r>
        <w:t xml:space="preserve">(Reviewer 4). Conclusions are based on the on-time rate, deadline violations, completion rate and a difficulty-weighted (workload-adjusted) on-time rate, with a control agent trained without cognitive reward terms.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Complete specification</w:t>
      </w:r>
      <w:r>
        <w:t xml:space="preserve"> </w:t>
      </w:r>
      <w:r>
        <w:t xml:space="preserve">(Reviewers 3 and 4). Transition rules, dispatch function and deadline logic are formalised, all parameters are listed with their sources, and all hyperparameters and the way every parameter was set are reported.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Sensitivity analyses</w:t>
      </w:r>
      <w:r>
        <w:t xml:space="preserve"> </w:t>
      </w:r>
      <w:r>
        <w:t xml:space="preserve">(Reviewer 3). New experiments vary the learning rate, discount factor, history length, network components and reward weight, and each of the seven cognitive parameters by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Corrected conclusions</w:t>
      </w:r>
      <w:r>
        <w:t xml:space="preserve"> </w:t>
      </w:r>
      <w:r>
        <w:t xml:space="preserve">(Reviewer 4). The original claim that learning helps only when cognition is modelled was contradicted by the new controlled ablations and has been retracted.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Presentation</w:t>
      </w:r>
      <w:r>
        <w:t xml:space="preserve"> </w:t>
      </w:r>
      <w:r>
        <w:t xml:space="preserve">(Editor, Reviewer 3). A Nomenclature, numbered equations, 13 recent references (including the one suggested), a discussion of advantages and disadvantages, an extended limitations section, a graphical abstract, five highlights, and the Ethics, Data availability, CRediT, Competing interest, Funding and AI-use statements. The manuscript was proofread throughout.</w:t>
      </w:r>
    </w:p>
    <w:p>
      <w:pPr>
        <w:pStyle w:val="FirstParagraph"/>
      </w:pPr>
      <w:r>
        <w:t xml:space="preserve">With the stronger protocol, the results are more modest than in the original draft but much more trustworthy. Rules that never rest perform poorly (EDF completes 46.8% of tasks on time), and tuned rest rules are strong. The best learner, AA-PPO, significantly exceeds the best of nine tuned rules in return (13.04 versus 12.30) and on-time completion (75.1% versus 71.4%). We also report where learning does not help, notably on unseen workloads.</w:t>
      </w:r>
    </w:p>
    <w:p>
      <w:pPr>
        <w:pStyle w:val="BodyText"/>
      </w:pPr>
      <w:r>
        <w:t xml:space="preserve">We enclose a point-by-point response to all comments, a highlighted version of the manuscript, in which the passages that answer a comment are printed in blue and tagged with the comment number, a clean version, the revised supplementary material, the graphical abstract and the highlights. Because nearly every section was rewritten, a word-level comparison would mark almost every sentence; the tagged highlighting is intended to make the responses easy to locate.</w:t>
      </w:r>
    </w:p>
    <w:p>
      <w:pPr>
        <w:pStyle w:val="BodyText"/>
      </w:pPr>
      <w:r>
        <w:t xml:space="preserve">We confirm that the manuscript is original, has not been published previously and is not under consideration elsewhere, and that all authors have approved the revised version.</w:t>
      </w:r>
    </w:p>
    <w:p>
      <w:pPr>
        <w:pStyle w:val="BodyText"/>
      </w:pPr>
      <w:r>
        <w:t xml:space="preserve">Yours sincerely,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rajay@vit.ac.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rajay@vit.ac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 Rajay Vedaraj I.S. Corresponding author, on behalf of all authors Vellore Institute of Technology, Vellore 632014, Tamil Nadu, India rajay@vit.ac.in</dc:creator>
  <cp:keywords/>
  <dcterms:created xsi:type="dcterms:W3CDTF">2026-10-28T17:09:05Z</dcterms:created>
  <dcterms:modified xsi:type="dcterms:W3CDTF">2026-10-28T17:09:05Z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Vellore Institute of Technology Vellore 632014, Tamil Nadu, India</vt:lpwstr>
  </property>
  <property fmtid="{D5CDD505-2E9C-101B-9397-08002B2CF9AE}" pid="3" name="date">
    <vt:lpwstr>2026-10-28</vt:lpwstr>
  </property>
</Properties>
</file>