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Random-split NIR prediction intervals under-cover new seasons and instruments</w:t>
      </w:r>
    </w:p>
    <w:p>
      <w:pPr>
        <w:pStyle w:val="ListBullet"/>
      </w:pPr>
      <w:r>
        <w:t>Group-conformal calibration uses out-of-group residuals scaled by PLS T² and Q</w:t>
      </w:r>
    </w:p>
    <w:p>
      <w:pPr>
        <w:pStyle w:val="ListBullet"/>
      </w:pPr>
      <w:r>
        <w:t>Coverage stayed near 0.90 for new mango seasons, instruments and soil regions</w:t>
      </w:r>
    </w:p>
    <w:p>
      <w:pPr>
        <w:pStyle w:val="ListBullet"/>
      </w:pPr>
      <w:r>
        <w:t>Distribution-free group-level guarantees need about ten calibration groups</w:t>
      </w:r>
    </w:p>
    <w:p>
      <w:pPr>
        <w:pStyle w:val="ListBullet"/>
      </w:pPr>
      <w:r>
        <w:t>No interval method rescues an uncorrected, uninformative instrument transfer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