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Genomic Prediction</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as little as 0.838 of phenotypes on average for new genomic clusters.</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Five deviations, all made for compute reasons or found in a pipeline smoke test, are listed in File S1.</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w:t>
      </w:r>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The Holm-adjusted </w:t>
      </w:r>
      <w:r>
        <w:rPr>
          <w:i/>
        </w:rPr>
        <w:t>P</w:t>
      </w:r>
      <w:r>
        <w:t>-values were = 0.983 against CV+, = 1.000 against Gauss-PEV and = 1.000 against CalPred-style on pool A.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Pool time grew with training-set size to the power 2.0, and memory to the power 1.7. These exponents follow the dense </w:t>
      </w:r>
      <w:r>
        <w:rPr>
          <w:i/>
        </w:rPr>
        <w:t>O</w:t>
      </w:r>
      <w:r>
        <w:t>(</w:t>
      </w:r>
      <w:r>
        <w:rPr>
          <w:i/>
        </w:rPr>
        <w:t>n</w:t>
      </w:r>
      <w:r>
        <w:t xml:space="preserve">³) factorisations and </w:t>
      </w:r>
      <w:r>
        <w:rPr>
          <w:i/>
        </w:rPr>
        <w:t>O</w:t>
      </w:r>
      <w:r>
        <w:t>(</w:t>
      </w:r>
      <w:r>
        <w:rPr>
          <w:i/>
        </w:rPr>
        <w:t>n</w:t>
      </w:r>
      <w:r>
        <w:t>²) relationship matrices of GBLUP itself. The overhead is therefore that of a standard five-fold cross-validation run twice, and is small relative to phenotyping or genotyping costs.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042331"/>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042331"/>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