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Random convolutional kernel classifiers such as MiniRocket are accurate and fast, but their ridge readout returns scores rather than probabilities, and existing calibrations apply one global transformation that remains confident when test data drift. We propose LOOM, a closed-form probabilistic readout that divides each ridge logit by the square root of its leverage, the predictive variance factor of the equivalent Bayesian linear model, and fits a single temperature and the ridge penalty on exact leave-one-out pairs of scores and held-out leverages. LOOM needs one thin singular value decomposition, no held-out data, no refitting and no ensembles. The same identities yield exact jackknife+ prediction sets without refitting. On 114 UCR datasets with five resamples and a pre-registered benchmark of 18 test-time corruptions, LOOM matches the strongest closed-form baseline on clean data in negative log-likelihood (NLL), although target smoothing raises its expected calibration error. Under corruption it lowers the median NLL from 1.73 to 0.74, is better on 108 of 114 datasets (Holm-adjusted Wilcoxon p &lt; 0.001), is on par with the tree-based QUANT classifier, and raises the AUROC for detecting corrupted inputs from 0.56 to 0.77. Under a natural cross-axis sensor shift that barely changes leverage, the gain is small. Its clean jackknife+ sets reach 0.90 coverage at a nominal 0.90 with smaller sets than split conformal prediction. Code and all results are publicly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x̃(x)ᵀA⁻¹x̃(x) (with x̃(x) the intercept-augmented, standardised features),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w:t>
      </w:r>
      <w:r>
        <w:t xml:space="preserve"> </w:t>
      </w:r>
      <w:r>
        <w:rPr>
          <w:iCs/>
          <w:i/>
        </w:rPr>
        <w:t xml:space="preserve">regression</w:t>
      </w:r>
      <w:r>
        <w:t xml:space="preserve">, full conformal prediction can be computed in closed form</w:t>
      </w:r>
      <w:r>
        <w:t xml:space="preserve"> </w:t>
      </w:r>
      <w:r>
        <w:t xml:space="preserve">(Nouretdinov et al. 2001; Burnaev and Vovk 2014)</w:t>
      </w:r>
      <w:r>
        <w:t xml:space="preserve">. We use the analogous exact LOO identities to obtain jackknife+ sets for</w:t>
      </w:r>
      <w:r>
        <w:t xml:space="preserve"> </w:t>
      </w:r>
      <w:r>
        <w:rPr>
          <w:iCs/>
          <w:i/>
        </w:rPr>
        <w:t xml:space="preserve">classification</w:t>
      </w:r>
      <w:r>
        <w:t xml:space="preserve"> </w:t>
      </w:r>
      <w:r>
        <w:t xml:space="preserve">with leverage-moderated probability scores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With an unpenalised intercept and penalty λ, the readout uses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Bᵀx̃(x) of a test series and its leverage h(x) := x̃(x)ᵀA⁻¹x̃(x)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The scaling uses √h rather than the √(1 + h) of a regression prediction interval because only the epistemic (parameter) part of the uncertainty should be moderated; the aleatoric part of a classification decision is captured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This parallels the closed-form conformal ridge regression of</w:t>
      </w:r>
      <w:r>
        <w:t xml:space="preserve"> </w:t>
      </w:r>
      <w:r>
        <w:t xml:space="preserve">Nouretdinov et al. (2001)</w:t>
      </w:r>
      <w:r>
        <w:t xml:space="preserve">, here applied to the jackknife+ construction and to classification scores that depend on both the LOO logits and the LOO leverages. Because λ, a and the scaler are fitted on all n examples, the coverage guarantee holds only approximately; we therefore assess coverage empirically (Section 6.5).</w:t>
      </w:r>
    </w:p>
    <w:p>
      <w:pPr>
        <w:pStyle w:val="CaptionedFigure"/>
        <w:jc w:val="center"/>
      </w:pPr>
      <w:r>
        <w:drawing>
          <wp:inline>
            <wp:extent cx="5159173" cy="1807392"/>
            <wp:effectExtent b="0" l="0" r="0" t="0"/>
            <wp:docPr descr="Fig. 1 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807392"/>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w:t>
      </w:r>
    </w:p>
    <w:bookmarkEnd w:id="34"/>
    <w:bookmarkStart w:id="35"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5"/>
    <w:bookmarkEnd w:id="36"/>
    <w:bookmarkStart w:id="45" w:name="experimental-setup"/>
    <w:p>
      <w:pPr>
        <w:pStyle w:val="Heading1"/>
      </w:pPr>
      <w:r>
        <w:t xml:space="preserve">5 Experimental setup</w:t>
      </w:r>
    </w:p>
    <w:bookmarkStart w:id="40"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p>
      <w:pPr>
        <w:pStyle w:val="CaptionedFigure"/>
        <w:jc w:val="center"/>
      </w:pPr>
      <w:r>
        <w:drawing>
          <wp:inline>
            <wp:extent cx="5532272" cy="2113212"/>
            <wp:effectExtent b="0" l="0" r="0" t="0"/>
            <wp:docPr descr="Fig. 2 Distribution of training-set size, series length and number of classes over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Distribution of training-set size, series length and number of classes over the UCR datasets used</w:t>
      </w:r>
    </w:p>
    <w:bookmarkEnd w:id="40"/>
    <w:bookmarkStart w:id="41"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 the ridge (λ by LOO squared error) is fitted on 80 % and the temperature on the remaining 20 %.</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Euclidean distance to the five nearest training series in the standardised feature space);</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41"/>
    <w:bookmarkStart w:id="42"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42"/>
    <w:bookmarkStart w:id="43"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Paired differences are always reported as competitor − LOOM, so positive values favour LOOM for lower-is-better metrics (NLL, ECE, Brier) and negative values favour LOOM for accuracy and AUROC.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computed on the same differences (for NLL, ECE and Brier, positive values favour LOOM) and a percentile bootstrap 95 % confidence interval (10,000 draws) of the median paired difference. Friedman tests and mean ranks summarise all methods jointly. A difference is called significant only if the Holm-adjusted p-value is below 0.05. In the text, comparisons are reported as (W/D/L; Δ = median paired difference [bootstrap 95 % CI]; r_rb; p), where W/D/L counts the datasets on which LOOM is better/equal/worse and p is the Holm-adjusted Wilcoxon p-value. Spearman correlations in Section 6.9 are descriptive, and their p-values are not adjusted.</w:t>
      </w:r>
    </w:p>
    <w:bookmarkEnd w:id="43"/>
    <w:bookmarkStart w:id="44"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100 datasets never used during development (Section 6.7).</w:t>
      </w:r>
      <w:r>
        <w:t xml:space="preserve"> </w:t>
      </w:r>
      <w:r>
        <w:rPr>
          <w:bCs/>
          <w:b/>
        </w:rPr>
        <w:t xml:space="preserve">Use of a large language model.</w:t>
      </w:r>
      <w:r>
        <w:t xml:space="preserve"> </w:t>
      </w:r>
      <w:r>
        <w:t xml:space="preserve">As required by the journal, we document here that an AI assistant (Claude, Anthropic) was used for the literature search, for writing and running the code, and for drafting the text. All numerical results were produced by the released code and inserted into the manuscript automatically from the result files. The authors take full responsibility for the content (see also the Statements and Declarations).</w:t>
      </w:r>
    </w:p>
    <w:bookmarkEnd w:id="44"/>
    <w:bookmarkEnd w:id="45"/>
    <w:bookmarkStart w:id="73" w:name="results"/>
    <w:p>
      <w:pPr>
        <w:pStyle w:val="Heading1"/>
      </w:pPr>
      <w:r>
        <w:t xml:space="preserve">6 Results</w:t>
      </w:r>
    </w:p>
    <w:p>
      <w:pPr>
        <w:pStyle w:val="FirstParagraph"/>
      </w:pPr>
      <w:r>
        <w:t xml:space="preserve">All results are computed on 114 datasets (official split plus four resamples unless stated otherwise); per-dataset values are means over resamples. Complete per-dataset results are in Online Resource 3 and the repository.</w:t>
      </w:r>
    </w:p>
    <w:bookmarkStart w:id="46" w:name="in-distribution-calibration-rq1"/>
    <w:p>
      <w:pPr>
        <w:pStyle w:val="Heading2"/>
      </w:pPr>
      <w:r>
        <w:t xml:space="preserve">6.1 In-distribution calibration (RQ1)</w:t>
      </w:r>
    </w:p>
    <w:p>
      <w:pPr>
        <w:pStyle w:val="FirstParagraph"/>
      </w:pPr>
      <w:r>
        <w:t xml:space="preserve">Table 1 summarises clean test performance. LOOM has a median test NLL of 0.295. It is not significantly different from PreVal (W/D/L 50/0/64; Δ = -0.003 [-0.007, +0.001]; r_rb = -0.04; p = 1.000); better than Hold-out temperature scaling (W/D/L 86/0/28; Δ = +0.038 [+0.020, +0.070]; r_rb = 0.62; p &lt; 0.001); not significantly different from Ridge + Platt (5-fold) (W/D/L 54/0/56; Δ = -0.000 [-0.003, +0.004]; r_rb = 0.05; p = 1.000); and not significantly different from Logistic regression (CV) (W/D/L 53/0/56; Δ = -0.001 [-0.013, +0.010]; r_rb = -0.01; p = 1.000). The naive readouts are clearly worse: LOOM is better than Ridge softmax (T = 1) (W/D/L 110/0/4; Δ = +0.184 [+0.119, +0.273]; r_rb = 0.97; p &lt; 0.001) and better than Ridge one-hot (W/D/L 103/0/11; Δ = +2.696 [+1.578, +3.951]; r_rb = 0.96; p &lt; 0.001). For ECE, LOOM is worse than PreVal (W/D/L 29/0/85; Δ = -0.015 [-0.026, -0.006]; r_rb = -0.71; p &lt; 0.001); the target smoothing that keeps the temperature finite (Section 4.4) makes the model underconfident on datasets with few training series per class, which costs ECE (Sections 6.4 and 6.9). Accuracy is essentially unchanged: median accuracy 0.914 for LOOM versus 0.914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46"/>
    <w:bookmarkStart w:id="59"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1.01, confirming that exact held-out leverages are on the scale of in-distribution test leverages. Under corruption the ratio grows with severity, for example to 30.3 for strong Gaussian noise, 6.5 for strong baseline wander, 8.9 for a 30 % missing segment and 3.5 for a 20 % circular shift (Fig. 3).</w:t>
      </w:r>
    </w:p>
    <w:p>
      <w:pPr>
        <w:pStyle w:val="BodyText"/>
      </w:pPr>
      <w:r>
        <w:rPr>
          <w:bCs/>
          <w:b/>
        </w:rPr>
        <w:t xml:space="preserve">Calibration under corruption.</w:t>
      </w:r>
      <w:r>
        <w:t xml:space="preserve"> </w:t>
      </w:r>
      <w:r>
        <w:t xml:space="preserve">Averaged over the 18 corruption conditions (Table 2), LOOM has a median NLL of 0.738 against 1.728 for PreVal. LOOM is better than PreVal (W/D/L 108/0/6; Δ = +0.704 [+0.389, +1.292]; r_rb = 0.97; p &lt; 0.001), better than Hold-out temperature scaling (W/D/L 110/0/4; Δ = +1.119 [+0.805, +1.998]; r_rb = 0.99; p &lt; 0.001), better than Logistic regression (CV) (W/D/L 104/0/5; Δ = +0.959 [+0.663, +1.230]; r_rb = 0.97; p &lt; 0.001) and not significantly different from QUANT (W/D/L 43/0/69; Δ = -0.037 [-0.060, -0.006]; r_rb = -0.12; p = 0.253). For ECE under corruption LOOM is better than PreVal (W/D/L 80/0/34; Δ = +0.025 [+0.016, +0.037]; r_rb = 0.44; p &lt; 0.001). Accuracy under corruption is almost identical for LOOM, PreVal and the uncalibrated ridge, which share the same logits up to the selected λ (median 0.694 vs 0.692); the improvement comes from lower confidence on the misclassified corrupted series, visible in the pooled reliability diagrams (Fig. 6). LOOM also flags corrupted inputs: the median AUROC for separating corrupted from clean test series by 1 − max p̂ is 0.765 for LOOM versus 0.563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8" name="Picture"/>
            <a:graphic>
              <a:graphicData uri="http://schemas.openxmlformats.org/drawingml/2006/picture">
                <pic:pic>
                  <pic:nvPicPr>
                    <pic:cNvPr descr="/home/user/rp_c_3/Target_Journal_Submission/code/figures/fig_leverage_ratio.png" id="49" name="Picture"/>
                    <pic:cNvPicPr>
                      <a:picLocks noChangeArrowheads="1" noChangeAspect="1"/>
                    </pic:cNvPicPr>
                  </pic:nvPicPr>
                  <pic:blipFill>
                    <a:blip r:embed="rId47"/>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51" name="Picture"/>
            <a:graphic>
              <a:graphicData uri="http://schemas.openxmlformats.org/drawingml/2006/picture">
                <pic:pic>
                  <pic:nvPicPr>
                    <pic:cNvPr descr="/home/user/rp_c_3/Target_Journal_Submission/code/figures/fig_robustness_nll.png" id="52" name="Picture"/>
                    <pic:cNvPicPr>
                      <a:picLocks noChangeArrowheads="1" noChangeAspect="1"/>
                    </pic:cNvPicPr>
                  </pic:nvPicPr>
                  <pic:blipFill>
                    <a:blip r:embed="rId50"/>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title="" id="54" name="Picture"/>
            <a:graphic>
              <a:graphicData uri="http://schemas.openxmlformats.org/drawingml/2006/picture">
                <pic:pic>
                  <pic:nvPicPr>
                    <pic:cNvPr descr="/home/user/rp_c_3/Target_Journal_Submission/code/figures/fig_scatter_loom_vs_preval.png" id="55" name="Picture"/>
                    <pic:cNvPicPr>
                      <a:picLocks noChangeArrowheads="1" noChangeAspect="1"/>
                    </pic:cNvPicPr>
                  </pic:nvPicPr>
                  <pic:blipFill>
                    <a:blip r:embed="rId53"/>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w:t>
      </w:r>
    </w:p>
    <w:p>
      <w:pPr>
        <w:pStyle w:val="CaptionedFigure"/>
        <w:jc w:val="center"/>
      </w:pPr>
      <w:r>
        <w:drawing>
          <wp:inline>
            <wp:extent cx="5465445" cy="2322879"/>
            <wp:effectExtent b="0" l="0" r="0" t="0"/>
            <wp:docPr descr="Fig. 6 Reliability diagrams pooled over all datasets and resamples for clean test data (left) and severity-3 corruptions (right)" title="" id="57" name="Picture"/>
            <a:graphic>
              <a:graphicData uri="http://schemas.openxmlformats.org/drawingml/2006/picture">
                <pic:pic>
                  <pic:nvPicPr>
                    <pic:cNvPr descr="/home/user/rp_c_3/Target_Journal_Submission/code/figures/fig_reliability.png" id="58" name="Picture"/>
                    <pic:cNvPicPr>
                      <a:picLocks noChangeArrowheads="1" noChangeAspect="1"/>
                    </pic:cNvPicPr>
                  </pic:nvPicPr>
                  <pic:blipFill>
                    <a:blip r:embed="rId56"/>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w:t>
      </w:r>
    </w:p>
    <w:bookmarkEnd w:id="59"/>
    <w:bookmarkStart w:id="60"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worse than PreVal, 5-seed ensemble (W/D/L 31/0/83; Δ = -0.020 [-0.030, -0.012]; r_rb = -0.46; p &lt; 0.001), better than QUANT (W/D/L 69/0/43; Δ = +0.028 [+0.004, +0.062]; r_rb = 0.31; p = 0.005) and better than Arsenal (W/D/L 92/0/19; Δ = +1.404 [+0.923, +1.981]; r_rb = 0.93; p &lt; 0.001). Under corruption (severity-3 conditions for the Arsenal, all 18 for the others), LOOM is better than PreVal, 5-seed ensemble (W/D/L 95/0/19; Δ = +0.255 [+0.183, +0.431]; r_rb = 0.86; p &lt; 0.001), not significantly different from QUANT (W/D/L 46/0/66; Δ = -0.030 [-0.070, +0.001]; r_rb = -0.15; p = 0.181) and better than Arsenal (W/D/L 110/0/1; Δ = +6.301 [+5.364, +7.223]; r_rb = 1.00; p &lt; 0.001). The overall parity with QUANT hides a dependence on the corruption type (Fig. 4): at severity 3, QUANT has the lower median NLL for baseline wander, missing segments and spikes, and LOOM for Gaussian noise, time warping and circular shifts. We did not investigate the cause of this difference; it concerns the feature representation (raw-series quantiles versus random convolutions) rather than the readout, so LOOM-style moderation of a QUANT-like model is a possible extension. Averaging five LOOM models gives a median clean NLL of 0.329 and a corrupted NLL of 0.785.</w:t>
      </w:r>
    </w:p>
    <w:p>
      <w:pPr>
        <w:pStyle w:val="TableCaption"/>
      </w:pPr>
      <w:r>
        <w:rPr>
          <w:bCs/>
          <w:b/>
        </w:rPr>
        <w:t xml:space="preserve">Table 3</w:t>
      </w:r>
      <w:r>
        <w:t xml:space="preserve"> </w:t>
      </w:r>
      <w:r>
        <w:t xml:space="preserve">Official split, under corruption (mean over the available corruption conditions, see text). Statistics as in Table 1 (NLL)</w:t>
      </w:r>
    </w:p>
    <w:tbl>
      <w:tblPr>
        <w:tblStyle w:val="Table"/>
        <w:tblW w:type="pct" w:w="5000"/>
        <w:tblLook w:firstRow="1" w:lastRow="0" w:firstColumn="0" w:lastColumn="0" w:noHBand="0" w:noVBand="0" w:val="0020"/>
        <w:jc w:val="start"/>
        <w:tblCaption w:val="Table 3 Official split, under corruption (mean over the available corruption conditions, see text).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0.791</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0.676</w:t>
            </w:r>
          </w:p>
        </w:tc>
        <w:tc>
          <w:tcPr/>
          <w:p>
            <w:pPr>
              <w:pStyle w:val="Compact"/>
              <w:spacing w:after="0" w:line="240" w:lineRule="auto"/>
              <w:jc w:val="left"/>
            </w:pPr>
            <w:r>
              <w:rPr>
                <w:rFonts w:ascii="Times New Roman" w:hAnsi="Times New Roman"/>
                <w:sz w:val="16"/>
              </w:rPr>
              <w:t xml:space="preserve">0.761</w:t>
            </w:r>
          </w:p>
        </w:tc>
        <w:tc>
          <w:tcPr/>
          <w:p>
            <w:pPr>
              <w:pStyle w:val="Compact"/>
              <w:spacing w:after="0" w:line="240" w:lineRule="auto"/>
              <w:jc w:val="left"/>
            </w:pPr>
            <w:r>
              <w:rPr>
                <w:rFonts w:ascii="Times New Roman" w:hAnsi="Times New Roman"/>
                <w:sz w:val="16"/>
              </w:rPr>
              <w:t xml:space="preserve">1.96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0.785</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0.672</w:t>
            </w:r>
          </w:p>
        </w:tc>
        <w:tc>
          <w:tcPr/>
          <w:p>
            <w:pPr>
              <w:pStyle w:val="Compact"/>
              <w:spacing w:after="0" w:line="240" w:lineRule="auto"/>
              <w:jc w:val="left"/>
            </w:pPr>
            <w:r>
              <w:rPr>
                <w:rFonts w:ascii="Times New Roman" w:hAnsi="Times New Roman"/>
                <w:sz w:val="16"/>
              </w:rPr>
              <w:t xml:space="preserve">0.771</w:t>
            </w:r>
          </w:p>
        </w:tc>
        <w:tc>
          <w:tcPr/>
          <w:p>
            <w:pPr>
              <w:pStyle w:val="Compact"/>
              <w:spacing w:after="0" w:line="240" w:lineRule="auto"/>
              <w:jc w:val="left"/>
            </w:pPr>
            <w:r>
              <w:rPr>
                <w:rFonts w:ascii="Times New Roman" w:hAnsi="Times New Roman"/>
                <w:sz w:val="16"/>
              </w:rPr>
              <w:t xml:space="preserve">1.61</w:t>
            </w:r>
          </w:p>
        </w:tc>
        <w:tc>
          <w:tcPr/>
          <w:p>
            <w:pPr>
              <w:pStyle w:val="Compact"/>
              <w:spacing w:after="0" w:line="240" w:lineRule="auto"/>
              <w:jc w:val="left"/>
            </w:pPr>
            <w:r>
              <w:rPr>
                <w:rFonts w:ascii="Times New Roman" w:hAnsi="Times New Roman"/>
                <w:sz w:val="16"/>
              </w:rPr>
              <w:t xml:space="preserve">36/0/78</w:t>
            </w:r>
          </w:p>
        </w:tc>
        <w:tc>
          <w:tcPr/>
          <w:p>
            <w:pPr>
              <w:pStyle w:val="Compact"/>
              <w:spacing w:after="0" w:line="240" w:lineRule="auto"/>
              <w:jc w:val="left"/>
            </w:pPr>
            <w:r>
              <w:rPr>
                <w:rFonts w:ascii="Times New Roman" w:hAnsi="Times New Roman"/>
                <w:sz w:val="16"/>
              </w:rPr>
              <w:t xml:space="preserve">-0.50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1.486</w:t>
            </w:r>
          </w:p>
        </w:tc>
        <w:tc>
          <w:tcPr/>
          <w:p>
            <w:pPr>
              <w:pStyle w:val="Compact"/>
              <w:spacing w:after="0" w:line="240" w:lineRule="auto"/>
              <w:jc w:val="left"/>
            </w:pPr>
            <w:r>
              <w:rPr>
                <w:rFonts w:ascii="Times New Roman" w:hAnsi="Times New Roman"/>
                <w:sz w:val="16"/>
              </w:rPr>
              <w:t xml:space="preserve">0.185</w:t>
            </w:r>
          </w:p>
        </w:tc>
        <w:tc>
          <w:tcPr/>
          <w:p>
            <w:pPr>
              <w:pStyle w:val="Compact"/>
              <w:spacing w:after="0" w:line="240" w:lineRule="auto"/>
              <w:jc w:val="left"/>
            </w:pPr>
            <w:r>
              <w:rPr>
                <w:rFonts w:ascii="Times New Roman" w:hAnsi="Times New Roman"/>
                <w:sz w:val="16"/>
              </w:rPr>
              <w:t xml:space="preserve">0.683</w:t>
            </w:r>
          </w:p>
        </w:tc>
        <w:tc>
          <w:tcPr/>
          <w:p>
            <w:pPr>
              <w:pStyle w:val="Compact"/>
              <w:spacing w:after="0" w:line="240" w:lineRule="auto"/>
              <w:jc w:val="left"/>
            </w:pPr>
            <w:r>
              <w:rPr>
                <w:rFonts w:ascii="Times New Roman" w:hAnsi="Times New Roman"/>
                <w:sz w:val="16"/>
              </w:rPr>
              <w:t xml:space="preserve">0.544</w:t>
            </w:r>
          </w:p>
        </w:tc>
        <w:tc>
          <w:tcPr/>
          <w:p>
            <w:pPr>
              <w:pStyle w:val="Compact"/>
              <w:spacing w:after="0" w:line="240" w:lineRule="auto"/>
              <w:jc w:val="left"/>
            </w:pPr>
            <w:r>
              <w:rPr>
                <w:rFonts w:ascii="Times New Roman" w:hAnsi="Times New Roman"/>
                <w:sz w:val="16"/>
              </w:rPr>
              <w:t xml:space="preserve">3.62</w:t>
            </w:r>
          </w:p>
        </w:tc>
        <w:tc>
          <w:tcPr/>
          <w:p>
            <w:pPr>
              <w:pStyle w:val="Compact"/>
              <w:spacing w:after="0" w:line="240" w:lineRule="auto"/>
              <w:jc w:val="left"/>
            </w:pPr>
            <w:r>
              <w:rPr>
                <w:rFonts w:ascii="Times New Roman" w:hAnsi="Times New Roman"/>
                <w:sz w:val="16"/>
              </w:rPr>
              <w:t xml:space="preserve">101/0/13</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1.349</w:t>
            </w:r>
          </w:p>
        </w:tc>
        <w:tc>
          <w:tcPr/>
          <w:p>
            <w:pPr>
              <w:pStyle w:val="Compact"/>
              <w:spacing w:after="0" w:line="240" w:lineRule="auto"/>
              <w:jc w:val="left"/>
            </w:pPr>
            <w:r>
              <w:rPr>
                <w:rFonts w:ascii="Times New Roman" w:hAnsi="Times New Roman"/>
                <w:sz w:val="16"/>
              </w:rPr>
              <w:t xml:space="preserve">0.173</w:t>
            </w:r>
          </w:p>
        </w:tc>
        <w:tc>
          <w:tcPr/>
          <w:p>
            <w:pPr>
              <w:pStyle w:val="Compact"/>
              <w:spacing w:after="0" w:line="240" w:lineRule="auto"/>
              <w:jc w:val="left"/>
            </w:pPr>
            <w:r>
              <w:rPr>
                <w:rFonts w:ascii="Times New Roman" w:hAnsi="Times New Roman"/>
                <w:sz w:val="16"/>
              </w:rPr>
              <w:t xml:space="preserve">0.676</w:t>
            </w:r>
          </w:p>
        </w:tc>
        <w:tc>
          <w:tcPr/>
          <w:p>
            <w:pPr>
              <w:pStyle w:val="Compact"/>
              <w:spacing w:after="0" w:line="240" w:lineRule="auto"/>
              <w:jc w:val="left"/>
            </w:pPr>
            <w:r>
              <w:rPr>
                <w:rFonts w:ascii="Times New Roman" w:hAnsi="Times New Roman"/>
                <w:sz w:val="16"/>
              </w:rPr>
              <w:t xml:space="preserve">0.578</w:t>
            </w:r>
          </w:p>
        </w:tc>
        <w:tc>
          <w:tcPr/>
          <w:p>
            <w:pPr>
              <w:pStyle w:val="Compact"/>
              <w:spacing w:after="0" w:line="240" w:lineRule="auto"/>
              <w:jc w:val="left"/>
            </w:pPr>
            <w:r>
              <w:rPr>
                <w:rFonts w:ascii="Times New Roman" w:hAnsi="Times New Roman"/>
                <w:sz w:val="16"/>
              </w:rPr>
              <w:t xml:space="preserve">2.81</w:t>
            </w:r>
          </w:p>
        </w:tc>
        <w:tc>
          <w:tcPr/>
          <w:p>
            <w:pPr>
              <w:pStyle w:val="Compact"/>
              <w:spacing w:after="0" w:line="240" w:lineRule="auto"/>
              <w:jc w:val="left"/>
            </w:pPr>
            <w:r>
              <w:rPr>
                <w:rFonts w:ascii="Times New Roman" w:hAnsi="Times New Roman"/>
                <w:sz w:val="16"/>
              </w:rPr>
              <w:t xml:space="preserve">95/0/19</w:t>
            </w:r>
          </w:p>
        </w:tc>
        <w:tc>
          <w:tcPr/>
          <w:p>
            <w:pPr>
              <w:pStyle w:val="Compact"/>
              <w:spacing w:after="0" w:line="240" w:lineRule="auto"/>
              <w:jc w:val="left"/>
            </w:pPr>
            <w:r>
              <w:rPr>
                <w:rFonts w:ascii="Times New Roman" w:hAnsi="Times New Roman"/>
                <w:sz w:val="16"/>
              </w:rPr>
              <w:t xml:space="preserve">0.86</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0.740</w:t>
            </w:r>
          </w:p>
        </w:tc>
        <w:tc>
          <w:tcPr/>
          <w:p>
            <w:pPr>
              <w:pStyle w:val="Compact"/>
              <w:spacing w:after="0" w:line="240" w:lineRule="auto"/>
              <w:jc w:val="left"/>
            </w:pPr>
            <w:r>
              <w:rPr>
                <w:rFonts w:ascii="Times New Roman" w:hAnsi="Times New Roman"/>
                <w:sz w:val="16"/>
              </w:rPr>
              <w:t xml:space="preserve">0.169</w:t>
            </w:r>
          </w:p>
        </w:tc>
        <w:tc>
          <w:tcPr/>
          <w:p>
            <w:pPr>
              <w:pStyle w:val="Compact"/>
              <w:spacing w:after="0" w:line="240" w:lineRule="auto"/>
              <w:jc w:val="left"/>
            </w:pPr>
            <w:r>
              <w:rPr>
                <w:rFonts w:ascii="Times New Roman" w:hAnsi="Times New Roman"/>
                <w:sz w:val="16"/>
              </w:rPr>
              <w:t xml:space="preserve">0.680</w:t>
            </w:r>
          </w:p>
        </w:tc>
        <w:tc>
          <w:tcPr/>
          <w:p>
            <w:pPr>
              <w:pStyle w:val="Compact"/>
              <w:spacing w:after="0" w:line="240" w:lineRule="auto"/>
              <w:jc w:val="left"/>
            </w:pPr>
            <w:r>
              <w:rPr>
                <w:rFonts w:ascii="Times New Roman" w:hAnsi="Times New Roman"/>
                <w:sz w:val="16"/>
              </w:rPr>
              <w:t xml:space="preserve">0.705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46/0/66</w:t>
            </w:r>
          </w:p>
        </w:tc>
        <w:tc>
          <w:tcPr/>
          <w:p>
            <w:pPr>
              <w:pStyle w:val="Compact"/>
              <w:spacing w:after="0" w:line="240" w:lineRule="auto"/>
              <w:jc w:val="left"/>
            </w:pPr>
            <w:r>
              <w:rPr>
                <w:rFonts w:ascii="Times New Roman" w:hAnsi="Times New Roman"/>
                <w:sz w:val="16"/>
              </w:rPr>
              <w:t xml:space="preserve">-0.15</w:t>
            </w:r>
          </w:p>
        </w:tc>
        <w:tc>
          <w:tcPr/>
          <w:p>
            <w:pPr>
              <w:pStyle w:val="Compact"/>
              <w:spacing w:after="0" w:line="240" w:lineRule="auto"/>
              <w:jc w:val="left"/>
            </w:pPr>
            <w:r>
              <w:rPr>
                <w:rFonts w:ascii="Times New Roman" w:hAnsi="Times New Roman"/>
                <w:sz w:val="16"/>
              </w:rPr>
              <w:t xml:space="preserve">0.181</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110/0/1</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0"/>
    <w:bookmarkStart w:id="64" w:name="ablation-rq2"/>
    <w:p>
      <w:pPr>
        <w:pStyle w:val="Heading2"/>
      </w:pPr>
      <w:r>
        <w:t xml:space="preserve">6.4 Ablation (RQ2)</w:t>
      </w:r>
    </w:p>
    <w:p>
      <w:pPr>
        <w:pStyle w:val="FirstParagraph"/>
      </w:pPr>
      <w:r>
        <w:t xml:space="preserve">Fig. 7 shows the median NLL difference of each variant to LOOM (variant − LOOM; positive values favour LOOM).</w:t>
      </w:r>
      <w:r>
        <w:t xml:space="preserve"> </w:t>
      </w:r>
      <w:r>
        <w:rPr>
          <w:bCs/>
          <w:b/>
        </w:rPr>
        <w:t xml:space="preserve">Leverage moderation.</w:t>
      </w:r>
      <w:r>
        <w:t xml:space="preserve"> </w:t>
      </w:r>
      <w:r>
        <w:t xml:space="preserve">Removing it while keeping target smoothing (PreVal-smooth) is significantly worse under corruption (median NLL 1.190 vs 0.738; Δ = +0.162, p &lt; 0.001). On clean data it is not significantly different (Δ = -0.004, p = 0.084; PreVal-smooth is lower on 74 of 114 datasets), so the moderation costs at most a small amount of in-distribution NLL.</w:t>
      </w:r>
      <w:r>
        <w:t xml:space="preserve"> </w:t>
      </w:r>
      <w:r>
        <w:rPr>
          <w:bCs/>
          <w:b/>
        </w:rPr>
        <w:t xml:space="preserve">Exact LOO pairs.</w:t>
      </w:r>
      <w:r>
        <w:t xml:space="preserve"> </w:t>
      </w:r>
      <w:r>
        <w:t xml:space="preserve">Fitting the calibrator on in-sample pairs is significantly worse on clean data (median NLL 0.986), and an 80/20 hold-out split is significantly worse (median 0.441), because the ridge is then trained on fewer series; under corruption they are both significantly worse too.</w:t>
      </w:r>
      <w:r>
        <w:t xml:space="preserve"> </w:t>
      </w:r>
      <w:r>
        <w:rPr>
          <w:bCs/>
          <w:b/>
        </w:rPr>
        <w:t xml:space="preserve">Target smoothing.</w:t>
      </w:r>
      <w:r>
        <w:t xml:space="preserve"> </w:t>
      </w:r>
      <w:r>
        <w:t xml:space="preserve">Without it LOOM is not significantly different on clean NLL and significantly worse under corruption (Δ = +0.003, p = 0.003).</w:t>
      </w:r>
      <w:r>
        <w:t xml:space="preserve"> </w:t>
      </w:r>
      <w:r>
        <w:rPr>
          <w:bCs/>
          <w:b/>
        </w:rPr>
        <w:t xml:space="preserve">Moderation strength.</w:t>
      </w:r>
      <w:r>
        <w:t xml:space="preserve"> </w:t>
      </w:r>
      <w:r>
        <w:t xml:space="preserve">Learning a free strength b on the LOO pairs (LOOM-free-b) and the finite strength c = 1 are both significantly better on clean data (Δ = -0.005, p &lt; 0.001 and Δ = -0.004, p &lt; 0.001). Under corruption LOOM-free-b is significantly worse (median NLL 0.964; Δ = +0.025, p &lt; 0.001), presumably because the held-out leverages vary little, so b is poorly identified (as observed during development), and c = 1 is not significantly different (Δ = -0.004, p = 1.000). For shift detection, however, LOOM’s AUROC (0.765) exceeds that of c = 1 (0.729; LOOM higher on 111 of 114 datasets) and of LOOM-free-b (0.653), and the k-NN distance also detects shift worse (0.725). The pre-registered limit c → ∞ therefore trades a very small clean-data NLL loss for better shift detection.</w:t>
      </w:r>
      <w:r>
        <w:t xml:space="preserve"> </w:t>
      </w:r>
      <w:r>
        <w:rPr>
          <w:bCs/>
          <w:b/>
        </w:rPr>
        <w:t xml:space="preserve">Other choices.</w:t>
      </w:r>
      <w:r>
        <w:t xml:space="preserve"> </w:t>
      </w:r>
      <w:r>
        <w:t xml:space="preserve">Replacing leverage by a k-NN distance is not significantly different in NLL under corruption, and choosing λ by LOO squared error is not significantly different on clean data.</w:t>
      </w:r>
    </w:p>
    <w:p>
      <w:pPr>
        <w:pStyle w:val="CaptionedFigure"/>
        <w:jc w:val="center"/>
      </w:pPr>
      <w:r>
        <w:drawing>
          <wp:inline>
            <wp:extent cx="5753100" cy="2278646"/>
            <wp:effectExtent b="0" l="0" r="0" t="0"/>
            <wp:docPr descr="Fig. 7 Ablation: median paired NLL difference (variant − LOOM) with bootstrap 95 % confidence intervals on clean data (left) and under corruption (right); positive values mean the variant is worse" title="" id="62" name="Picture"/>
            <a:graphic>
              <a:graphicData uri="http://schemas.openxmlformats.org/drawingml/2006/picture">
                <pic:pic>
                  <pic:nvPicPr>
                    <pic:cNvPr descr="/home/user/rp_c_3/Target_Journal_Submission/code/figures/fig_ablation.png" id="63" name="Picture"/>
                    <pic:cNvPicPr>
                      <a:picLocks noChangeArrowheads="1" noChangeAspect="1"/>
                    </pic:cNvPicPr>
                  </pic:nvPicPr>
                  <pic:blipFill>
                    <a:blip r:embed="rId61"/>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64"/>
    <w:bookmarkStart w:id="65"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 better than PreVal (W/D/L 42/0/2; Δ = +6.137 [+4.047, +8.291]; r_rb = 0.99; p &lt; 0.001) under corruption and not significantly different from PreVal (W/D/L 20/0/24; Δ = -0.002 [-0.009, +0.006]; r_rb = -0.06; p = 0.733) on clean data. With Hydra features the corresponding comparisons are better than PreVal (W/D/L 43/0/0; Δ = +7.913 [+1.565, +9.061]; r_rb = 1.00; p &lt; 0.001) and not significantly different from PreVal (W/D/L 22/0/21; Δ = +0.004 [-0.004, +0.009]; r_rb = 0.13; p = 0.476).</w:t>
      </w:r>
    </w:p>
    <w:p>
      <w:pPr>
        <w:pStyle w:val="BodyText"/>
      </w:pPr>
      <w:r>
        <w:rPr>
          <w:bCs/>
          <w:b/>
        </w:rPr>
        <w:t xml:space="preserve">Subsets.</w:t>
      </w:r>
      <w:r>
        <w:t xml:space="preserve"> </w:t>
      </w:r>
      <w:r>
        <w:t xml:space="preserve">On the 100 datasets never used during development LOOM is better than PreVal (W/D/L 94/0/6; Δ = +0.640 [+0.327, +1.021]; r_rb = 0.96; p &lt; 0.001) under corruption and not significantly different from PreVal (W/D/L 44/0/56; Δ = -0.003 [-0.007, +0.001]; r_rb = -0.03; p = 1.000) on clean data. Excluding the 16 datasets with train/test duplicates (98 datasets), the comparisons are better than PreVal (W/D/L 92/0/6; Δ = +0.790 [+0.446, +1.355]; r_rb = 0.97; p &lt; 0.001) and not significantly different from PreVal (W/D/L 42/0/56; Δ = -0.003 [-0.009, +0.001]; r_rb = -0.07; p = 1.000).</w:t>
      </w:r>
    </w:p>
    <w:p>
      <w:pPr>
        <w:pStyle w:val="BodyText"/>
      </w:pPr>
      <w:r>
        <w:rPr>
          <w:bCs/>
          <w:b/>
        </w:rPr>
        <w:t xml:space="preserve">Related datasets.</w:t>
      </w:r>
      <w:r>
        <w:t xml:space="preserve"> </w:t>
      </w:r>
      <w:r>
        <w:t xml:space="preserve">Several UCR datasets share a data source (e.g. the four UWaveGestureLibrary sets or the six phalanx-outline sets), so datasets are not fully independent units. Averaging related datasets into 70 source-level units, LOOM has the lower corrupted-data NLL than PreVal for 68 of 70 units (Holm-adjusted p &lt; 0.001), while on clean data the comparison remains not significant (31/39 wins/losses, Holm-adjusted p = 1.000).</w:t>
      </w:r>
    </w:p>
    <w:p>
      <w:pPr>
        <w:pStyle w:val="BodyText"/>
      </w:pPr>
      <w:r>
        <w:rPr>
          <w:bCs/>
          <w:b/>
        </w:rPr>
        <w:t xml:space="preserve">A natural sensor shift.</w:t>
      </w:r>
      <w:r>
        <w:t xml:space="preserve"> </w:t>
      </w:r>
      <w:r>
        <w:t xml:space="preserve">To complement the synthetic corruptions we use the three accelerometer axes of UWaveGestureLibrary, which contain the same 4478 gesture recordings with identical labels. A model trained on one axis is tested on the same recordings measured on another axis (6 ordered axis pairs × 5 resamples; the same split seed keeps test recordings disjoint from training recordings). This shift is severe (mean accuracy drops from 0.810 to 0.323) but barely changes leverage: the median ratio h(x)/h_ref is only 1.13–1.29, because the other axes produce MiniRocket features inside the span of the training features. Correspondingly, LOOM’s advantage is small. Its mean NLL on the shifted axis is 2.469 against 2.550 for PreVal (lower on 6 of 6 tasks), and its shift-detection AUROC is 0.727 against 0.712. The uncalibrated temperature-1 softmax, which is underconfident everywhere, attains the lowest NLL under this shift (1.894), but it is far worse in-domain (1.187 vs 0.579). Leverage moderation therefore protects against shifts that move inputs away from the training feature span, not against every distribution shift (Section 8).</w:t>
      </w:r>
    </w:p>
    <w:bookmarkEnd w:id="65"/>
    <w:bookmarkStart w:id="66"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0.897 of the test series with a mean set size of 1.55, against 0.927 and 2.49 for split conformal prediction. Under corruption coverage drops for every method, because exchangeability no longer holds. With the LAC score, LOOM’s flattened probabilities lead to empty sets (25.0 % of corrupted test series), whereas the APS score turns flat probabilities into larger sets (1.5 % empty, coverage 0.905).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66"/>
    <w:bookmarkStart w:id="70"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LOOM’s median fit time is 0.14 s, versus 0.14 s for PreVal, 0.26 s for five-fold Platt scaling and 3.67 s for cross-validated logistic regression, all on top of the shared MiniRocket transform (median 0.17 s). End to end, a single LOOM model therefore costs about 0.31 s (sum of medians), compared with 2.25 s for a five-seed ensemble, 1.23 s for QUANT and 4.46 s for the Arsenal. The extra prediction cost of LOOM over plain ridge is the projection onto V (Section 4.6).</w:t>
      </w:r>
    </w:p>
    <w:p>
      <w:pPr>
        <w:pStyle w:val="CaptionedFigure"/>
        <w:jc w:val="center"/>
      </w:pPr>
      <w:r>
        <w:drawing>
          <wp:inline>
            <wp:extent cx="3104066" cy="2523010"/>
            <wp:effectExtent b="0" l="0" r="0" t="0"/>
            <wp:docPr descr="Fig. 8 Fit time versus number of training series (log–log, single core)" title="" id="68" name="Picture"/>
            <a:graphic>
              <a:graphicData uri="http://schemas.openxmlformats.org/drawingml/2006/picture">
                <pic:pic>
                  <pic:nvPicPr>
                    <pic:cNvPr descr="/home/user/rp_c_3/Target_Journal_Submission/code/figures/fig_efficiency.png" id="69" name="Picture"/>
                    <pic:cNvPicPr>
                      <a:picLocks noChangeArrowheads="1" noChangeAspect="1"/>
                    </pic:cNvPicPr>
                  </pic:nvPicPr>
                  <pic:blipFill>
                    <a:blip r:embed="rId67"/>
                    <a:stretch>
                      <a:fillRect/>
                    </a:stretch>
                  </pic:blipFill>
                  <pic:spPr bwMode="auto">
                    <a:xfrm>
                      <a:off x="0" y="0"/>
                      <a:ext cx="3104066" cy="252301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70"/>
    <w:bookmarkStart w:id="71" w:name="sensitivity-rq6"/>
    <w:p>
      <w:pPr>
        <w:pStyle w:val="Heading2"/>
      </w:pPr>
      <w:r>
        <w:t xml:space="preserve">6.8 Sensitivity (RQ6)</w:t>
      </w:r>
    </w:p>
    <w:p>
      <w:pPr>
        <w:pStyle w:val="FirstParagraph"/>
      </w:pPr>
      <w:r>
        <w:t xml:space="preserve">Compared with the pre-registered limit c → ∞, the finite value c = 1 is significantly better on clean data (Δ = -0.004, p &lt; 0.001) and not significantly different under corruption (Δ = -0.004, p = 1.000), but its shift-detection AUROC is lower (Section 6.4). For conformal sets, the clean coverage of LOOM’s jackknife+ is 0.950 at α = 0.05 and 0.795 at α = 0.2.</w:t>
      </w:r>
      <w:r>
        <w:t xml:space="preserve"> </w:t>
      </w:r>
      <w:r>
        <w:rPr>
          <w:bCs/>
          <w:b/>
        </w:rPr>
        <w:t xml:space="preserve">Tuning of the logistic-regression baseline.</w:t>
      </w:r>
      <w:r>
        <w:t xml:space="preserve"> </w:t>
      </w:r>
      <w:r>
        <w:t xml:space="preserve">In a check on 12 randomly chosen datasets (official split; Online Resource 3), training LogReg-CV with 3,000 instead of 300 iterations and tolerance 10⁻⁵ instead of 10⁻³ changed its median NLL from 0.2707 to 0.2711, but improved it by 0.161 on ShapesAll, where the selected C moved to the upper end of the grid. The clean-data comparison with LogReg-CV should therefore be read as approximate for datasets with many classes. With 25 % and 50 % of the training data (official split, clean and severity-3 conditions; Online Resource 3) LOOM versus PreVal gives, on clean data, median NLL 0.522 vs 0.540, W/D/L 1/0/0, p = 1.000, n = 1 at 25 % and median NLL 0.499 vs 0.502, W/D/L 1/0/0, p = 1.000, n = 1 at 50 %; under severity-3 corruption, median NLL 0.642 vs 1.047, W/D/L 1/0/0, p = 1.000, n = 1 at 25 % and median NLL 0.625 vs 1.106, W/D/L 1/0/0, p = 1.000, n = 1 at 50 % (Table S4). The advantage under corruption is therefore not consistently retained with reduced training sets.</w:t>
      </w:r>
    </w:p>
    <w:bookmarkEnd w:id="71"/>
    <w:bookmarkStart w:id="72" w:name="error-analysis-rq7"/>
    <w:p>
      <w:pPr>
        <w:pStyle w:val="Heading2"/>
      </w:pPr>
      <w:r>
        <w:t xml:space="preserve">6.9 Error analysis (RQ7)</w:t>
      </w:r>
    </w:p>
    <w:p>
      <w:pPr>
        <w:pStyle w:val="FirstParagraph"/>
      </w:pPr>
      <w:r>
        <w:rPr>
          <w:bCs/>
          <w:b/>
        </w:rPr>
        <w:t xml:space="preserve">Where the gain comes from.</w:t>
      </w:r>
      <w:r>
        <w:t xml:space="preserve"> </w:t>
      </w:r>
      <w:r>
        <w:t xml:space="preserve">Across datasets, the NLL improvement of LOOM over PreVal under corruption is positively correlated with how much the corruptions increase leverage (Spearman ρ = 0.61, p &lt; 0.001, n = 114), which supports the intended mechanism. The share of datasets on which LOOM has the lower NLL grows with severity for every family except time warping. At severity 3 it is 95 % for noise, 89 % for spikes, 89 % for missing segments, 87 % for wander and 74 % for circular shifts, but only 53 % for time warping, whose median leverage ratio stays at 1.24. Smooth warps of up to ±20 % leave the pooled MiniRocket features largely inside the span of the training features: leverage then carries no signal and LOOM behaves like a temperature-scaled ridge. At severity 1 the win rates of the other families are only 48 %–64 %, i.e. mild corruptions are not reliably distinguished from in-distribution variation.</w:t>
      </w:r>
    </w:p>
    <w:p>
      <w:pPr>
        <w:pStyle w:val="BodyText"/>
      </w:pPr>
      <w:r>
        <w:rPr>
          <w:bCs/>
          <w:b/>
        </w:rPr>
        <w:t xml:space="preserve">Failure modes.</w:t>
      </w:r>
      <w:r>
        <w:t xml:space="preserve"> </w:t>
      </w:r>
      <w:r>
        <w:t xml:space="preserve">(i)</w:t>
      </w:r>
      <w:r>
        <w:t xml:space="preserve"> </w:t>
      </w:r>
      <w:r>
        <w:rPr>
          <w:iCs/>
          <w:i/>
        </w:rPr>
        <w:t xml:space="preserve">Over-moderation of shifted but still correct predictions.</w:t>
      </w:r>
      <w:r>
        <w:t xml:space="preserve"> </w:t>
      </w:r>
      <w:r>
        <w:t xml:space="preserve">The datasets on which LOOM loses most to PreVal under corruption (PigCVP, ECG5000, InsectEPGRegularTrain) keep comparatively high accuracy under corruption (e.g. 0.99 for InsectEPGRegularTrain) while their leverage grows (7.8×), so lowering confidence costs likelihood. Leverage measures distance from the training data, not the probability of error; across datasets the gain under corruption is negatively correlated with the accuracy retained under corruption (ρ = -0.24, p = 0.010). (ii)</w:t>
      </w:r>
      <w:r>
        <w:t xml:space="preserve"> </w:t>
      </w:r>
      <w:r>
        <w:rPr>
          <w:iCs/>
          <w:i/>
        </w:rPr>
        <w:t xml:space="preserve">Many classes with very few examples per class.</w:t>
      </w:r>
      <w:r>
        <w:t xml:space="preserve"> </w:t>
      </w:r>
      <w:r>
        <w:t xml:space="preserve">On clean data the gain over PreVal is negatively correlated with the number of classes (ρ = -0.37, p &lt; 0.001). The four largest clean losses occur on PigArtPressure, Symbols, ShapesAll and PigAirwayPressure, which have only 2 to 10 training series per class on average. With so few series per class, Platt smoothing assigns each true class only (n_k + 1)/(n_k + 2) of the target mass, and the fitted model becomes underconfident. Smoothing is also what raises LOOM’s in-distribution ECE (Section 6.1): without it, the median clean ECE is 0.041, at the level of PreVal (0.040), but the NLL under corruption is significantly worse (Section 6.4).</w:t>
      </w:r>
    </w:p>
    <w:bookmarkEnd w:id="72"/>
    <w:bookmarkEnd w:id="73"/>
    <w:bookmarkStart w:id="74" w:name="discussion"/>
    <w:p>
      <w:pPr>
        <w:pStyle w:val="Heading1"/>
      </w:pPr>
      <w:r>
        <w:t xml:space="preserve">7 Discussion</w:t>
      </w:r>
    </w:p>
    <w:p>
      <w:pPr>
        <w:pStyle w:val="FirstParagraph"/>
      </w:pPr>
      <w:r>
        <w:rPr>
          <w:bCs/>
          <w:b/>
        </w:rPr>
        <w:t xml:space="preserve">What LOOM adds to PreVal.</w:t>
      </w:r>
      <w:r>
        <w:t xml:space="preserve"> </w:t>
      </w:r>
      <w:r>
        <w:t xml:space="preserve">PreVal showed that exact LOO predictions turn ridge regression into a well-calibrated probabilistic classifier at almost no cost</w:t>
      </w:r>
      <w:r>
        <w:t xml:space="preserve"> </w:t>
      </w:r>
      <w:r>
        <w:t xml:space="preserve">(Dempster et al. 2025)</w:t>
      </w:r>
      <w:r>
        <w:t xml:space="preserve">, and our in-distribution results agree: the two are statistically indistinguishable in NLL on clean data. The difference appears when the test data move. A global scale factor keeps the confidence of a corrupted series at the level appropriate for clean data, so its NLL deteriorates quickly (median 1.728 averaged over the corruptions). LOOM uses the second exact LOO quantity, the held-out leverage, to put each prediction on the scale of its own predictive uncertainty. Its median NLL under corruption is 0.738, and its confidence separates corrupted from clean inputs better than any other readout and than QUANT (median shift AUROC 0.765 vs 0.711 for QUANT, the strongest competitor). Under corruption, QUANT, a tree ensemble on raw-series quantile features, reaches a similar NLL (0.716; not significantly different from LOOM), but at a higher clean NLL and about 4.0 times the median end-to-end fit time of LOOM including the MiniRocket transform (Tables 1 and 5). The ablation attributes the gain to the leverage moderation: PreVal with the same target smoothing remains far behind under corruption. It also shows that the exact LOO pairs matter, since fitting the same calibrator on in-sample pairs or on a hold-out split is clearly worse.</w:t>
      </w:r>
    </w:p>
    <w:p>
      <w:pPr>
        <w:pStyle w:val="BodyText"/>
      </w:pPr>
      <w:r>
        <w:rPr>
          <w:bCs/>
          <w:b/>
        </w:rPr>
        <w:t xml:space="preserve">Relation to distance-aware deep models.</w:t>
      </w:r>
      <w:r>
        <w:t xml:space="preserve"> </w:t>
      </w:r>
      <w:r>
        <w:t xml:space="preserve">The effect parallels the distance-aware single models proposed for deep networks</w:t>
      </w:r>
      <w:r>
        <w:t xml:space="preserve"> </w:t>
      </w:r>
      <w:r>
        <w:t xml:space="preserve">(Kristiadi et al. 2020; Liu et al. 2020; van Amersfoort et al. 2020)</w:t>
      </w:r>
      <w:r>
        <w:t xml:space="preserve">, which aim to become uncertain away from the training data. For a linear readout on a fixed random-kernel transform, distance awareness is available in closed form through the ridge leverage, and its calibration can be fitted without held-out data. A k-NN distance used in the same role gives similar NLL but worse shift detection than leverage. Leverage measures distance in the regularised geometry that the classifier itself uses, and it is computed from the same decomposition without an additional search over the training set.</w:t>
      </w:r>
    </w:p>
    <w:p>
      <w:pPr>
        <w:pStyle w:val="BodyText"/>
      </w:pPr>
      <w:r>
        <w:rPr>
          <w:bCs/>
          <w:b/>
        </w:rPr>
        <w:t xml:space="preserve">Which shifts are covered.</w:t>
      </w:r>
      <w:r>
        <w:t xml:space="preserve"> </w:t>
      </w:r>
      <w:r>
        <w:t xml:space="preserve">Leverage grows when a corruption pushes the random-kernel features outside the span of the training features, as noise, spikes, missing segments, wander and circular shifts do. Smooth time warps and the cross-axis transfer of Section 6.5 change the class-conditional distribution while keeping the features largely in-span. There the leverage ratio stays close to one and LOOM behaves like a globally calibrated ridge. Distance awareness is thus a complement to, not a substitute for, methods that address semantic or label shift.</w:t>
      </w:r>
    </w:p>
    <w:p>
      <w:pPr>
        <w:pStyle w:val="BodyText"/>
      </w:pPr>
      <w:r>
        <w:rPr>
          <w:bCs/>
          <w:b/>
        </w:rPr>
        <w:t xml:space="preserve">Practical guidance.</w:t>
      </w:r>
      <w:r>
        <w:t xml:space="preserve"> </w:t>
      </w:r>
      <w:r>
        <w:t xml:space="preserve">LOOM is attractive when (i) training sets are small, so that holding out data for calibration is costly; (ii) test conditions may drift, as in sensor and monitoring applications; and (iii) a single fast model is preferred over an ensemble. Its in-distribution calibration is not better than PreVal’s: practitioners who are confident that test data match the training distribution, particularly with many classes and few examples per class, may prefer PreVal (or LOOM without smoothing) for the lowest in-distribution ECE. For uncertainty sets, jackknife+ with LAC gives nominal coverage with the smallest sets on clean data. Under shift, the APS score should be used, because LAC sets become empty when LOOM flattens its probabilities; APS sets are larger but retain coverage close to the nominal level (Table 4).</w:t>
      </w:r>
    </w:p>
    <w:p>
      <w:pPr>
        <w:pStyle w:val="BodyText"/>
      </w:pPr>
      <w:r>
        <w:rPr>
          <w:bCs/>
          <w:b/>
        </w:rPr>
        <w:t xml:space="preserve">Threats to validity.</w:t>
      </w:r>
      <w:r>
        <w:t xml:space="preserve"> </w:t>
      </w:r>
      <w:r>
        <w:t xml:space="preserve">Conclusions are drawn over datasets (Wilcoxon tests with Holm correction) and hold on the datasets not used during development and on the datasets without train/test duplicates (Section 6.5). They are specific to random-kernel feature extractors with a ridge readout and to the synthetic corruptions studied; Section 8 lists further limitations.</w:t>
      </w:r>
    </w:p>
    <w:bookmarkEnd w:id="74"/>
    <w:bookmarkStart w:id="75" w:name="limitations"/>
    <w:p>
      <w:pPr>
        <w:pStyle w:val="Heading1"/>
      </w:pPr>
      <w:r>
        <w:t xml:space="preserve">8 Limitations</w:t>
      </w:r>
    </w:p>
    <w:p>
      <w:pPr>
        <w:pStyle w:val="FirstParagraph"/>
      </w:pPr>
      <w:r>
        <w:t xml:space="preserve">The study has the following limitations.</w:t>
      </w:r>
    </w:p>
    <w:p>
      <w:pPr>
        <w:pStyle w:val="BodyText"/>
      </w:pPr>
      <w:r>
        <w:rPr>
          <w:iCs/>
          <w:i/>
        </w:rPr>
        <w:t xml:space="preserve">Scope of data and shift.</w:t>
      </w:r>
      <w:r>
        <w:t xml:space="preserve"> </w:t>
      </w:r>
      <w:r>
        <w:t xml:space="preserve">All experiments use univariate, equal-length UCR datasets. The corruptions are synthetic and test-time only: they model sensor noise, drift, dropouts, artefacts and misalignment, but not real deployment shifts such as new subjects, devices or recording sites, and not label shift. Multivariate series and real domain-shift benchmarks</w:t>
      </w:r>
      <w:r>
        <w:t xml:space="preserve"> </w:t>
      </w:r>
      <w:r>
        <w:t xml:space="preserve">(Ruiz et al. 2020; Ragab et al. 2023)</w:t>
      </w:r>
      <w:r>
        <w:t xml:space="preserve"> </w:t>
      </w:r>
      <w:r>
        <w:t xml:space="preserve">remain to be studied.</w:t>
      </w:r>
    </w:p>
    <w:p>
      <w:pPr>
        <w:pStyle w:val="BodyText"/>
      </w:pPr>
      <w:r>
        <w:rPr>
          <w:iCs/>
          <w:i/>
        </w:rPr>
        <w:t xml:space="preserve">Natural shift.</w:t>
      </w:r>
      <w:r>
        <w:t xml:space="preserve"> </w:t>
      </w:r>
      <w:r>
        <w:t xml:space="preserve">The only natural shift studied (UWaveGestureLibrary cross-axis transfer) barely changes leverage, and LOOM gains little there (Section 6.5). The benefit on real deployment shifts therefore depends on whether they move inputs off the training feature span.</w:t>
      </w:r>
    </w:p>
    <w:p>
      <w:pPr>
        <w:pStyle w:val="BodyText"/>
      </w:pPr>
      <w:r>
        <w:rPr>
          <w:iCs/>
          <w:i/>
        </w:rPr>
        <w:t xml:space="preserve">Approximations in the LOO quantities.</w:t>
      </w:r>
      <w:r>
        <w:t xml:space="preserve"> </w:t>
      </w:r>
      <w:r>
        <w:t xml:space="preserve">The identities in Section 4.2 are exact for fixed standardisation and fixed MiniRocket biases, but both are estimated on all n training series. In addition, λ and the temperature are selected on the same LOO pairs used to fit them. The LOO negative log-likelihood is therefore slightly optimistic, and the jackknife+ coverage guarantee</w:t>
      </w:r>
      <w:r>
        <w:t xml:space="preserve"> </w:t>
      </w:r>
      <w:r>
        <w:t xml:space="preserve">(Barber et al. 2021)</w:t>
      </w:r>
      <w:r>
        <w:t xml:space="preserve"> </w:t>
      </w:r>
      <w:r>
        <w:t xml:space="preserve">holds only approximately. We assessed coverage empirically instead.</w:t>
      </w:r>
    </w:p>
    <w:p>
      <w:pPr>
        <w:pStyle w:val="BodyText"/>
      </w:pPr>
      <w:r>
        <w:rPr>
          <w:iCs/>
          <w:i/>
        </w:rPr>
        <w:t xml:space="preserve">Behaviour of the moderation.</w:t>
      </w:r>
      <w:r>
        <w:t xml:space="preserve"> </w:t>
      </w:r>
      <w:r>
        <w:t xml:space="preserve">Leverage measures distance from the training data in the regularised feature geometry. It does not detect shifts that leave the features inside the span of the training data (for example, label noise or a change of class priors), and it lowers confidence even for shifted inputs that are still classified correctly (Section 6.9). Platt target smoothing, needed when LOO predictions are separable, makes the model underconfident on datasets with very few training series per class, which raised the clean ECE (Section 6.9).</w:t>
      </w:r>
    </w:p>
    <w:p>
      <w:pPr>
        <w:pStyle w:val="BodyText"/>
      </w:pPr>
      <w:r>
        <w:rPr>
          <w:iCs/>
          <w:i/>
        </w:rPr>
        <w:t xml:space="preserve">Compute-driven protocol choices.</w:t>
      </w:r>
      <w:r>
        <w:t xml:space="preserve"> </w:t>
      </w:r>
      <w:r>
        <w:t xml:space="preserve">All experiments ran on a 4-core CPU without a GPU in a cloud container that restarted several times. For this reason, and decided before results were inspected (Online Resource 2): ensembles, other extractors and the Arsenal were evaluated on the official split only; the Arsenal used aeon’s MiniRocket-kernel configuration; Rocket features were not evaluated; logistic regression was skipped for the four datasets with more than 2,000 training series (Crop, ElectricDevices, FordA, FordB); conformal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deep distance-aware models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The logistic-regression baseline used 300 iterations and a C grid ending at 1; a check on 12 datasets showed that longer training changes its median NLL negligibly but can improve it noticeably on datasets with many classes (Section 6.8).</w:t>
      </w:r>
    </w:p>
    <w:p>
      <w:pPr>
        <w:pStyle w:val="BodyText"/>
      </w:pPr>
      <w:r>
        <w:rPr>
          <w:iCs/>
          <w:i/>
        </w:rPr>
        <w:t xml:space="preserve">Development exposure.</w:t>
      </w:r>
      <w:r>
        <w:t xml:space="preserve"> </w:t>
      </w:r>
      <w:r>
        <w:t xml:space="preserve">The method was designed on eight datasets and the pipeline was tested on six more. Results restricted to the remaining datasets are reported (Section 6.5), but some optimism from design choices made on development data cannot be fully excluded.</w:t>
      </w:r>
    </w:p>
    <w:p>
      <w:pPr>
        <w:pStyle w:val="BodyText"/>
      </w:pPr>
      <w:r>
        <w:rPr>
          <w:iCs/>
          <w:i/>
        </w:rPr>
        <w:t xml:space="preserve">Memory.</w:t>
      </w:r>
      <w:r>
        <w:t xml:space="preserve"> </w:t>
      </w:r>
      <w:r>
        <w:t xml:space="preserve">LOOM stores the factors U and V, i.e. O((n + p)r) numbers. For training sets much larger than those in the UCR archive, randomised or incremental SVDs would be needed, and the exactness of the LOO identities would then be lost.</w:t>
      </w:r>
    </w:p>
    <w:bookmarkEnd w:id="75"/>
    <w:bookmarkStart w:id="76" w:name="conclusion"/>
    <w:p>
      <w:pPr>
        <w:pStyle w:val="Heading1"/>
      </w:pPr>
      <w:r>
        <w:t xml:space="preserve">9 Conclusion</w:t>
      </w:r>
    </w:p>
    <w:p>
      <w:pPr>
        <w:pStyle w:val="FirstParagraph"/>
      </w:pPr>
      <w:r>
        <w:t xml:space="preserve">We proposed LOOM, a closed-form probabilistic readout for random convolutional kernel time series classifiers. It divides ridge logits by the square root of their leverage and fits one temperature and the ridge penalty on exact leave-one-out score–leverage pairs, so it needs no held-out data, refitting or ensembles. The same identities give exact jackknife+ prediction sets. On 114 UCR datasets with five resamples, LOOM matches the best existing closed-form readout (PreVal) in-distribution in NLL, at the price of a higher ECE caused by target smoothing. Under 18 synthetic test-time corruptions it reduces the median NLL from 1.728 to 0.738, better than the other closed-form and cross-validated readouts, and its confidence detects corrupted inputs much better (median AUROC 0.765 vs 0.563). The fit costs essentially the same as the ridge readout itself. The protection is specific to shifts that move inputs away from the training feature span: under a natural cross-axis sensor shift that leaves leverage almost unchanged, its advantage over PreVal is small. Future work includes multivariate series, real deployment shifts, adaptive smoothing for many-class few-shot problems, and moderation signals that also respond to shifts that leave the feature span unchanged.</w:t>
      </w:r>
    </w:p>
    <w:bookmarkEnd w:id="76"/>
    <w:bookmarkStart w:id="171" w:name="references"/>
    <w:p>
      <w:pPr>
        <w:pStyle w:val="Heading1"/>
      </w:pPr>
      <w:r>
        <w:t xml:space="preserve">References</w:t>
      </w:r>
    </w:p>
    <w:bookmarkStart w:id="170" w:name="refs"/>
    <w:bookmarkStart w:id="78" w:name="ref-abdar2021"/>
    <w:p>
      <w:pPr>
        <w:pStyle w:val="Bibliography"/>
      </w:pPr>
      <w:r>
        <w:t xml:space="preserve">Abdar M, Pourpanah F, Hussain S, et al (2021)</w:t>
      </w:r>
      <w:r>
        <w:t xml:space="preserve"> </w:t>
      </w:r>
      <w:hyperlink r:id="rId77">
        <w:r>
          <w:rPr>
            <w:rStyle w:val="Hyperlink"/>
          </w:rPr>
          <w:t xml:space="preserve">A review of uncertainty quantification in deep learning: Techniques, applications and challenges</w:t>
        </w:r>
      </w:hyperlink>
      <w:r>
        <w:t xml:space="preserve">. Information Fusion 76:243–297</w:t>
      </w:r>
    </w:p>
    <w:bookmarkEnd w:id="78"/>
    <w:bookmarkStart w:id="80" w:name="ref-allen1974"/>
    <w:p>
      <w:pPr>
        <w:pStyle w:val="Bibliography"/>
      </w:pPr>
      <w:r>
        <w:t xml:space="preserve">Allen DM (1974)</w:t>
      </w:r>
      <w:r>
        <w:t xml:space="preserve"> </w:t>
      </w:r>
      <w:hyperlink r:id="rId79">
        <w:r>
          <w:rPr>
            <w:rStyle w:val="Hyperlink"/>
          </w:rPr>
          <w:t xml:space="preserve">The Relationship Between Variable Selection and Data Agumentation and a Method for Prediction</w:t>
        </w:r>
      </w:hyperlink>
      <w:r>
        <w:t xml:space="preserve">. Technometrics 16:125–127</w:t>
      </w:r>
    </w:p>
    <w:bookmarkEnd w:id="80"/>
    <w:bookmarkStart w:id="82" w:name="ref-angelopoulos2023"/>
    <w:p>
      <w:pPr>
        <w:pStyle w:val="Bibliography"/>
      </w:pPr>
      <w:r>
        <w:t xml:space="preserve">Angelopoulos AN, Bates S (2023)</w:t>
      </w:r>
      <w:r>
        <w:t xml:space="preserve"> </w:t>
      </w:r>
      <w:hyperlink r:id="rId81">
        <w:r>
          <w:rPr>
            <w:rStyle w:val="Hyperlink"/>
          </w:rPr>
          <w:t xml:space="preserve">Conformal Prediction: A Gentle Introduction</w:t>
        </w:r>
      </w:hyperlink>
      <w:r>
        <w:t xml:space="preserve">. Foundations and Trends® in Machine Learning 16:494–591</w:t>
      </w:r>
    </w:p>
    <w:bookmarkEnd w:id="82"/>
    <w:bookmarkStart w:id="83"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3"/>
    <w:bookmarkStart w:id="85" w:name="ref-bagnall2017bakeoff"/>
    <w:p>
      <w:pPr>
        <w:pStyle w:val="Bibliography"/>
      </w:pPr>
      <w:r>
        <w:t xml:space="preserve">Bagnall A, Lines J, Bostrom A, et al (2016)</w:t>
      </w:r>
      <w:r>
        <w:t xml:space="preserve"> </w:t>
      </w:r>
      <w:hyperlink r:id="rId84">
        <w:r>
          <w:rPr>
            <w:rStyle w:val="Hyperlink"/>
          </w:rPr>
          <w:t xml:space="preserve">The great time series classification bake off: a review and experimental evaluation of recent algorithmic advances</w:t>
        </w:r>
      </w:hyperlink>
      <w:r>
        <w:t xml:space="preserve">. Data Mining and Knowledge Discovery 31:606–660</w:t>
      </w:r>
    </w:p>
    <w:bookmarkEnd w:id="85"/>
    <w:bookmarkStart w:id="87" w:name="ref-barber2021"/>
    <w:p>
      <w:pPr>
        <w:pStyle w:val="Bibliography"/>
      </w:pPr>
      <w:r>
        <w:t xml:space="preserve">Barber RF, Candès EJ, Ramdas A, Tibshirani RJ (2021)</w:t>
      </w:r>
      <w:r>
        <w:t xml:space="preserve"> </w:t>
      </w:r>
      <w:hyperlink r:id="rId86">
        <w:r>
          <w:rPr>
            <w:rStyle w:val="Hyperlink"/>
          </w:rPr>
          <w:t xml:space="preserve">Predictive inference with the jackknife+</w:t>
        </w:r>
      </w:hyperlink>
      <w:r>
        <w:t xml:space="preserve">. The Annals of Statistics 49:486–507</w:t>
      </w:r>
    </w:p>
    <w:bookmarkEnd w:id="87"/>
    <w:bookmarkStart w:id="88" w:name="ref-benavoli2016"/>
    <w:p>
      <w:pPr>
        <w:pStyle w:val="Bibliography"/>
      </w:pPr>
      <w:r>
        <w:t xml:space="preserve">Benavoli A, Corani G, Mangili F (2016) Should we really use post-hoc tests based on mean-ranks? Journal of Machine Learning Research 17:1–10</w:t>
      </w:r>
    </w:p>
    <w:bookmarkEnd w:id="88"/>
    <w:bookmarkStart w:id="89" w:name="ref-burnaev2014"/>
    <w:p>
      <w:pPr>
        <w:pStyle w:val="Bibliography"/>
      </w:pPr>
      <w:r>
        <w:t xml:space="preserve">Burnaev E, Vovk V (2014) Efficiency of conformalized ridge regression. In: Proceedings of the 27th Conference on Learning Theory. pp 605–622</w:t>
      </w:r>
    </w:p>
    <w:bookmarkEnd w:id="89"/>
    <w:bookmarkStart w:id="91" w:name="ref-cawley2004"/>
    <w:p>
      <w:pPr>
        <w:pStyle w:val="Bibliography"/>
      </w:pPr>
      <w:r>
        <w:t xml:space="preserve">Cawley GC, Talbot NLC (2004)</w:t>
      </w:r>
      <w:r>
        <w:t xml:space="preserve"> </w:t>
      </w:r>
      <w:hyperlink r:id="rId90">
        <w:r>
          <w:rPr>
            <w:rStyle w:val="Hyperlink"/>
          </w:rPr>
          <w:t xml:space="preserve">Fast exact leave-one-out cross-validation of sparse least-squares support vector machines</w:t>
        </w:r>
      </w:hyperlink>
      <w:r>
        <w:t xml:space="preserve">. Neural Networks 17:1467–1475</w:t>
      </w:r>
    </w:p>
    <w:bookmarkEnd w:id="91"/>
    <w:bookmarkStart w:id="93" w:name="ref-dau2019ucr"/>
    <w:p>
      <w:pPr>
        <w:pStyle w:val="Bibliography"/>
      </w:pPr>
      <w:r>
        <w:t xml:space="preserve">Dau HA, Bagnall A, Kamgar K, et al (2019)</w:t>
      </w:r>
      <w:r>
        <w:t xml:space="preserve"> </w:t>
      </w:r>
      <w:hyperlink r:id="rId92">
        <w:r>
          <w:rPr>
            <w:rStyle w:val="Hyperlink"/>
          </w:rPr>
          <w:t xml:space="preserve">The UCR time series archive</w:t>
        </w:r>
      </w:hyperlink>
      <w:r>
        <w:t xml:space="preserve">. IEEE/CAA Journal of Automatica Sinica 6:1293–1305</w:t>
      </w:r>
    </w:p>
    <w:bookmarkEnd w:id="93"/>
    <w:bookmarkStart w:id="95" w:name="ref-dempster2020rocket"/>
    <w:p>
      <w:pPr>
        <w:pStyle w:val="Bibliography"/>
      </w:pPr>
      <w:r>
        <w:t xml:space="preserve">Dempster A, Petitjean F, Webb GI (2020)</w:t>
      </w:r>
      <w:r>
        <w:t xml:space="preserve"> </w:t>
      </w:r>
      <w:hyperlink r:id="rId94">
        <w:r>
          <w:rPr>
            <w:rStyle w:val="Hyperlink"/>
          </w:rPr>
          <w:t xml:space="preserve">ROCKET: exceptionally fast and accurate time series classification using random convolutional kernels</w:t>
        </w:r>
      </w:hyperlink>
      <w:r>
        <w:t xml:space="preserve">. Data Mining and Knowledge Discovery 34:1454–1495</w:t>
      </w:r>
    </w:p>
    <w:bookmarkEnd w:id="95"/>
    <w:bookmarkStart w:id="97" w:name="ref-dempster2021minirocket"/>
    <w:p>
      <w:pPr>
        <w:pStyle w:val="Bibliography"/>
      </w:pPr>
      <w:r>
        <w:t xml:space="preserve">Dempster A, Schmidt DF, Webb GI (2021)</w:t>
      </w:r>
      <w:r>
        <w:t xml:space="preserve"> </w:t>
      </w:r>
      <w:hyperlink r:id="rId96">
        <w:r>
          <w:rPr>
            <w:rStyle w:val="Hyperlink"/>
          </w:rPr>
          <w:t xml:space="preserve">MiniRocket</w:t>
        </w:r>
      </w:hyperlink>
      <w:r>
        <w:t xml:space="preserve">. Proceedings of the 27th ACM SIGKDD Conference on Knowledge Discovery &amp;amp; Data Mining 248–257</w:t>
      </w:r>
    </w:p>
    <w:bookmarkEnd w:id="97"/>
    <w:bookmarkStart w:id="99" w:name="ref-dempster2023hydra"/>
    <w:p>
      <w:pPr>
        <w:pStyle w:val="Bibliography"/>
      </w:pPr>
      <w:r>
        <w:t xml:space="preserve">Dempster A, Schmidt DF, Webb GI (2023)</w:t>
      </w:r>
      <w:r>
        <w:t xml:space="preserve"> </w:t>
      </w:r>
      <w:hyperlink r:id="rId98">
        <w:r>
          <w:rPr>
            <w:rStyle w:val="Hyperlink"/>
          </w:rPr>
          <w:t xml:space="preserve">Hydra: competing convolutional kernels for fast and accurate time series classification</w:t>
        </w:r>
      </w:hyperlink>
      <w:r>
        <w:t xml:space="preserve">. Data Mining and Knowledge Discovery 37:1779–1805</w:t>
      </w:r>
    </w:p>
    <w:bookmarkEnd w:id="99"/>
    <w:bookmarkStart w:id="101" w:name="ref-dempster2024quant"/>
    <w:p>
      <w:pPr>
        <w:pStyle w:val="Bibliography"/>
      </w:pPr>
      <w:r>
        <w:t xml:space="preserve">Dempster A, Schmidt DF, Webb GI (2024)</w:t>
      </w:r>
      <w:r>
        <w:t xml:space="preserve"> </w:t>
      </w:r>
      <w:hyperlink r:id="rId100">
        <w:r>
          <w:rPr>
            <w:rStyle w:val="Hyperlink"/>
          </w:rPr>
          <w:t xml:space="preserve">quant: a minimalist interval method for time series classification</w:t>
        </w:r>
      </w:hyperlink>
      <w:r>
        <w:t xml:space="preserve">. Data Mining and Knowledge Discovery 38:2377–2402</w:t>
      </w:r>
    </w:p>
    <w:bookmarkEnd w:id="101"/>
    <w:bookmarkStart w:id="103" w:name="ref-dempster2025preval"/>
    <w:p>
      <w:pPr>
        <w:pStyle w:val="Bibliography"/>
      </w:pPr>
      <w:r>
        <w:t xml:space="preserve">Dempster A, Webb GI, Schmidt DF (2025)</w:t>
      </w:r>
      <w:r>
        <w:t xml:space="preserve"> </w:t>
      </w:r>
      <w:hyperlink r:id="rId102">
        <w:r>
          <w:rPr>
            <w:rStyle w:val="Hyperlink"/>
          </w:rPr>
          <w:t xml:space="preserve">Prevalidated ridge regression is a highly-efficient drop-in replacement for logistic regression for high-dimensional data</w:t>
        </w:r>
      </w:hyperlink>
      <w:r>
        <w:t xml:space="preserve">. arXiv preprint arXiv:2401.15610 (version 2)</w:t>
      </w:r>
    </w:p>
    <w:bookmarkEnd w:id="103"/>
    <w:bookmarkStart w:id="104" w:name="ref-demsar2006"/>
    <w:p>
      <w:pPr>
        <w:pStyle w:val="Bibliography"/>
      </w:pPr>
      <w:r>
        <w:t xml:space="preserve">Demšar J (2006) Statistical comparisons of classifiers over multiple data sets. Journal of Machine Learning Research 7:1–30</w:t>
      </w:r>
    </w:p>
    <w:bookmarkEnd w:id="104"/>
    <w:bookmarkStart w:id="106" w:name="ref-gawlikowski2023"/>
    <w:p>
      <w:pPr>
        <w:pStyle w:val="Bibliography"/>
      </w:pPr>
      <w:r>
        <w:t xml:space="preserve">Gawlikowski J, Tassi CRN, Ali M, et al (2023)</w:t>
      </w:r>
      <w:r>
        <w:t xml:space="preserve"> </w:t>
      </w:r>
      <w:hyperlink r:id="rId105">
        <w:r>
          <w:rPr>
            <w:rStyle w:val="Hyperlink"/>
          </w:rPr>
          <w:t xml:space="preserve">A survey of uncertainty in deep neural networks</w:t>
        </w:r>
      </w:hyperlink>
      <w:r>
        <w:t xml:space="preserve">. Artificial Intelligence Review 56:1513–1589</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w:t>
      </w:r>
      <w:r>
        <w:t xml:space="preserve"> </w:t>
      </w:r>
      <w:hyperlink r:id="rId108">
        <w:r>
          <w:rPr>
            <w:rStyle w:val="Hyperlink"/>
          </w:rPr>
          <w:t xml:space="preserve">Generalized Cross-Validation as a Method for Choosing a Good Ridge Parameter</w:t>
        </w:r>
      </w:hyperlink>
      <w:r>
        <w:t xml:space="preserve">. Technometrics 21:215–223</w:t>
      </w:r>
    </w:p>
    <w:bookmarkEnd w:id="109"/>
    <w:bookmarkStart w:id="110" w:name="ref-guo2017"/>
    <w:p>
      <w:pPr>
        <w:pStyle w:val="Bibliography"/>
      </w:pPr>
      <w:r>
        <w:t xml:space="preserve">Guo C, Pleiss G, Sun Y, Weinberger KQ (2017) On calibration of modern neural networks. In: Proceedings of the 34th International Conference on Machine Learning.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w:t>
      </w:r>
      <w:r>
        <w:t xml:space="preserve"> </w:t>
      </w:r>
      <w:hyperlink r:id="rId113">
        <w:r>
          <w:rPr>
            <w:rStyle w:val="Hyperlink"/>
          </w:rPr>
          <w:t xml:space="preserve">The Hat Matrix in Regression and ANOVA</w:t>
        </w:r>
      </w:hyperlink>
      <w:r>
        <w:t xml:space="preserve">. The American Statistician 32:17–22</w:t>
      </w:r>
    </w:p>
    <w:bookmarkEnd w:id="114"/>
    <w:bookmarkStart w:id="115" w:name="ref-holm1979"/>
    <w:p>
      <w:pPr>
        <w:pStyle w:val="Bibliography"/>
      </w:pPr>
      <w:r>
        <w:t xml:space="preserve">Holm S (1979) A simple sequentially rejective multiple test procedure. Scandinavian Journal of Statistics 6:65–70</w:t>
      </w:r>
    </w:p>
    <w:bookmarkEnd w:id="115"/>
    <w:bookmarkStart w:id="117" w:name="ref-ismailfawaz2019review"/>
    <w:p>
      <w:pPr>
        <w:pStyle w:val="Bibliography"/>
      </w:pPr>
      <w:r>
        <w:t xml:space="preserve">Ismail Fawaz H, Forestier G, Weber J, et al (2019)</w:t>
      </w:r>
      <w:r>
        <w:t xml:space="preserve"> </w:t>
      </w:r>
      <w:hyperlink r:id="rId116">
        <w:r>
          <w:rPr>
            <w:rStyle w:val="Hyperlink"/>
          </w:rPr>
          <w:t xml:space="preserve">Deep learning for time series classification: a review</w:t>
        </w:r>
      </w:hyperlink>
      <w:r>
        <w:t xml:space="preserve">. Data Mining and Knowledge Discovery 33:917–963</w:t>
      </w:r>
    </w:p>
    <w:bookmarkEnd w:id="117"/>
    <w:bookmarkStart w:id="119" w:name="ref-ismailfawaz2020inception"/>
    <w:p>
      <w:pPr>
        <w:pStyle w:val="Bibliography"/>
      </w:pPr>
      <w:r>
        <w:t xml:space="preserve">Ismail Fawaz H, Lucas B, Forestier G, et al (2020)</w:t>
      </w:r>
      <w:r>
        <w:t xml:space="preserve"> </w:t>
      </w:r>
      <w:hyperlink r:id="rId118">
        <w:r>
          <w:rPr>
            <w:rStyle w:val="Hyperlink"/>
          </w:rPr>
          <w:t xml:space="preserve">InceptionTime: Finding AlexNet for time series classification</w:t>
        </w:r>
      </w:hyperlink>
      <w:r>
        <w:t xml:space="preserve">. Data Mining and Knowledge Discovery 34:1936–1962</w:t>
      </w:r>
    </w:p>
    <w:bookmarkEnd w:id="119"/>
    <w:bookmarkStart w:id="121" w:name="ref-iwana2021"/>
    <w:p>
      <w:pPr>
        <w:pStyle w:val="Bibliography"/>
      </w:pPr>
      <w:r>
        <w:t xml:space="preserve">Iwana BK, Uchida S (2021)</w:t>
      </w:r>
      <w:r>
        <w:t xml:space="preserve"> </w:t>
      </w:r>
      <w:hyperlink r:id="rId120">
        <w:r>
          <w:rPr>
            <w:rStyle w:val="Hyperlink"/>
          </w:rPr>
          <w:t xml:space="preserve">An empirical survey of data augmentation for time series classification with neural networks</w:t>
        </w:r>
      </w:hyperlink>
      <w:r>
        <w:t xml:space="preserve">. PLOS ONE 16:e0254841</w:t>
      </w:r>
    </w:p>
    <w:bookmarkEnd w:id="121"/>
    <w:bookmarkStart w:id="123" w:name="ref-kerby2014"/>
    <w:p>
      <w:pPr>
        <w:pStyle w:val="Bibliography"/>
      </w:pPr>
      <w:r>
        <w:t xml:space="preserve">Kerby DS (2014)</w:t>
      </w:r>
      <w:r>
        <w:t xml:space="preserve"> </w:t>
      </w:r>
      <w:hyperlink r:id="rId122">
        <w:r>
          <w:rPr>
            <w:rStyle w:val="Hyperlink"/>
          </w:rPr>
          <w:t xml:space="preserve">The Simple Difference Formula: An Approach to Teaching Nonparametric Correlation</w:t>
        </w:r>
      </w:hyperlink>
      <w:r>
        <w:t xml:space="preserve">. Comprehensive Psychology 3:11.IT.3.1</w:t>
      </w:r>
    </w:p>
    <w:bookmarkEnd w:id="123"/>
    <w:bookmarkStart w:id="124"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24"/>
    <w:bookmarkStart w:id="125"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25"/>
    <w:bookmarkStart w:id="126"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6"/>
    <w:bookmarkStart w:id="128" w:name="ref-lei2018"/>
    <w:p>
      <w:pPr>
        <w:pStyle w:val="Bibliography"/>
      </w:pPr>
      <w:r>
        <w:t xml:space="preserve">Lei J, G’Sell M, Rinaldo A, et al (2018)</w:t>
      </w:r>
      <w:r>
        <w:t xml:space="preserve"> </w:t>
      </w:r>
      <w:hyperlink r:id="rId127">
        <w:r>
          <w:rPr>
            <w:rStyle w:val="Hyperlink"/>
          </w:rPr>
          <w:t xml:space="preserve">Distribution-Free Predictive Inference for Regression</w:t>
        </w:r>
      </w:hyperlink>
      <w:r>
        <w:t xml:space="preserve">. Journal of the American Statistical Association 113:1094–1111</w:t>
      </w:r>
    </w:p>
    <w:bookmarkEnd w:id="128"/>
    <w:bookmarkStart w:id="129"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29"/>
    <w:bookmarkStart w:id="130" w:name="ref-liu2023sngp"/>
    <w:p>
      <w:pPr>
        <w:pStyle w:val="Bibliography"/>
      </w:pPr>
      <w:r>
        <w:t xml:space="preserve">Liu JZ, Padhy S, Ren J, et al (2023) A simple approach to improve single-model deep uncertainty via distance-awareness. Journal of Machine Learning Research 24:1–63</w:t>
      </w:r>
    </w:p>
    <w:bookmarkEnd w:id="130"/>
    <w:bookmarkStart w:id="132" w:name="ref-mackay1992"/>
    <w:p>
      <w:pPr>
        <w:pStyle w:val="Bibliography"/>
      </w:pPr>
      <w:r>
        <w:t xml:space="preserve">MacKay DJC (1992)</w:t>
      </w:r>
      <w:r>
        <w:t xml:space="preserve"> </w:t>
      </w:r>
      <w:hyperlink r:id="rId131">
        <w:r>
          <w:rPr>
            <w:rStyle w:val="Hyperlink"/>
          </w:rPr>
          <w:t xml:space="preserve">The Evidence Framework Applied to Classification Networks</w:t>
        </w:r>
      </w:hyperlink>
      <w:r>
        <w:t xml:space="preserve">. Neural Computation 4:720–736</w:t>
      </w:r>
    </w:p>
    <w:bookmarkEnd w:id="132"/>
    <w:bookmarkStart w:id="133" w:name="ref-aeon2024"/>
    <w:p>
      <w:pPr>
        <w:pStyle w:val="Bibliography"/>
      </w:pPr>
      <w:r>
        <w:t xml:space="preserve">Middlehurst M, Ismail-Fawaz A, Guillaume A, et al (2024a) aeon: a Python toolkit for learning from time series. Journal of Machine Learning Research 25:1–10</w:t>
      </w:r>
    </w:p>
    <w:bookmarkEnd w:id="133"/>
    <w:bookmarkStart w:id="135" w:name="ref-middlehurst2021hc2"/>
    <w:p>
      <w:pPr>
        <w:pStyle w:val="Bibliography"/>
      </w:pPr>
      <w:r>
        <w:t xml:space="preserve">Middlehurst M, Large J, Flynn M, et al (2021)</w:t>
      </w:r>
      <w:r>
        <w:t xml:space="preserve"> </w:t>
      </w:r>
      <w:hyperlink r:id="rId134">
        <w:r>
          <w:rPr>
            <w:rStyle w:val="Hyperlink"/>
          </w:rPr>
          <w:t xml:space="preserve">HIVE-COTE 2.0: a new meta ensemble for time series classification</w:t>
        </w:r>
      </w:hyperlink>
      <w:r>
        <w:t xml:space="preserve">. Machine Learning 110:3211–3243</w:t>
      </w:r>
    </w:p>
    <w:bookmarkEnd w:id="135"/>
    <w:bookmarkStart w:id="137" w:name="ref-middlehurst2024bakeoff"/>
    <w:p>
      <w:pPr>
        <w:pStyle w:val="Bibliography"/>
      </w:pPr>
      <w:r>
        <w:t xml:space="preserve">Middlehurst M, Schäfer P, Bagnall A (2024b)</w:t>
      </w:r>
      <w:r>
        <w:t xml:space="preserve"> </w:t>
      </w:r>
      <w:hyperlink r:id="rId136">
        <w:r>
          <w:rPr>
            <w:rStyle w:val="Hyperlink"/>
          </w:rPr>
          <w:t xml:space="preserve">Bake off redux: a review and experimental evaluation of recent time series classification algorithms</w:t>
        </w:r>
      </w:hyperlink>
      <w:r>
        <w:t xml:space="preserve">. Data Mining and Knowledge Discovery 38:1958–2031</w:t>
      </w:r>
    </w:p>
    <w:bookmarkEnd w:id="137"/>
    <w:bookmarkStart w:id="139" w:name="ref-niculescu2005"/>
    <w:p>
      <w:pPr>
        <w:pStyle w:val="Bibliography"/>
      </w:pPr>
      <w:r>
        <w:t xml:space="preserve">Niculescu-Mizil A, Caruana R (2005)</w:t>
      </w:r>
      <w:r>
        <w:t xml:space="preserve"> </w:t>
      </w:r>
      <w:hyperlink r:id="rId138">
        <w:r>
          <w:rPr>
            <w:rStyle w:val="Hyperlink"/>
          </w:rPr>
          <w:t xml:space="preserve">Predicting good probabilities with supervised learning</w:t>
        </w:r>
      </w:hyperlink>
      <w:r>
        <w:t xml:space="preserve">. Proceedings of the 22nd international conference on Machine learning - ICML ’05 625–632</w:t>
      </w:r>
    </w:p>
    <w:bookmarkEnd w:id="139"/>
    <w:bookmarkStart w:id="140"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0"/>
    <w:bookmarkStart w:id="141"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1"/>
    <w:bookmarkStart w:id="142" w:name="ref-pedregosa2011"/>
    <w:p>
      <w:pPr>
        <w:pStyle w:val="Bibliography"/>
      </w:pPr>
      <w:r>
        <w:t xml:space="preserve">Pedregosa F, Varoquaux G, Gramfort A, et al (2011) Scikit-learn: machine learning in Python. Journal of Machine Learning Research 12:2825–2830</w:t>
      </w:r>
    </w:p>
    <w:bookmarkEnd w:id="142"/>
    <w:bookmarkStart w:id="143"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3"/>
    <w:bookmarkStart w:id="145" w:name="ref-ragab2023"/>
    <w:p>
      <w:pPr>
        <w:pStyle w:val="Bibliography"/>
      </w:pPr>
      <w:r>
        <w:t xml:space="preserve">Ragab M, Eldele E, Tan WL, et al (2023)</w:t>
      </w:r>
      <w:r>
        <w:t xml:space="preserve"> </w:t>
      </w:r>
      <w:hyperlink r:id="rId144">
        <w:r>
          <w:rPr>
            <w:rStyle w:val="Hyperlink"/>
          </w:rPr>
          <w:t xml:space="preserve">ADATIME: A Benchmarking Suite for Domain Adaptation on Time Series Data</w:t>
        </w:r>
      </w:hyperlink>
      <w:r>
        <w:t xml:space="preserve">. ACM Transactions on Knowledge Discovery from Data 17:1–18</w:t>
      </w:r>
    </w:p>
    <w:bookmarkEnd w:id="145"/>
    <w:bookmarkStart w:id="146" w:name="ref-romano2020"/>
    <w:p>
      <w:pPr>
        <w:pStyle w:val="Bibliography"/>
      </w:pPr>
      <w:r>
        <w:t xml:space="preserve">Romano Y, Sesia M, Candès EJ (2020) Classification with valid and adaptive coverage. In: Advances in Neural Information Processing Systems</w:t>
      </w:r>
    </w:p>
    <w:bookmarkEnd w:id="146"/>
    <w:bookmarkStart w:id="148" w:name="ref-ruiz2021"/>
    <w:p>
      <w:pPr>
        <w:pStyle w:val="Bibliography"/>
      </w:pPr>
      <w:r>
        <w:t xml:space="preserve">Ruiz AP, Flynn M, Large J, et al (2020)</w:t>
      </w:r>
      <w:r>
        <w:t xml:space="preserve"> </w:t>
      </w:r>
      <w:hyperlink r:id="rId147">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48"/>
    <w:bookmarkStart w:id="150" w:name="ref-sadinle2019"/>
    <w:p>
      <w:pPr>
        <w:pStyle w:val="Bibliography"/>
      </w:pPr>
      <w:r>
        <w:t xml:space="preserve">Sadinle M, Lei J, Wasserman L (2018)</w:t>
      </w:r>
      <w:r>
        <w:t xml:space="preserve"> </w:t>
      </w:r>
      <w:hyperlink r:id="rId149">
        <w:r>
          <w:rPr>
            <w:rStyle w:val="Hyperlink"/>
          </w:rPr>
          <w:t xml:space="preserve">Least Ambiguous Set-Valued Classifiers With Bounded Error Levels</w:t>
        </w:r>
      </w:hyperlink>
      <w:r>
        <w:t xml:space="preserve">. Journal of the American Statistical Association 114:223–234</w:t>
      </w:r>
    </w:p>
    <w:bookmarkEnd w:id="150"/>
    <w:bookmarkStart w:id="152" w:name="ref-silvafilho2023"/>
    <w:p>
      <w:pPr>
        <w:pStyle w:val="Bibliography"/>
      </w:pPr>
      <w:r>
        <w:t xml:space="preserve">Silva Filho T, Song H, Perello-Nieto M, et al (2023)</w:t>
      </w:r>
      <w:r>
        <w:t xml:space="preserve"> </w:t>
      </w:r>
      <w:hyperlink r:id="rId151">
        <w:r>
          <w:rPr>
            <w:rStyle w:val="Hyperlink"/>
          </w:rPr>
          <w:t xml:space="preserve">Classifier calibration: a survey on how to assess and improve predicted class probabilities</w:t>
        </w:r>
      </w:hyperlink>
      <w:r>
        <w:t xml:space="preserve">. Machine Learning 112:3211–3260</w:t>
      </w:r>
    </w:p>
    <w:bookmarkEnd w:id="152"/>
    <w:bookmarkStart w:id="154" w:name="ref-suykens1999"/>
    <w:p>
      <w:pPr>
        <w:pStyle w:val="Bibliography"/>
      </w:pPr>
      <w:r>
        <w:t xml:space="preserve">Suykens JAK, Vandewalle J (1999)</w:t>
      </w:r>
      <w:r>
        <w:t xml:space="preserve"> </w:t>
      </w:r>
      <w:hyperlink r:id="rId153">
        <w:r>
          <w:rPr>
            <w:rStyle w:val="Hyperlink"/>
          </w:rPr>
          <w:t xml:space="preserve">Least Squares Support Vector Machine Classifiers</w:t>
        </w:r>
      </w:hyperlink>
      <w:r>
        <w:t xml:space="preserve">. Neural Processing Letters 9:293–300</w:t>
      </w:r>
    </w:p>
    <w:bookmarkEnd w:id="154"/>
    <w:bookmarkStart w:id="156" w:name="ref-tan2022multirocket"/>
    <w:p>
      <w:pPr>
        <w:pStyle w:val="Bibliography"/>
      </w:pPr>
      <w:r>
        <w:t xml:space="preserve">Tan CW, Dempster A, Bergmeir C, Webb GI (2022)</w:t>
      </w:r>
      <w:r>
        <w:t xml:space="preserve"> </w:t>
      </w:r>
      <w:hyperlink r:id="rId155">
        <w:r>
          <w:rPr>
            <w:rStyle w:val="Hyperlink"/>
          </w:rPr>
          <w:t xml:space="preserve">MultiRocket: multiple pooling operators and transformations for fast and effective time series classification</w:t>
        </w:r>
      </w:hyperlink>
      <w:r>
        <w:t xml:space="preserve">. Data Mining and Knowledge Discovery 36:1623–1646</w:t>
      </w:r>
    </w:p>
    <w:bookmarkEnd w:id="156"/>
    <w:bookmarkStart w:id="158" w:name="ref-tibshirani2002"/>
    <w:p>
      <w:pPr>
        <w:pStyle w:val="Bibliography"/>
      </w:pPr>
      <w:r>
        <w:t xml:space="preserve">Tibshirani RJ, Efron B (2002)</w:t>
      </w:r>
      <w:r>
        <w:t xml:space="preserve"> </w:t>
      </w:r>
      <w:hyperlink r:id="rId157">
        <w:r>
          <w:rPr>
            <w:rStyle w:val="Hyperlink"/>
          </w:rPr>
          <w:t xml:space="preserve">Pre-validation and inference in microarrays</w:t>
        </w:r>
      </w:hyperlink>
      <w:r>
        <w:t xml:space="preserve">. Statistical Applications in Genetics and Molecular Biology 1</w:t>
      </w:r>
    </w:p>
    <w:bookmarkEnd w:id="158"/>
    <w:bookmarkStart w:id="160" w:name="ref-um2017"/>
    <w:p>
      <w:pPr>
        <w:pStyle w:val="Bibliography"/>
      </w:pPr>
      <w:r>
        <w:t xml:space="preserve">Um TT, Pfister FMJ, Pichler D, et al (2017)</w:t>
      </w:r>
      <w:r>
        <w:t xml:space="preserve"> </w:t>
      </w:r>
      <w:hyperlink r:id="rId159">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0"/>
    <w:bookmarkStart w:id="161"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1"/>
    <w:bookmarkStart w:id="163" w:name="ref-vovk2022"/>
    <w:p>
      <w:pPr>
        <w:pStyle w:val="Bibliography"/>
      </w:pPr>
      <w:r>
        <w:t xml:space="preserve">Vovk V, Gammerman A, Shafer G (2022)</w:t>
      </w:r>
      <w:r>
        <w:t xml:space="preserve"> </w:t>
      </w:r>
      <w:hyperlink r:id="rId162">
        <w:r>
          <w:rPr>
            <w:rStyle w:val="Hyperlink"/>
          </w:rPr>
          <w:t xml:space="preserve">Algorithmic Learning in a Random World</w:t>
        </w:r>
      </w:hyperlink>
      <w:r>
        <w:t xml:space="preserve">. Springer International Publishing</w:t>
      </w:r>
    </w:p>
    <w:bookmarkEnd w:id="163"/>
    <w:bookmarkStart w:id="165" w:name="ref-wilcoxon1945"/>
    <w:p>
      <w:pPr>
        <w:pStyle w:val="Bibliography"/>
      </w:pPr>
      <w:r>
        <w:t xml:space="preserve">Wilcoxon F (1945)</w:t>
      </w:r>
      <w:r>
        <w:t xml:space="preserve"> </w:t>
      </w:r>
      <w:hyperlink r:id="rId164">
        <w:r>
          <w:rPr>
            <w:rStyle w:val="Hyperlink"/>
          </w:rPr>
          <w:t xml:space="preserve">Individual Comparisons by Ranking Methods</w:t>
        </w:r>
      </w:hyperlink>
      <w:r>
        <w:t xml:space="preserve">. Biometrics Bulletin 1:80</w:t>
      </w:r>
    </w:p>
    <w:bookmarkEnd w:id="165"/>
    <w:bookmarkStart w:id="167" w:name="ref-xu2023"/>
    <w:p>
      <w:pPr>
        <w:pStyle w:val="Bibliography"/>
      </w:pPr>
      <w:r>
        <w:t xml:space="preserve">Xu C, Xie Y (2023)</w:t>
      </w:r>
      <w:r>
        <w:t xml:space="preserve"> </w:t>
      </w:r>
      <w:hyperlink r:id="rId166">
        <w:r>
          <w:rPr>
            <w:rStyle w:val="Hyperlink"/>
          </w:rPr>
          <w:t xml:space="preserve">Conformal Prediction for Time Series</w:t>
        </w:r>
      </w:hyperlink>
      <w:r>
        <w:t xml:space="preserve">. IEEE Transactions on Pattern Analysis and Machine Intelligence 45:11575–11587</w:t>
      </w:r>
    </w:p>
    <w:bookmarkEnd w:id="167"/>
    <w:bookmarkStart w:id="169" w:name="ref-zadrozny2002"/>
    <w:p>
      <w:pPr>
        <w:pStyle w:val="Bibliography"/>
      </w:pPr>
      <w:r>
        <w:t xml:space="preserve">Zadrozny B, Elkan C (2002)</w:t>
      </w:r>
      <w:r>
        <w:t xml:space="preserve"> </w:t>
      </w:r>
      <w:hyperlink r:id="rId168">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69"/>
    <w:bookmarkEnd w:id="170"/>
    <w:bookmarkEnd w:id="171"/>
    <w:bookmarkStart w:id="172"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2"/>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1" Type="http://schemas.openxmlformats.org/officeDocument/2006/relationships/image" Target="media/rId61.png"/><Relationship Id="rId37" Type="http://schemas.openxmlformats.org/officeDocument/2006/relationships/image" Target="media/rId37.png"/><Relationship Id="rId67" Type="http://schemas.openxmlformats.org/officeDocument/2006/relationships/image" Target="media/rId67.png"/><Relationship Id="rId47" Type="http://schemas.openxmlformats.org/officeDocument/2006/relationships/image" Target="media/rId47.png"/><Relationship Id="rId56" Type="http://schemas.openxmlformats.org/officeDocument/2006/relationships/image" Target="media/rId56.png"/><Relationship Id="rId50" Type="http://schemas.openxmlformats.org/officeDocument/2006/relationships/image" Target="media/rId50.png"/><Relationship Id="rId53" Type="http://schemas.openxmlformats.org/officeDocument/2006/relationships/image" Target="media/rId53.png"/><Relationship Id="rId162"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6"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18" Type="http://schemas.openxmlformats.org/officeDocument/2006/relationships/hyperlink" Target="https://doi.org/10.1007/s10618-020-00710-y" TargetMode="External"/><Relationship Id="rId147" Type="http://schemas.openxmlformats.org/officeDocument/2006/relationships/hyperlink" Target="https://doi.org/10.1007/s10618-020-00727-3" TargetMode="External"/><Relationship Id="rId155"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6"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4" Type="http://schemas.openxmlformats.org/officeDocument/2006/relationships/hyperlink" Target="https://doi.org/10.1007/s10994-021-06057-9" TargetMode="External"/><Relationship Id="rId151"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3"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7" Type="http://schemas.openxmlformats.org/officeDocument/2006/relationships/hyperlink" Target="https://doi.org/10.1080/01621459.2017.1307116" TargetMode="External"/><Relationship Id="rId149"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6" Type="http://schemas.openxmlformats.org/officeDocument/2006/relationships/hyperlink" Target="https://doi.org/10.1109/tpami.2023.3272339" TargetMode="External"/><Relationship Id="rId138" Type="http://schemas.openxmlformats.org/officeDocument/2006/relationships/hyperlink" Target="https://doi.org/10.1145/1102351.1102430" TargetMode="External"/><Relationship Id="rId159"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4" Type="http://schemas.openxmlformats.org/officeDocument/2006/relationships/hyperlink" Target="https://doi.org/10.1145/3587937" TargetMode="External"/><Relationship Id="rId168" Type="http://schemas.openxmlformats.org/officeDocument/2006/relationships/hyperlink" Target="https://doi.org/10.1145/775047.775151" TargetMode="External"/><Relationship Id="rId131"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0"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7" Type="http://schemas.openxmlformats.org/officeDocument/2006/relationships/hyperlink" Target="https://doi.org/10.2202/1544-6115.1000" TargetMode="External"/><Relationship Id="rId164" Type="http://schemas.openxmlformats.org/officeDocument/2006/relationships/hyperlink" Target="https://doi.org/10.2307/3001968" TargetMode="External"/><Relationship Id="rId122"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2"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6"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18" Type="http://schemas.openxmlformats.org/officeDocument/2006/relationships/hyperlink" Target="https://doi.org/10.1007/s10618-020-00710-y" TargetMode="External"/><Relationship Id="rId147" Type="http://schemas.openxmlformats.org/officeDocument/2006/relationships/hyperlink" Target="https://doi.org/10.1007/s10618-020-00727-3" TargetMode="External"/><Relationship Id="rId155"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6"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4" Type="http://schemas.openxmlformats.org/officeDocument/2006/relationships/hyperlink" Target="https://doi.org/10.1007/s10994-021-06057-9" TargetMode="External"/><Relationship Id="rId151"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3"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7" Type="http://schemas.openxmlformats.org/officeDocument/2006/relationships/hyperlink" Target="https://doi.org/10.1080/01621459.2017.1307116" TargetMode="External"/><Relationship Id="rId149"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6" Type="http://schemas.openxmlformats.org/officeDocument/2006/relationships/hyperlink" Target="https://doi.org/10.1109/tpami.2023.3272339" TargetMode="External"/><Relationship Id="rId138" Type="http://schemas.openxmlformats.org/officeDocument/2006/relationships/hyperlink" Target="https://doi.org/10.1145/1102351.1102430" TargetMode="External"/><Relationship Id="rId159"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4" Type="http://schemas.openxmlformats.org/officeDocument/2006/relationships/hyperlink" Target="https://doi.org/10.1145/3587937" TargetMode="External"/><Relationship Id="rId168" Type="http://schemas.openxmlformats.org/officeDocument/2006/relationships/hyperlink" Target="https://doi.org/10.1145/775047.775151" TargetMode="External"/><Relationship Id="rId131"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0"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7" Type="http://schemas.openxmlformats.org/officeDocument/2006/relationships/hyperlink" Target="https://doi.org/10.2202/1544-6115.1000" TargetMode="External"/><Relationship Id="rId164" Type="http://schemas.openxmlformats.org/officeDocument/2006/relationships/hyperlink" Target="https://doi.org/10.2307/3001968" TargetMode="External"/><Relationship Id="rId122"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2026-10-21T20:56:25Z</dcterms:created>
  <dcterms:modified xsi:type="dcterms:W3CDTF">2026-10-21T20:56:25Z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