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(draft placeholder – written after the full results are available.)</w:t>
      </w:r>
    </w:p>
    <w:p>
      <w:pPr>
        <w:pStyle w:val="BodyText"/>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(Ovadia et al. 2019; Abdar et al. 2021; Gawlikowski et al. 2023)</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(Platt 2000; Zadrozny and Elkan 2002; Niculescu-Mizil and Caruana 2005; Guo et al. 2017)</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z(x)ᵀA⁻¹z(x),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w:t>
      </w:r>
      <m:oMath>
        <m:sSub>
          <m:e>
            <m:r>
              <m:t>h</m:t>
            </m:r>
          </m:e>
          <m:sub>
            <m:r>
              <m:rPr>
                <m:sty m:val="p"/>
              </m:rPr>
              <m:t>r</m:t>
            </m:r>
            <m:r>
              <m:rPr>
                <m:sty m:val="p"/>
              </m:rPr>
              <m:t>e</m:t>
            </m:r>
            <m:r>
              <m:rPr>
                <m:sty m:val="p"/>
              </m:rPr>
              <m:t>f</m:t>
            </m:r>
          </m:sub>
        </m:sSub>
      </m:oMath>
      <w:r>
        <w:t xml:space="preserve">)):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1"/>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1"/>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1"/>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1"/>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2020, 2023)</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(Um et al. 2017; Iwana and Uchida 2021)</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(Vovk et al. 2022; Angelopoulos and Bates 2023)</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(Romano et al. 2020; Angelopoulos et al. 2021)</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 readouts, exact LOO models make jackknife+ essentially free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2"/>
        </w:numPr>
        <w:pStyle w:val="Compact"/>
      </w:pPr>
      <w:r>
        <w:rPr>
          <w:bCs/>
          <w:b/>
        </w:rPr>
        <w:t xml:space="preserve">RQ1</w:t>
      </w:r>
      <w:r>
        <w:t xml:space="preserve"> </w:t>
      </w:r>
      <w:r>
        <w:t xml:space="preserve">Does LOOM give better in-distribution probabilities than existing readouts at equal accuracy?</w:t>
      </w:r>
    </w:p>
    <w:p>
      <w:pPr>
        <w:numPr>
          <w:ilvl w:val="0"/>
          <w:numId w:val="1002"/>
        </w:numPr>
        <w:pStyle w:val="Compact"/>
      </w:pPr>
      <w:r>
        <w:rPr>
          <w:bCs/>
          <w:b/>
        </w:rPr>
        <w:t xml:space="preserve">RQ2</w:t>
      </w:r>
      <w:r>
        <w:t xml:space="preserve"> </w:t>
      </w:r>
      <w:r>
        <w:t xml:space="preserve">Which components (leverage moderation, exact LOO pairs, target smoothing, λ criterion) matter?</w:t>
      </w:r>
    </w:p>
    <w:p>
      <w:pPr>
        <w:numPr>
          <w:ilvl w:val="0"/>
          <w:numId w:val="1002"/>
        </w:numPr>
        <w:pStyle w:val="Compact"/>
      </w:pPr>
      <w:r>
        <w:rPr>
          <w:bCs/>
          <w:b/>
        </w:rPr>
        <w:t xml:space="preserve">RQ3</w:t>
      </w:r>
      <w:r>
        <w:t xml:space="preserve"> </w:t>
      </w:r>
      <w:r>
        <w:t xml:space="preserve">How do calibration and shift detection behave under test-time corruptions?</w:t>
      </w:r>
    </w:p>
    <w:p>
      <w:pPr>
        <w:numPr>
          <w:ilvl w:val="0"/>
          <w:numId w:val="1002"/>
        </w:numPr>
        <w:pStyle w:val="Compact"/>
      </w:pPr>
      <w:r>
        <w:rPr>
          <w:bCs/>
          <w:b/>
        </w:rPr>
        <w:t xml:space="preserve">RQ4</w:t>
      </w:r>
      <w:r>
        <w:t xml:space="preserve"> </w:t>
      </w:r>
      <w:r>
        <w:t xml:space="preserve">Do the effects transfer to Rocket, MultiRocket and Hydra features and across dataset types?</w:t>
      </w:r>
    </w:p>
    <w:p>
      <w:pPr>
        <w:numPr>
          <w:ilvl w:val="0"/>
          <w:numId w:val="1002"/>
        </w:numPr>
        <w:pStyle w:val="Compact"/>
      </w:pPr>
      <w:r>
        <w:rPr>
          <w:bCs/>
          <w:b/>
        </w:rPr>
        <w:t xml:space="preserve">RQ5</w:t>
      </w:r>
      <w:r>
        <w:t xml:space="preserve"> </w:t>
      </w:r>
      <w:r>
        <w:t xml:space="preserve">What does LOOM cost compared with the alternatives?</w:t>
      </w:r>
    </w:p>
    <w:p>
      <w:pPr>
        <w:numPr>
          <w:ilvl w:val="0"/>
          <w:numId w:val="1002"/>
        </w:numPr>
        <w:pStyle w:val="Compact"/>
      </w:pPr>
      <w:r>
        <w:rPr>
          <w:bCs/>
          <w:b/>
        </w:rPr>
        <w:t xml:space="preserve">RQ6</w:t>
      </w:r>
      <w:r>
        <w:t xml:space="preserve"> </w:t>
      </w:r>
      <w:r>
        <w:t xml:space="preserve">How sensitive is it to the moderation strength, the miscoverage level and the training-set size?</w:t>
      </w:r>
    </w:p>
    <w:p>
      <w:pPr>
        <w:numPr>
          <w:ilvl w:val="0"/>
          <w:numId w:val="1002"/>
        </w:numPr>
        <w:pStyle w:val="Compact"/>
      </w:pPr>
      <w:r>
        <w:rPr>
          <w:bCs/>
          <w:b/>
        </w:rPr>
        <w:t xml:space="preserve">RQ7</w:t>
      </w:r>
      <w:r>
        <w:t xml:space="preserve"> </w:t>
      </w:r>
      <w:r>
        <w:t xml:space="preserve">When does it fail?</w:t>
      </w:r>
    </w:p>
    <w:p>
      <w:pPr>
        <w:numPr>
          <w:ilvl w:val="0"/>
          <w:numId w:val="1002"/>
        </w:numPr>
        <w:pStyle w:val="Compact"/>
      </w:pPr>
      <w:r>
        <w:rPr>
          <w:bCs/>
          <w:b/>
        </w:rPr>
        <w:t xml:space="preserve">RQ8</w:t>
      </w:r>
      <w:r>
        <w:t xml:space="preserve"> </w:t>
      </w:r>
      <w:r>
        <w:t xml:space="preserve">Do the closed-form jackknife+ sets reach their nominal coverage, and how large are they?</w:t>
      </w:r>
    </w:p>
    <w:bookmarkEnd w:id="26"/>
    <w:bookmarkStart w:id="33"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With an unpenalised intercept and penalty λ, the readout has the augmented design z(x) = (1, ψ(x)), where ψ(x) are the centred standardised features, and</w:t>
      </w:r>
    </w:p>
    <w:p>
      <w:pPr>
        <w:pStyle w:val="BodyText"/>
      </w:pPr>
      <m:oMathPara>
        <m:oMathParaPr>
          <m:jc m:val="center"/>
        </m:oMathParaPr>
        <m:oMath>
          <m:r>
            <m:t>A</m:t>
          </m:r>
          <m:r>
            <m:rPr>
              <m:sty m:val="p"/>
            </m:rPr>
            <m:t>=</m:t>
          </m:r>
          <m:sSup>
            <m:e>
              <m:r>
                <m:t>Z</m:t>
              </m:r>
            </m:e>
            <m:sup>
              <m:r>
                <m:rPr>
                  <m:sty m:val="p"/>
                </m:rPr>
                <m:t>⊤</m:t>
              </m:r>
            </m:sup>
          </m:sSup>
          <m:r>
            <m:t>Z</m:t>
          </m:r>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r>
                <m:t>Z</m:t>
              </m:r>
            </m:e>
            <m:sup>
              <m:r>
                <m:rPr>
                  <m:sty m:val="p"/>
                </m:rPr>
                <m:t>⊤</m:t>
              </m:r>
            </m:sup>
          </m:sSup>
          <m:r>
            <m:t>Y</m:t>
          </m:r>
          <m:r>
            <m:rPr>
              <m:sty m:val="p"/>
            </m:rPr>
            <m:t>,</m:t>
          </m:r>
          <m:r>
            <m:t>  </m:t>
          </m:r>
          <m:acc>
            <m:accPr>
              <m:chr m:val="̂"/>
            </m:accPr>
            <m:e>
              <m:r>
                <m:t>Y</m:t>
              </m:r>
            </m:e>
          </m:acc>
          <m:r>
            <m:rPr>
              <m:sty m:val="p"/>
            </m:rPr>
            <m:t>=</m:t>
          </m:r>
          <m:r>
            <m:t>Z</m:t>
          </m:r>
          <m:r>
            <m:t>B</m:t>
          </m:r>
          <m:r>
            <m:rPr>
              <m:sty m:val="p"/>
            </m:rPr>
            <m:t>=</m:t>
          </m:r>
          <m:r>
            <m:t>H</m:t>
          </m:r>
          <m:r>
            <m:t>Y</m:t>
          </m:r>
          <m:r>
            <m:rPr>
              <m:sty m:val="p"/>
            </m:rPr>
            <m:t>.</m:t>
          </m:r>
          <m:r>
            <m:t>  </m:t>
          </m:r>
          <m:d>
            <m:dPr>
              <m:begChr m:val="("/>
              <m:endChr m:val=")"/>
              <m:sepChr m:val=""/>
              <m:grow/>
            </m:dPr>
            <m:e>
              <m:r>
                <m:t>1</m:t>
              </m:r>
            </m:e>
          </m:d>
        </m:oMath>
      </m:oMathPara>
    </w:p>
    <w:p>
      <w:pPr>
        <w:pStyle w:val="FirstParagraph"/>
      </w:pPr>
      <w:r>
        <w:t xml:space="preserve">With the thin SVD</w:t>
      </w:r>
      <w:r>
        <w:t xml:space="preserve"> </w:t>
      </w:r>
      <m:oMath>
        <m:sSub>
          <m:e>
            <m:r>
              <m:t>Φ</m:t>
            </m:r>
          </m:e>
          <m:sub>
            <m:r>
              <m:t>c</m:t>
            </m:r>
          </m:sub>
        </m:sSub>
      </m:oMath>
      <w:r>
        <w:t xml:space="preserve"> </w:t>
      </w:r>
      <w:r>
        <w:t xml:space="preserve">= U S Vᵀ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logits z(x) := Bᵀz(x) of a test series and its leverage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r>
            <m:t>z</m:t>
          </m:r>
          <m:d>
            <m:dPr>
              <m:begChr m:val="("/>
              <m:endChr m:val=")"/>
              <m:sepChr m:val=""/>
              <m:grow/>
            </m:dPr>
            <m:e>
              <m:sSub>
                <m:e>
                  <m:r>
                    <m:t>x</m:t>
                  </m:r>
                </m:e>
                <m:sub>
                  <m:r>
                    <m:t>i</m:t>
                  </m:r>
                </m:sub>
              </m:sSub>
            </m:e>
          </m:d>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r>
            <m:t>z</m:t>
          </m:r>
          <m:sSup>
            <m:e>
              <m:d>
                <m:dPr>
                  <m:begChr m:val="("/>
                  <m:endChr m:val=")"/>
                  <m:sepChr m:val=""/>
                  <m:grow/>
                </m:dPr>
                <m:e>
                  <m:sSub>
                    <m:e>
                      <m:r>
                        <m:t>x</m:t>
                      </m:r>
                    </m:e>
                    <m:sub>
                      <m:r>
                        <m:t>i</m:t>
                      </m:r>
                    </m:sub>
                  </m:sSub>
                </m:e>
              </m:d>
            </m:e>
            <m:sup>
              <m:r>
                <m:rPr>
                  <m:sty m:val="p"/>
                </m:rPr>
                <m:t>⊤</m:t>
              </m:r>
            </m:sup>
          </m:sSup>
          <m:sSubSup>
            <m:e>
              <m:r>
                <m:t>A</m:t>
              </m:r>
            </m:e>
            <m:sub>
              <m:r>
                <m:rPr>
                  <m:sty m:val="p"/>
                </m:rPr>
                <m:t>−</m:t>
              </m:r>
              <m:r>
                <m:t>i</m:t>
              </m:r>
            </m:sub>
            <m:sup>
              <m:r>
                <m:rPr>
                  <m:sty m:val="p"/>
                </m:rPr>
                <m:t>−</m:t>
              </m:r>
              <m:r>
                <m:t>1</m:t>
              </m:r>
            </m:sup>
          </m:sSubSup>
          <m:r>
            <m:t>z</m:t>
          </m:r>
          <m:d>
            <m:dPr>
              <m:begChr m:val="("/>
              <m:endChr m:val=")"/>
              <m:sepChr m:val=""/>
              <m:grow/>
            </m:dPr>
            <m:e>
              <m:sSub>
                <m:e>
                  <m:r>
                    <m:t>x</m:t>
                  </m:r>
                </m:e>
                <m:sub>
                  <m:r>
                    <m:t>i</m:t>
                  </m:r>
                </m:sub>
              </m:sSub>
            </m:e>
          </m:d>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test series from the training distribution h(x) ≈</w:t>
      </w:r>
      <w:r>
        <w:t xml:space="preserve"> </w:t>
      </w:r>
      <m:oMath>
        <m:sSub>
          <m:e>
            <m:r>
              <m:t>h</m:t>
            </m:r>
          </m:e>
          <m:sub>
            <m:r>
              <m:rPr>
                <m:sty m:val="p"/>
              </m:rPr>
              <m:t>r</m:t>
            </m:r>
            <m:r>
              <m:rPr>
                <m:sty m:val="p"/>
              </m:rPr>
              <m:t>e</m:t>
            </m:r>
            <m:r>
              <m:rPr>
                <m:sty m:val="p"/>
              </m:rPr>
              <m:t>f</m:t>
            </m:r>
          </m:sub>
        </m:sSub>
      </m:oMath>
      <w:r>
        <w:t xml:space="preserve">, so (4) behaves like a temperature-scaled ridge. For series pushed away from the training data, h(x) grows, often by orders of magnitude (Section 6.2), and the probabilities move towards uniform.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w:t>
      </w:r>
      <w:r>
        <w:t xml:space="preserve"> </w:t>
      </w:r>
      <m:oMath>
        <m:sSub>
          <m:e>
            <m:r>
              <m:t>t</m:t>
            </m:r>
          </m:e>
          <m:sub>
            <m:r>
              <m:t>i</m:t>
            </m:r>
            <m:r>
              <m:t>k</m:t>
            </m:r>
          </m:sub>
        </m:sSub>
      </m:oMath>
      <w:r>
        <w:t xml:space="preserve"> </w:t>
      </w:r>
      <w:r>
        <w:t xml:space="preserve">are smoothed following</w:t>
      </w:r>
      <w:r>
        <w:t xml:space="preserve"> </w:t>
      </w:r>
      <w:r>
        <w:t xml:space="preserve">Platt (2000)</w:t>
      </w:r>
      <w:r>
        <w:t xml:space="preserve">: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its training count, and the remainder is spread uniformly over the other classes (exactly Platt’s rule for K = 2). The one-dimensional problem in log a is solved with L-BFGS from three starting values.</w:t>
      </w:r>
    </w:p>
    <w:bookmarkEnd w:id="30"/>
    <w:bookmarkStart w:id="31"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z(x)ᵀA⁻¹z(xᵢ)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Each test point costs O(nK) after an O(pr) projection, and no model is refitted. Because λ, a and the scaler are fitted on all n examples, the coverage guarantee holds only approximately; we therefore assess coverage empirically (Section 6.5).</w:t>
      </w:r>
    </w:p>
    <w:bookmarkEnd w:id="31"/>
    <w:bookmarkStart w:id="32"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2"/>
    <w:bookmarkEnd w:id="33"/>
    <w:bookmarkStart w:id="39" w:name="experimental-setup"/>
    <w:p>
      <w:pPr>
        <w:pStyle w:val="Heading1"/>
      </w:pPr>
      <w:r>
        <w:t xml:space="preserve">5 Experimental setup</w:t>
      </w:r>
    </w:p>
    <w:bookmarkStart w:id="34"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bookmarkEnd w:id="34"/>
    <w:bookmarkStart w:id="35"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13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distance to the five nearest training series);</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35"/>
    <w:bookmarkStart w:id="36"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(Um et al. 2017; Iwana and Uchida 2021)</w:t>
      </w:r>
      <w:r>
        <w:t xml:space="preserve">.</w:t>
      </w:r>
    </w:p>
    <w:bookmarkEnd w:id="36"/>
    <w:bookmarkStart w:id="37"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(Demšar 2006; Benavoli et al. 2016)</w:t>
      </w:r>
      <w:r>
        <w:t xml:space="preserve">. We report the matched-pairs rank-biserial correlation</w:t>
      </w:r>
      <w:r>
        <w:t xml:space="preserve"> </w:t>
      </w:r>
      <m:oMath>
        <m:sSub>
          <m:e>
            <m:r>
              <m:t>r</m:t>
            </m:r>
          </m:e>
          <m:sub>
            <m:r>
              <m:rPr>
                <m:sty m:val="p"/>
              </m:rPr>
              <m:t>r</m:t>
            </m:r>
            <m:r>
              <m:rPr>
                <m:sty m:val="p"/>
              </m:rPr>
              <m:t>b</m:t>
            </m:r>
          </m:sub>
        </m:sSub>
      </m:oMath>
      <w:r>
        <w:t xml:space="preserve"> </w:t>
      </w:r>
      <w:r>
        <w:t xml:space="preserve">(Kerby 2014)</w:t>
      </w:r>
      <w:r>
        <w:t xml:space="preserve"> </w:t>
      </w:r>
      <w:r>
        <w:t xml:space="preserve">as effect size (positive values favour LOOM for lower-is-better metrics) and a percentile bootstrap 95 % confidence interval (10,000 draws) of the median paired difference. Friedman tests and mean ranks summarise all methods jointly. A difference is called significant only if the Holm-adjusted p-value is below 0.05.</w:t>
      </w:r>
    </w:p>
    <w:bookmarkEnd w:id="37"/>
    <w:bookmarkStart w:id="38"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8 datasets never used during development (Section 6.7). Use of generative AI is declared in the Statements and Declarations.</w:t>
      </w:r>
    </w:p>
    <w:bookmarkEnd w:id="38"/>
    <w:bookmarkEnd w:id="39"/>
    <w:bookmarkStart w:id="67" w:name="results"/>
    <w:p>
      <w:pPr>
        <w:pStyle w:val="Heading1"/>
      </w:pPr>
      <w:r>
        <w:t xml:space="preserve">6 Results</w:t>
      </w:r>
    </w:p>
    <w:p>
      <w:pPr>
        <w:pStyle w:val="FirstParagraph"/>
      </w:pPr>
      <w:r>
        <w:t xml:space="preserve">All results are computed on 9 datasets (official split plus four resamples unless stated otherwise); per-dataset values are means over resamples. Complete per-dataset results are in Online Resource 3 and the repository.</w:t>
      </w:r>
    </w:p>
    <w:bookmarkStart w:id="40" w:name="in-distribution-calibration-rq1"/>
    <w:p>
      <w:pPr>
        <w:pStyle w:val="Heading2"/>
      </w:pPr>
      <w:r>
        <w:t xml:space="preserve">6.1 In-distribution calibration (RQ1)</w:t>
      </w:r>
    </w:p>
    <w:p>
      <w:pPr>
        <w:pStyle w:val="FirstParagraph"/>
      </w:pPr>
      <w:r>
        <w:t xml:space="preserve">Table 1 summarises clean test performance. LOOM has a median test NLL of 0.196. It is not significantly different from PreVal (W/D/L 3/0/6, median difference -0.007 [95 % CI -0.054, +0.056], r_rb = -0.29, Holm-adjusted p = 1.000); not significantly different from Hold-out temperature scaling (W/D/L 6/0/3, median difference +0.010 [95 % CI -0.020, +0.766], r_rb = 0.47, Holm-adjusted p = 1.000); not significantly different from Ridge + Platt (5-fold) (W/D/L 4/0/4, median difference +0.002 [95 % CI -0.008, +0.009], r_rb = 0.17, Holm-adjusted p = 1.000); and not significantly different from Logistic regression (CV) (W/D/L 5/0/4, median difference +0.004 [95 % CI -0.079, +0.026], r_rb = 0.02, Holm-adjusted p = 1.000). The naive readouts are clearly worse: LOOM is better than Ridge softmax (T = 1) (W/D/L 9/0/0, median difference +0.692 [95 % CI +0.232, +2.083], r_rb = 1.00, Holm-adjusted p = 0.027) and better than Ridge one-hot (W/D/L 9/0/0, median difference +1.416 [95 % CI +0.764, +4.917], r_rb = 1.00, Holm-adjusted p = 0.027). For ECE, LOOM is not significantly different from PreVal (W/D/L 1/0/8, median difference -0.017 [95 % CI -0.075, -0.003], r_rb = -0.82, Holm-adjusted p = 0.082); the target smoothing that keeps the temperature finite (Section 4.4) slightly lowers confidence on easy datasets, which costs ECE (Section 6.4). Accuracy is essentially unchanged: median accuracy 0.952 for LOOM versus 0.951 for PreVal (not significantly different), because both use the same ridge logits and differ only through the selected λ.</w:t>
      </w:r>
    </w:p>
    <w:p>
      <w:pPr>
        <w:pStyle w:val="TableCaption"/>
      </w:pPr>
      <w:r>
        <w:rPr>
          <w:bCs/>
          <w:b/>
        </w:rPr>
        <w:t xml:space="preserve">Table 1</w:t>
      </w:r>
      <w:r>
        <w:t xml:space="preserve"> </w:t>
      </w:r>
      <w:r>
        <w:t xml:space="preserve">Clean test performance (median over datasets of the mean over five resamples). Mean rank, W/D/L, rank-biserial correlation (r_rb) and Holm-adjusted Wilcoxon p-value refer to NLL; W/D/L counts datasets on which LOOM is better/equal/worse</w:t>
      </w:r>
    </w:p>
    <w:tbl>
      <w:tblPr>
        <w:tblStyle w:val="Table"/>
        <w:tblW w:type="pct" w:w="5000"/>
        <w:tblLook w:firstRow="1" w:lastRow="0" w:firstColumn="0" w:lastColumn="0" w:noHBand="0" w:noVBand="0" w:val="0020"/>
        <w:jc w:val="start"/>
        <w:tblCaption w:val="Table 1 Clean test performance (median over datasets of the mean over five resamples). Mean rank, W/D/L, rank-biserial correlation (r_rb) and Holm-adjusted Wilcoxon p-value refer to NLL; W/D/L counts datasets on which LOOM is better/equal/worse"/>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0.196</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0.952</w:t>
            </w:r>
          </w:p>
        </w:tc>
        <w:tc>
          <w:tcPr/>
          <w:p>
            <w:pPr>
              <w:pStyle w:val="Compact"/>
              <w:spacing w:after="0" w:line="240" w:lineRule="auto"/>
              <w:jc w:val="left"/>
            </w:pPr>
            <w:r>
              <w:rPr>
                <w:rFonts w:ascii="Times New Roman" w:hAnsi="Times New Roman"/>
                <w:sz w:val="16"/>
              </w:rPr>
              <w:t xml:space="preserve">2.44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0.016</w:t>
            </w:r>
          </w:p>
        </w:tc>
        <w:tc>
          <w:tcPr/>
          <w:p>
            <w:pPr>
              <w:pStyle w:val="Compact"/>
              <w:spacing w:after="0" w:line="240" w:lineRule="auto"/>
              <w:jc w:val="left"/>
            </w:pPr>
            <w:r>
              <w:rPr>
                <w:rFonts w:ascii="Times New Roman" w:hAnsi="Times New Roman"/>
                <w:sz w:val="16"/>
              </w:rPr>
              <w:t xml:space="preserve">0.074</w:t>
            </w:r>
          </w:p>
        </w:tc>
        <w:tc>
          <w:tcPr/>
          <w:p>
            <w:pPr>
              <w:pStyle w:val="Compact"/>
              <w:spacing w:after="0" w:line="240" w:lineRule="auto"/>
              <w:jc w:val="left"/>
            </w:pPr>
            <w:r>
              <w:rPr>
                <w:rFonts w:ascii="Times New Roman" w:hAnsi="Times New Roman"/>
                <w:sz w:val="16"/>
              </w:rPr>
              <w:t xml:space="preserve">0.951</w:t>
            </w:r>
          </w:p>
        </w:tc>
        <w:tc>
          <w:tcPr/>
          <w:p>
            <w:pPr>
              <w:pStyle w:val="Compact"/>
              <w:spacing w:after="0" w:line="240" w:lineRule="auto"/>
              <w:jc w:val="left"/>
            </w:pPr>
            <w:r>
              <w:rPr>
                <w:rFonts w:ascii="Times New Roman" w:hAnsi="Times New Roman"/>
                <w:sz w:val="16"/>
              </w:rPr>
              <w:t xml:space="preserve">1.44</w:t>
            </w:r>
          </w:p>
        </w:tc>
        <w:tc>
          <w:tcPr/>
          <w:p>
            <w:pPr>
              <w:pStyle w:val="Compact"/>
              <w:spacing w:after="0" w:line="240" w:lineRule="auto"/>
              <w:jc w:val="left"/>
            </w:pPr>
            <w:r>
              <w:rPr>
                <w:rFonts w:ascii="Times New Roman" w:hAnsi="Times New Roman"/>
                <w:sz w:val="16"/>
              </w:rPr>
              <w:t xml:space="preserve">3/0/6</w:t>
            </w:r>
          </w:p>
        </w:tc>
        <w:tc>
          <w:tcPr/>
          <w:p>
            <w:pPr>
              <w:pStyle w:val="Compact"/>
              <w:spacing w:after="0" w:line="240" w:lineRule="auto"/>
              <w:jc w:val="left"/>
            </w:pPr>
            <w:r>
              <w:rPr>
                <w:rFonts w:ascii="Times New Roman" w:hAnsi="Times New Roman"/>
                <w:sz w:val="16"/>
              </w:rPr>
              <w:t xml:space="preserve">-0.29</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0.194</w:t>
            </w:r>
          </w:p>
        </w:tc>
        <w:tc>
          <w:tcPr/>
          <w:p>
            <w:pPr>
              <w:pStyle w:val="Compact"/>
              <w:spacing w:after="0" w:line="240" w:lineRule="auto"/>
              <w:jc w:val="left"/>
            </w:pPr>
            <w:r>
              <w:rPr>
                <w:rFonts w:ascii="Times New Roman" w:hAnsi="Times New Roman"/>
                <w:sz w:val="16"/>
              </w:rPr>
              <w:t xml:space="preserve">0.023</w:t>
            </w:r>
          </w:p>
        </w:tc>
        <w:tc>
          <w:tcPr/>
          <w:p>
            <w:pPr>
              <w:pStyle w:val="Compact"/>
              <w:spacing w:after="0" w:line="240" w:lineRule="auto"/>
              <w:jc w:val="left"/>
            </w:pPr>
            <w:r>
              <w:rPr>
                <w:rFonts w:ascii="Times New Roman" w:hAnsi="Times New Roman"/>
                <w:sz w:val="16"/>
              </w:rPr>
              <w:t xml:space="preserve">0.084</w:t>
            </w:r>
          </w:p>
        </w:tc>
        <w:tc>
          <w:tcPr/>
          <w:p>
            <w:pPr>
              <w:pStyle w:val="Compact"/>
              <w:spacing w:after="0" w:line="240" w:lineRule="auto"/>
              <w:jc w:val="left"/>
            </w:pPr>
            <w:r>
              <w:rPr>
                <w:rFonts w:ascii="Times New Roman" w:hAnsi="Times New Roman"/>
                <w:sz w:val="16"/>
              </w:rPr>
              <w:t xml:space="preserve">0.944</w:t>
            </w:r>
          </w:p>
        </w:tc>
        <w:tc>
          <w:tcPr/>
          <w:p>
            <w:pPr>
              <w:pStyle w:val="Compact"/>
              <w:spacing w:after="0" w:line="240" w:lineRule="auto"/>
              <w:jc w:val="left"/>
            </w:pPr>
            <w:r>
              <w:rPr>
                <w:rFonts w:ascii="Times New Roman" w:hAnsi="Times New Roman"/>
                <w:sz w:val="16"/>
              </w:rPr>
              <w:t xml:space="preserve">3.56</w:t>
            </w:r>
          </w:p>
        </w:tc>
        <w:tc>
          <w:tcPr/>
          <w:p>
            <w:pPr>
              <w:pStyle w:val="Compact"/>
              <w:spacing w:after="0" w:line="240" w:lineRule="auto"/>
              <w:jc w:val="left"/>
            </w:pPr>
            <w:r>
              <w:rPr>
                <w:rFonts w:ascii="Times New Roman" w:hAnsi="Times New Roman"/>
                <w:sz w:val="16"/>
              </w:rPr>
              <w:t xml:space="preserve">6/0/3</w:t>
            </w:r>
          </w:p>
        </w:tc>
        <w:tc>
          <w:tcPr/>
          <w:p>
            <w:pPr>
              <w:pStyle w:val="Compact"/>
              <w:spacing w:after="0" w:line="240" w:lineRule="auto"/>
              <w:jc w:val="left"/>
            </w:pPr>
            <w:r>
              <w:rPr>
                <w:rFonts w:ascii="Times New Roman" w:hAnsi="Times New Roman"/>
                <w:sz w:val="16"/>
              </w:rPr>
              <w:t xml:space="preserve">0.47</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8</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0.059</w:t>
            </w:r>
          </w:p>
        </w:tc>
        <w:tc>
          <w:tcPr/>
          <w:p>
            <w:pPr>
              <w:pStyle w:val="Compact"/>
              <w:spacing w:after="0" w:line="240" w:lineRule="auto"/>
              <w:jc w:val="left"/>
            </w:pPr>
            <w:r>
              <w:rPr>
                <w:rFonts w:ascii="Times New Roman" w:hAnsi="Times New Roman"/>
                <w:sz w:val="16"/>
              </w:rPr>
              <w:t xml:space="preserve">0.063</w:t>
            </w:r>
          </w:p>
        </w:tc>
        <w:tc>
          <w:tcPr/>
          <w:p>
            <w:pPr>
              <w:pStyle w:val="Compact"/>
              <w:spacing w:after="0" w:line="240" w:lineRule="auto"/>
              <w:jc w:val="left"/>
            </w:pPr>
            <w:r>
              <w:rPr>
                <w:rFonts w:ascii="Times New Roman" w:hAnsi="Times New Roman"/>
                <w:sz w:val="16"/>
              </w:rPr>
              <w:t xml:space="preserve">0.961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4/0/4</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8</w:t>
            </w:r>
          </w:p>
        </w:tc>
        <w:tc>
          <w:tcPr/>
          <w:p>
            <w:pPr>
              <w:pStyle w:val="Compact"/>
              <w:spacing w:after="0" w:line="240" w:lineRule="auto"/>
              <w:jc w:val="left"/>
            </w:pPr>
            <w:r>
              <w:rPr>
                <w:rFonts w:ascii="Times New Roman" w:hAnsi="Times New Roman"/>
                <w:sz w:val="16"/>
              </w:rPr>
              <w:t xml:space="preserve">0.353</w:t>
            </w:r>
          </w:p>
        </w:tc>
        <w:tc>
          <w:tcPr/>
          <w:p>
            <w:pPr>
              <w:pStyle w:val="Compact"/>
              <w:spacing w:after="0" w:line="240" w:lineRule="auto"/>
              <w:jc w:val="left"/>
            </w:pPr>
            <w:r>
              <w:rPr>
                <w:rFonts w:ascii="Times New Roman" w:hAnsi="Times New Roman"/>
                <w:sz w:val="16"/>
              </w:rPr>
              <w:t xml:space="preserve">0.017</w:t>
            </w:r>
          </w:p>
        </w:tc>
        <w:tc>
          <w:tcPr/>
          <w:p>
            <w:pPr>
              <w:pStyle w:val="Compact"/>
              <w:spacing w:after="0" w:line="240" w:lineRule="auto"/>
              <w:jc w:val="left"/>
            </w:pPr>
            <w:r>
              <w:rPr>
                <w:rFonts w:ascii="Times New Roman" w:hAnsi="Times New Roman"/>
                <w:sz w:val="16"/>
              </w:rPr>
              <w:t xml:space="preserve">0.066</w:t>
            </w:r>
          </w:p>
        </w:tc>
        <w:tc>
          <w:tcPr/>
          <w:p>
            <w:pPr>
              <w:pStyle w:val="Compact"/>
              <w:spacing w:after="0" w:line="240" w:lineRule="auto"/>
              <w:jc w:val="left"/>
            </w:pPr>
            <w:r>
              <w:rPr>
                <w:rFonts w:ascii="Times New Roman" w:hAnsi="Times New Roman"/>
                <w:sz w:val="16"/>
              </w:rPr>
              <w:t xml:space="preserve">0.958</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0.039</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0.193</w:t>
            </w:r>
          </w:p>
        </w:tc>
        <w:tc>
          <w:tcPr/>
          <w:p>
            <w:pPr>
              <w:pStyle w:val="Compact"/>
              <w:spacing w:after="0" w:line="240" w:lineRule="auto"/>
              <w:jc w:val="left"/>
            </w:pPr>
            <w:r>
              <w:rPr>
                <w:rFonts w:ascii="Times New Roman" w:hAnsi="Times New Roman"/>
                <w:sz w:val="16"/>
              </w:rPr>
              <w:t xml:space="preserve">0.020</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0.943</w:t>
            </w:r>
          </w:p>
        </w:tc>
        <w:tc>
          <w:tcPr/>
          <w:p>
            <w:pPr>
              <w:pStyle w:val="Compact"/>
              <w:spacing w:after="0" w:line="240" w:lineRule="auto"/>
              <w:jc w:val="left"/>
            </w:pPr>
            <w:r>
              <w:rPr>
                <w:rFonts w:ascii="Times New Roman" w:hAnsi="Times New Roman"/>
                <w:sz w:val="16"/>
              </w:rPr>
              <w:t xml:space="preserve">2.89</w:t>
            </w:r>
          </w:p>
        </w:tc>
        <w:tc>
          <w:tcPr/>
          <w:p>
            <w:pPr>
              <w:pStyle w:val="Compact"/>
              <w:spacing w:after="0" w:line="240" w:lineRule="auto"/>
              <w:jc w:val="left"/>
            </w:pPr>
            <w:r>
              <w:rPr>
                <w:rFonts w:ascii="Times New Roman" w:hAnsi="Times New Roman"/>
                <w:sz w:val="16"/>
              </w:rPr>
              <w:t xml:space="preserve">5/0/4</w:t>
            </w:r>
          </w:p>
        </w:tc>
        <w:tc>
          <w:tcPr/>
          <w:p>
            <w:pPr>
              <w:pStyle w:val="Compact"/>
              <w:spacing w:after="0" w:line="240" w:lineRule="auto"/>
              <w:jc w:val="left"/>
            </w:pPr>
            <w:r>
              <w:rPr>
                <w:rFonts w:ascii="Times New Roman" w:hAnsi="Times New Roman"/>
                <w:sz w:val="16"/>
              </w:rPr>
              <w:t xml:space="preserve">0.02</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0.851</w:t>
            </w:r>
          </w:p>
        </w:tc>
        <w:tc>
          <w:tcPr/>
          <w:p>
            <w:pPr>
              <w:pStyle w:val="Compact"/>
              <w:spacing w:after="0" w:line="240" w:lineRule="auto"/>
              <w:jc w:val="left"/>
            </w:pPr>
            <w:r>
              <w:rPr>
                <w:rFonts w:ascii="Times New Roman" w:hAnsi="Times New Roman"/>
                <w:sz w:val="16"/>
              </w:rPr>
              <w:t xml:space="preserve">0.390</w:t>
            </w:r>
          </w:p>
        </w:tc>
        <w:tc>
          <w:tcPr/>
          <w:p>
            <w:pPr>
              <w:pStyle w:val="Compact"/>
              <w:spacing w:after="0" w:line="240" w:lineRule="auto"/>
              <w:jc w:val="left"/>
            </w:pPr>
            <w:r>
              <w:rPr>
                <w:rFonts w:ascii="Times New Roman" w:hAnsi="Times New Roman"/>
                <w:sz w:val="16"/>
              </w:rPr>
              <w:t xml:space="preserve">0.371</w:t>
            </w:r>
          </w:p>
        </w:tc>
        <w:tc>
          <w:tcPr/>
          <w:p>
            <w:pPr>
              <w:pStyle w:val="Compact"/>
              <w:spacing w:after="0" w:line="240" w:lineRule="auto"/>
              <w:jc w:val="left"/>
            </w:pPr>
            <w:r>
              <w:rPr>
                <w:rFonts w:ascii="Times New Roman" w:hAnsi="Times New Roman"/>
                <w:sz w:val="16"/>
              </w:rPr>
              <w:t xml:space="preserve">0.951</w:t>
            </w:r>
          </w:p>
        </w:tc>
        <w:tc>
          <w:tcPr/>
          <w:p>
            <w:pPr>
              <w:pStyle w:val="Compact"/>
              <w:spacing w:after="0" w:line="240" w:lineRule="auto"/>
              <w:jc w:val="left"/>
            </w:pPr>
            <w:r>
              <w:rPr>
                <w:rFonts w:ascii="Times New Roman" w:hAnsi="Times New Roman"/>
                <w:sz w:val="16"/>
              </w:rPr>
              <w:t xml:space="preserve">4.89</w:t>
            </w:r>
          </w:p>
        </w:tc>
        <w:tc>
          <w:tcPr/>
          <w:p>
            <w:pPr>
              <w:pStyle w:val="Compact"/>
              <w:spacing w:after="0" w:line="240" w:lineRule="auto"/>
              <w:jc w:val="left"/>
            </w:pPr>
            <w:r>
              <w:rPr>
                <w:rFonts w:ascii="Times New Roman" w:hAnsi="Times New Roman"/>
                <w:sz w:val="16"/>
              </w:rPr>
              <w:t xml:space="preserve">9/0/0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0.027</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1.709</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0.099</w:t>
            </w:r>
          </w:p>
        </w:tc>
        <w:tc>
          <w:tcPr/>
          <w:p>
            <w:pPr>
              <w:pStyle w:val="Compact"/>
              <w:spacing w:after="0" w:line="240" w:lineRule="auto"/>
              <w:jc w:val="left"/>
            </w:pPr>
            <w:r>
              <w:rPr>
                <w:rFonts w:ascii="Times New Roman" w:hAnsi="Times New Roman"/>
                <w:sz w:val="16"/>
              </w:rPr>
              <w:t xml:space="preserve">0.951</w:t>
            </w:r>
          </w:p>
        </w:tc>
        <w:tc>
          <w:tcPr/>
          <w:p>
            <w:pPr>
              <w:pStyle w:val="Compact"/>
              <w:spacing w:after="0" w:line="240" w:lineRule="auto"/>
              <w:jc w:val="left"/>
            </w:pPr>
            <w:r>
              <w:rPr>
                <w:rFonts w:ascii="Times New Roman" w:hAnsi="Times New Roman"/>
                <w:sz w:val="16"/>
              </w:rPr>
              <w:t xml:space="preserve">5.78</w:t>
            </w:r>
          </w:p>
        </w:tc>
        <w:tc>
          <w:tcPr/>
          <w:p>
            <w:pPr>
              <w:pStyle w:val="Compact"/>
              <w:spacing w:after="0" w:line="240" w:lineRule="auto"/>
              <w:jc w:val="left"/>
            </w:pPr>
            <w:r>
              <w:rPr>
                <w:rFonts w:ascii="Times New Roman" w:hAnsi="Times New Roman"/>
                <w:sz w:val="16"/>
              </w:rPr>
              <w:t xml:space="preserve">9/0/0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0.027</w:t>
            </w:r>
          </w:p>
        </w:tc>
      </w:tr>
    </w:tbl>
    <w:bookmarkEnd w:id="40"/>
    <w:bookmarkStart w:id="53" w:name="X1343fe2dfa1e78e868378363e754239849ba471"/>
    <w:p>
      <w:pPr>
        <w:pStyle w:val="Heading2"/>
      </w:pPr>
      <w:r>
        <w:t xml:space="preserve">6.2 Behaviour under test-time corruptions (RQ3)</w:t>
      </w:r>
    </w:p>
    <w:p>
      <w:pPr>
        <w:pStyle w:val="FirstParagraph"/>
      </w:pPr>
      <w:r>
        <w:rPr>
          <w:bCs/>
          <w:b/>
        </w:rPr>
        <w:t xml:space="preserve">Leverage reacts to corruption.</w:t>
      </w:r>
      <w:r>
        <w:t xml:space="preserve"> </w:t>
      </w:r>
      <w:r>
        <w:t xml:space="preserve">For clean test series the median ratio h(x)/h_ref is 1.00, confirming that exact held-out leverages are on the scale of in-distribution test leverages. Under corruption the ratio grows with severity, for example to 417.0 for strong Gaussian noise, 4.6 for strong baseline wander, 8.5 for a 30 % missing segment and 2.74 for a 20 % circular shift (Fig. 3).</w:t>
      </w:r>
    </w:p>
    <w:p>
      <w:pPr>
        <w:pStyle w:val="BodyText"/>
      </w:pPr>
      <w:r>
        <w:rPr>
          <w:bCs/>
          <w:b/>
        </w:rPr>
        <w:t xml:space="preserve">Calibration under corruption.</w:t>
      </w:r>
      <w:r>
        <w:t xml:space="preserve"> </w:t>
      </w:r>
      <w:r>
        <w:t xml:space="preserve">Averaged over the 18 corruption conditions (Table 2), LOOM has a median NLL of 0.896 against 5.054 for PreVal. LOOM is better than PreVal (W/D/L 8/0/1, median difference +4.239 [95 % CI +0.047, +6.533], r_rb = 0.96, Holm-adjusted p = 0.031), better than Hold-out temperature scaling (W/D/L 9/0/0, median difference +3.340 [95 % CI +0.082, +8.877], r_rb = 1.00, Holm-adjusted p = 0.027), better than Logistic regression (CV) (W/D/L 8/0/1, median difference +2.645 [95 % CI +0.097, +10.387], r_rb = 0.91, Holm-adjusted p = 0.031) and</w:t>
      </w:r>
      <w:r>
        <w:t xml:space="preserve"> </w:t>
      </w:r>
      <w:r>
        <w:rPr>
          <w:bCs/>
          <w:b/>
        </w:rPr>
        <w:t xml:space="preserve">[MISSING: cmp(</w:t>
      </w:r>
      <w:r>
        <w:rPr>
          <w:bCs/>
          <w:b/>
        </w:rPr>
        <w:t xml:space="preserve">‘</w:t>
      </w:r>
      <w:r>
        <w:rPr>
          <w:bCs/>
          <w:b/>
        </w:rPr>
        <w:t xml:space="preserve">E4_shifted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QUANT</w:t>
      </w:r>
      <w:r>
        <w:rPr>
          <w:bCs/>
          <w:b/>
        </w:rPr>
        <w:t xml:space="preserve">’</w:t>
      </w:r>
      <w:r>
        <w:rPr>
          <w:bCs/>
          <w:b/>
        </w:rPr>
        <w:t xml:space="preserve">)]</w:t>
      </w:r>
      <w:r>
        <w:t xml:space="preserve">. For ECE under corruption LOOM is not significantly different from PreVal (W/D/L 7/0/2, median difference +0.049 [95 % CI -0.060, +0.233], r_rb = 0.60, Holm-adjusted p = 0.293). Accuracy under corruption is the same for the ridge-based readouts by construction; the improvement comes from lower confidence on the misclassified corrupted series, visible in the pooled reliability diagrams (Fig. 6). LOOM also flags corrupted inputs: the median AUROC for separating corrupted from clean test series by 1 − max p̂ is 0.831 for LOOM versus 0.542 for PreVal (significantly better).</w:t>
      </w:r>
    </w:p>
    <w:p>
      <w:pPr>
        <w:pStyle w:val="TableCaption"/>
      </w:pPr>
      <w:r>
        <w:rPr>
          <w:bCs/>
          <w:b/>
        </w:rPr>
        <w:t xml:space="preserve">Table 2</w:t>
      </w:r>
      <w:r>
        <w:t xml:space="preserve"> </w:t>
      </w:r>
      <w:r>
        <w:t xml:space="preserve">Performance under test-time corruption: per-dataset mean over 18 conditions (six families × three severities), then median over datasets. Statistics as in Table 1 (NLL)</w:t>
      </w:r>
    </w:p>
    <w:tbl>
      <w:tblPr>
        <w:tblStyle w:val="Table"/>
        <w:tblW w:type="pct" w:w="5000"/>
        <w:tblLook w:firstRow="1" w:lastRow="0" w:firstColumn="0" w:lastColumn="0" w:noHBand="0" w:noVBand="0" w:val="0020"/>
        <w:jc w:val="start"/>
        <w:tblCaption w:val="Table 2 Performance under test-time corruption: per-dataset mean over 18 conditions (six famili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0.158</w:t>
            </w:r>
          </w:p>
        </w:tc>
        <w:tc>
          <w:tcPr/>
          <w:p>
            <w:pPr>
              <w:pStyle w:val="Compact"/>
              <w:spacing w:after="0" w:line="240" w:lineRule="auto"/>
              <w:jc w:val="left"/>
            </w:pPr>
            <w:r>
              <w:rPr>
                <w:rFonts w:ascii="Times New Roman" w:hAnsi="Times New Roman"/>
                <w:sz w:val="16"/>
              </w:rPr>
              <w:t xml:space="preserve">0.635</w:t>
            </w:r>
          </w:p>
        </w:tc>
        <w:tc>
          <w:tcPr/>
          <w:p>
            <w:pPr>
              <w:pStyle w:val="Compact"/>
              <w:spacing w:after="0" w:line="240" w:lineRule="auto"/>
              <w:jc w:val="left"/>
            </w:pPr>
            <w:r>
              <w:rPr>
                <w:rFonts w:ascii="Times New Roman" w:hAnsi="Times New Roman"/>
                <w:sz w:val="16"/>
              </w:rPr>
              <w:t xml:space="preserve">0.831</w:t>
            </w:r>
          </w:p>
        </w:tc>
        <w:tc>
          <w:tcPr/>
          <w:p>
            <w:pPr>
              <w:pStyle w:val="Compact"/>
              <w:spacing w:after="0" w:line="240" w:lineRule="auto"/>
              <w:jc w:val="left"/>
            </w:pPr>
            <w:r>
              <w:rPr>
                <w:rFonts w:ascii="Times New Roman" w:hAnsi="Times New Roman"/>
                <w:sz w:val="16"/>
              </w:rPr>
              <w:t xml:space="preserve">1.22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5.054</w:t>
            </w:r>
          </w:p>
        </w:tc>
        <w:tc>
          <w:tcPr/>
          <w:p>
            <w:pPr>
              <w:pStyle w:val="Compact"/>
              <w:spacing w:after="0" w:line="240" w:lineRule="auto"/>
              <w:jc w:val="left"/>
            </w:pPr>
            <w:r>
              <w:rPr>
                <w:rFonts w:ascii="Times New Roman" w:hAnsi="Times New Roman"/>
                <w:sz w:val="16"/>
              </w:rPr>
              <w:t xml:space="preserve">0.250</w:t>
            </w:r>
          </w:p>
        </w:tc>
        <w:tc>
          <w:tcPr/>
          <w:p>
            <w:pPr>
              <w:pStyle w:val="Compact"/>
              <w:spacing w:after="0" w:line="240" w:lineRule="auto"/>
              <w:jc w:val="left"/>
            </w:pPr>
            <w:r>
              <w:rPr>
                <w:rFonts w:ascii="Times New Roman" w:hAnsi="Times New Roman"/>
                <w:sz w:val="16"/>
              </w:rPr>
              <w:t xml:space="preserve">0.639</w:t>
            </w:r>
          </w:p>
        </w:tc>
        <w:tc>
          <w:tcPr/>
          <w:p>
            <w:pPr>
              <w:pStyle w:val="Compact"/>
              <w:spacing w:after="0" w:line="240" w:lineRule="auto"/>
              <w:jc w:val="left"/>
            </w:pPr>
            <w:r>
              <w:rPr>
                <w:rFonts w:ascii="Times New Roman" w:hAnsi="Times New Roman"/>
                <w:sz w:val="16"/>
              </w:rPr>
              <w:t xml:space="preserve">0.542</w:t>
            </w:r>
          </w:p>
        </w:tc>
        <w:tc>
          <w:tcPr/>
          <w:p>
            <w:pPr>
              <w:pStyle w:val="Compact"/>
              <w:spacing w:after="0" w:line="240" w:lineRule="auto"/>
              <w:jc w:val="left"/>
            </w:pPr>
            <w:r>
              <w:rPr>
                <w:rFonts w:ascii="Times New Roman" w:hAnsi="Times New Roman"/>
                <w:sz w:val="16"/>
              </w:rPr>
              <w:t xml:space="preserve">3.44</w:t>
            </w:r>
          </w:p>
        </w:tc>
        <w:tc>
          <w:tcPr/>
          <w:p>
            <w:pPr>
              <w:pStyle w:val="Compact"/>
              <w:spacing w:after="0" w:line="240" w:lineRule="auto"/>
              <w:jc w:val="left"/>
            </w:pPr>
            <w:r>
              <w:rPr>
                <w:rFonts w:ascii="Times New Roman" w:hAnsi="Times New Roman"/>
                <w:sz w:val="16"/>
              </w:rPr>
              <w:t xml:space="preserve">8/0/1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0.031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4.236</w:t>
            </w:r>
          </w:p>
        </w:tc>
        <w:tc>
          <w:tcPr/>
          <w:p>
            <w:pPr>
              <w:pStyle w:val="Compact"/>
              <w:spacing w:after="0" w:line="240" w:lineRule="auto"/>
              <w:jc w:val="left"/>
            </w:pPr>
            <w:r>
              <w:rPr>
                <w:rFonts w:ascii="Times New Roman" w:hAnsi="Times New Roman"/>
                <w:sz w:val="16"/>
              </w:rPr>
              <w:t xml:space="preserve">0.265</w:t>
            </w:r>
          </w:p>
        </w:tc>
        <w:tc>
          <w:tcPr/>
          <w:p>
            <w:pPr>
              <w:pStyle w:val="Compact"/>
              <w:spacing w:after="0" w:line="240" w:lineRule="auto"/>
              <w:jc w:val="left"/>
            </w:pPr>
            <w:r>
              <w:rPr>
                <w:rFonts w:ascii="Times New Roman" w:hAnsi="Times New Roman"/>
                <w:sz w:val="16"/>
              </w:rPr>
              <w:t xml:space="preserve">0.601</w:t>
            </w:r>
          </w:p>
        </w:tc>
        <w:tc>
          <w:tcPr/>
          <w:p>
            <w:pPr>
              <w:pStyle w:val="Compact"/>
              <w:spacing w:after="0" w:line="240" w:lineRule="auto"/>
              <w:jc w:val="left"/>
            </w:pPr>
            <w:r>
              <w:rPr>
                <w:rFonts w:ascii="Times New Roman" w:hAnsi="Times New Roman"/>
                <w:sz w:val="16"/>
              </w:rPr>
              <w:t xml:space="preserve">0.532</w:t>
            </w:r>
          </w:p>
        </w:tc>
        <w:tc>
          <w:tcPr/>
          <w:p>
            <w:pPr>
              <w:pStyle w:val="Compact"/>
              <w:spacing w:after="0" w:line="240" w:lineRule="auto"/>
              <w:jc w:val="left"/>
            </w:pPr>
            <w:r>
              <w:rPr>
                <w:rFonts w:ascii="Times New Roman" w:hAnsi="Times New Roman"/>
                <w:sz w:val="16"/>
              </w:rPr>
              <w:t xml:space="preserve">4.11</w:t>
            </w:r>
          </w:p>
        </w:tc>
        <w:tc>
          <w:tcPr/>
          <w:p>
            <w:pPr>
              <w:pStyle w:val="Compact"/>
              <w:spacing w:after="0" w:line="240" w:lineRule="auto"/>
              <w:jc w:val="left"/>
            </w:pPr>
            <w:r>
              <w:rPr>
                <w:rFonts w:ascii="Times New Roman" w:hAnsi="Times New Roman"/>
                <w:sz w:val="16"/>
              </w:rPr>
              <w:t xml:space="preserve">9/0/0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0.027</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8</w:t>
            </w:r>
          </w:p>
        </w:tc>
        <w:tc>
          <w:tcPr/>
          <w:p>
            <w:pPr>
              <w:pStyle w:val="Compact"/>
              <w:spacing w:after="0" w:line="240" w:lineRule="auto"/>
              <w:jc w:val="left"/>
            </w:pPr>
            <w:r>
              <w:rPr>
                <w:rFonts w:ascii="Times New Roman" w:hAnsi="Times New Roman"/>
                <w:sz w:val="16"/>
              </w:rPr>
              <w:t xml:space="preserve">2.501</w:t>
            </w:r>
          </w:p>
        </w:tc>
        <w:tc>
          <w:tcPr/>
          <w:p>
            <w:pPr>
              <w:pStyle w:val="Compact"/>
              <w:spacing w:after="0" w:line="240" w:lineRule="auto"/>
              <w:jc w:val="left"/>
            </w:pPr>
            <w:r>
              <w:rPr>
                <w:rFonts w:ascii="Times New Roman" w:hAnsi="Times New Roman"/>
                <w:sz w:val="16"/>
              </w:rPr>
              <w:t xml:space="preserve">0.142</w:t>
            </w:r>
          </w:p>
        </w:tc>
        <w:tc>
          <w:tcPr/>
          <w:p>
            <w:pPr>
              <w:pStyle w:val="Compact"/>
              <w:spacing w:after="0" w:line="240" w:lineRule="auto"/>
              <w:jc w:val="left"/>
            </w:pPr>
            <w:r>
              <w:rPr>
                <w:rFonts w:ascii="Times New Roman" w:hAnsi="Times New Roman"/>
                <w:sz w:val="16"/>
              </w:rPr>
              <w:t xml:space="preserve">0.653</w:t>
            </w:r>
          </w:p>
        </w:tc>
        <w:tc>
          <w:tcPr/>
          <w:p>
            <w:pPr>
              <w:pStyle w:val="Compact"/>
              <w:spacing w:after="0" w:line="240" w:lineRule="auto"/>
              <w:jc w:val="left"/>
            </w:pPr>
            <w:r>
              <w:rPr>
                <w:rFonts w:ascii="Times New Roman" w:hAnsi="Times New Roman"/>
                <w:sz w:val="16"/>
              </w:rPr>
              <w:t xml:space="preserve">0.749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7/0/1</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0.031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8</w:t>
            </w:r>
          </w:p>
        </w:tc>
        <w:tc>
          <w:tcPr/>
          <w:p>
            <w:pPr>
              <w:pStyle w:val="Compact"/>
              <w:spacing w:after="0" w:line="240" w:lineRule="auto"/>
              <w:jc w:val="left"/>
            </w:pPr>
            <w:r>
              <w:rPr>
                <w:rFonts w:ascii="Times New Roman" w:hAnsi="Times New Roman"/>
                <w:sz w:val="16"/>
              </w:rPr>
              <w:t xml:space="preserve">6.242</w:t>
            </w:r>
          </w:p>
        </w:tc>
        <w:tc>
          <w:tcPr/>
          <w:p>
            <w:pPr>
              <w:pStyle w:val="Compact"/>
              <w:spacing w:after="0" w:line="240" w:lineRule="auto"/>
              <w:jc w:val="left"/>
            </w:pPr>
            <w:r>
              <w:rPr>
                <w:rFonts w:ascii="Times New Roman" w:hAnsi="Times New Roman"/>
                <w:sz w:val="16"/>
              </w:rPr>
              <w:t xml:space="preserve">0.146</w:t>
            </w:r>
          </w:p>
        </w:tc>
        <w:tc>
          <w:tcPr/>
          <w:p>
            <w:pPr>
              <w:pStyle w:val="Compact"/>
              <w:spacing w:after="0" w:line="240" w:lineRule="auto"/>
              <w:jc w:val="left"/>
            </w:pPr>
            <w:r>
              <w:rPr>
                <w:rFonts w:ascii="Times New Roman" w:hAnsi="Times New Roman"/>
                <w:sz w:val="16"/>
              </w:rPr>
              <w:t xml:space="preserve">0.651</w:t>
            </w:r>
          </w:p>
        </w:tc>
        <w:tc>
          <w:tcPr/>
          <w:p>
            <w:pPr>
              <w:pStyle w:val="Compact"/>
              <w:spacing w:after="0" w:line="240" w:lineRule="auto"/>
              <w:jc w:val="left"/>
            </w:pPr>
            <w:r>
              <w:rPr>
                <w:rFonts w:ascii="Times New Roman" w:hAnsi="Times New Roman"/>
                <w:sz w:val="16"/>
              </w:rPr>
              <w:t xml:space="preserve">0.698</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0.031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3.377</w:t>
            </w:r>
          </w:p>
        </w:tc>
        <w:tc>
          <w:tcPr/>
          <w:p>
            <w:pPr>
              <w:pStyle w:val="Compact"/>
              <w:spacing w:after="0" w:line="240" w:lineRule="auto"/>
              <w:jc w:val="left"/>
            </w:pPr>
            <w:r>
              <w:rPr>
                <w:rFonts w:ascii="Times New Roman" w:hAnsi="Times New Roman"/>
                <w:sz w:val="16"/>
              </w:rPr>
              <w:t xml:space="preserve">0.243</w:t>
            </w:r>
          </w:p>
        </w:tc>
        <w:tc>
          <w:tcPr/>
          <w:p>
            <w:pPr>
              <w:pStyle w:val="Compact"/>
              <w:spacing w:after="0" w:line="240" w:lineRule="auto"/>
              <w:jc w:val="left"/>
            </w:pPr>
            <w:r>
              <w:rPr>
                <w:rFonts w:ascii="Times New Roman" w:hAnsi="Times New Roman"/>
                <w:sz w:val="16"/>
              </w:rPr>
              <w:t xml:space="preserve">0.580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3.56</w:t>
            </w:r>
          </w:p>
        </w:tc>
        <w:tc>
          <w:tcPr/>
          <w:p>
            <w:pPr>
              <w:pStyle w:val="Compact"/>
              <w:spacing w:after="0" w:line="240" w:lineRule="auto"/>
              <w:jc w:val="left"/>
            </w:pPr>
            <w:r>
              <w:rPr>
                <w:rFonts w:ascii="Times New Roman" w:hAnsi="Times New Roman"/>
                <w:sz w:val="16"/>
              </w:rPr>
              <w:t xml:space="preserve">8/0/1</w:t>
            </w:r>
          </w:p>
        </w:tc>
        <w:tc>
          <w:tcPr/>
          <w:p>
            <w:pPr>
              <w:pStyle w:val="Compact"/>
              <w:spacing w:after="0" w:line="240" w:lineRule="auto"/>
              <w:jc w:val="left"/>
            </w:pPr>
            <w:r>
              <w:rPr>
                <w:rFonts w:ascii="Times New Roman" w:hAnsi="Times New Roman"/>
                <w:sz w:val="16"/>
              </w:rPr>
              <w:t xml:space="preserve">0.91</w:t>
            </w:r>
          </w:p>
        </w:tc>
        <w:tc>
          <w:tcPr/>
          <w:p>
            <w:pPr>
              <w:pStyle w:val="Compact"/>
              <w:spacing w:after="0" w:line="240" w:lineRule="auto"/>
              <w:jc w:val="left"/>
            </w:pPr>
            <w:r>
              <w:rPr>
                <w:rFonts w:ascii="Times New Roman" w:hAnsi="Times New Roman"/>
                <w:sz w:val="16"/>
              </w:rPr>
              <w:t xml:space="preserve">0.031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2.943</w:t>
            </w:r>
          </w:p>
        </w:tc>
        <w:tc>
          <w:tcPr/>
          <w:p>
            <w:pPr>
              <w:pStyle w:val="Compact"/>
              <w:spacing w:after="0" w:line="240" w:lineRule="auto"/>
              <w:jc w:val="left"/>
            </w:pPr>
            <w:r>
              <w:rPr>
                <w:rFonts w:ascii="Times New Roman" w:hAnsi="Times New Roman"/>
                <w:sz w:val="16"/>
              </w:rPr>
              <w:t xml:space="preserve">0.446</w:t>
            </w:r>
          </w:p>
        </w:tc>
        <w:tc>
          <w:tcPr/>
          <w:p>
            <w:pPr>
              <w:pStyle w:val="Compact"/>
              <w:spacing w:after="0" w:line="240" w:lineRule="auto"/>
              <w:jc w:val="left"/>
            </w:pPr>
            <w:r>
              <w:rPr>
                <w:rFonts w:ascii="Times New Roman" w:hAnsi="Times New Roman"/>
                <w:sz w:val="16"/>
              </w:rPr>
              <w:t xml:space="preserve">0.641</w:t>
            </w:r>
          </w:p>
        </w:tc>
        <w:tc>
          <w:tcPr/>
          <w:p>
            <w:pPr>
              <w:pStyle w:val="Compact"/>
              <w:spacing w:after="0" w:line="240" w:lineRule="auto"/>
              <w:jc w:val="left"/>
            </w:pPr>
            <w:r>
              <w:rPr>
                <w:rFonts w:ascii="Times New Roman" w:hAnsi="Times New Roman"/>
                <w:sz w:val="16"/>
              </w:rPr>
              <w:t xml:space="preserve">0.499</w:t>
            </w:r>
          </w:p>
        </w:tc>
        <w:tc>
          <w:tcPr/>
          <w:p>
            <w:pPr>
              <w:pStyle w:val="Compact"/>
              <w:spacing w:after="0" w:line="240" w:lineRule="auto"/>
              <w:jc w:val="left"/>
            </w:pPr>
            <w:r>
              <w:rPr>
                <w:rFonts w:ascii="Times New Roman" w:hAnsi="Times New Roman"/>
                <w:sz w:val="16"/>
              </w:rPr>
              <w:t xml:space="preserve">2.67</w:t>
            </w:r>
          </w:p>
        </w:tc>
        <w:tc>
          <w:tcPr/>
          <w:p>
            <w:pPr>
              <w:pStyle w:val="Compact"/>
              <w:spacing w:after="0" w:line="240" w:lineRule="auto"/>
              <w:jc w:val="left"/>
            </w:pPr>
            <w:r>
              <w:rPr>
                <w:rFonts w:ascii="Times New Roman" w:hAnsi="Times New Roman"/>
                <w:sz w:val="16"/>
              </w:rPr>
              <w:t xml:space="preserve">9/0/0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0.027</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12.416</w:t>
            </w:r>
          </w:p>
        </w:tc>
        <w:tc>
          <w:tcPr/>
          <w:p>
            <w:pPr>
              <w:pStyle w:val="Compact"/>
              <w:spacing w:after="0" w:line="240" w:lineRule="auto"/>
              <w:jc w:val="left"/>
            </w:pPr>
            <w:r>
              <w:rPr>
                <w:rFonts w:ascii="Times New Roman" w:hAnsi="Times New Roman"/>
                <w:sz w:val="16"/>
              </w:rPr>
              <w:t xml:space="preserve">0.359</w:t>
            </w:r>
          </w:p>
        </w:tc>
        <w:tc>
          <w:tcPr/>
          <w:p>
            <w:pPr>
              <w:pStyle w:val="Compact"/>
              <w:spacing w:after="0" w:line="240" w:lineRule="auto"/>
              <w:jc w:val="left"/>
            </w:pPr>
            <w:r>
              <w:rPr>
                <w:rFonts w:ascii="Times New Roman" w:hAnsi="Times New Roman"/>
                <w:sz w:val="16"/>
              </w:rPr>
              <w:t xml:space="preserve">0.641</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6.00</w:t>
            </w:r>
          </w:p>
        </w:tc>
        <w:tc>
          <w:tcPr/>
          <w:p>
            <w:pPr>
              <w:pStyle w:val="Compact"/>
              <w:spacing w:after="0" w:line="240" w:lineRule="auto"/>
              <w:jc w:val="left"/>
            </w:pPr>
            <w:r>
              <w:rPr>
                <w:rFonts w:ascii="Times New Roman" w:hAnsi="Times New Roman"/>
                <w:sz w:val="16"/>
              </w:rPr>
              <w:t xml:space="preserve">9/0/0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0.027</w:t>
            </w:r>
          </w:p>
        </w:tc>
      </w:tr>
    </w:tbl>
    <w:p>
      <w:pPr>
        <w:pStyle w:val="CaptionedFigure"/>
        <w:jc w:val="center"/>
      </w:pPr>
      <w:r>
        <w:drawing>
          <wp:inline>
            <wp:extent cx="5465445" cy="2130545"/>
            <wp:effectExtent b="0" l="0" r="0" t="0"/>
            <wp:docPr descr="Fig. 3 Distribution over datasets of the median test leverage ratio h(x)/h_ref (log scale) for clean test data and each corruption family at severities 1–3" title="" id="42" name="Picture"/>
            <a:graphic>
              <a:graphicData uri="http://schemas.openxmlformats.org/drawingml/2006/picture">
                <pic:pic>
                  <pic:nvPicPr>
                    <pic:cNvPr descr="/tmp/claude-0/partial/figures/fig_leverage_ratio.png" id="43" name="Picture"/>
                    <pic:cNvPicPr>
                      <a:picLocks noChangeArrowheads="1" noChangeAspect="1"/>
                    </pic:cNvPicPr>
                  </pic:nvPicPr>
                  <pic:blipFill>
                    <a:blip r:embed="rId41"/>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Distribution over datasets of the median test leverage ratio h(x)/h_ref (log scale) for clean test data and each corruption family at severities 1–3</w:t>
      </w:r>
    </w:p>
    <w:p>
      <w:pPr>
        <w:pStyle w:val="CaptionedFigure"/>
        <w:jc w:val="center"/>
      </w:pPr>
      <w:r>
        <w:drawing>
          <wp:inline>
            <wp:extent cx="5753100" cy="3465091"/>
            <wp:effectExtent b="0" l="0" r="0" t="0"/>
            <wp:docPr descr="Fig. 4 Median test NLL over datasets versus corruption severity for each family (severity 0 = clean)" title="" id="45" name="Picture"/>
            <a:graphic>
              <a:graphicData uri="http://schemas.openxmlformats.org/drawingml/2006/picture">
                <pic:pic>
                  <pic:nvPicPr>
                    <pic:cNvPr descr="/tmp/claude-0/partial/figures/fig_robustness_nll.png" id="46" name="Picture"/>
                    <pic:cNvPicPr>
                      <a:picLocks noChangeArrowheads="1" noChangeAspect="1"/>
                    </pic:cNvPicPr>
                  </pic:nvPicPr>
                  <pic:blipFill>
                    <a:blip r:embed="rId44"/>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test NLL over datasets versus corruption severity for each family (severity 0 = clean)</w:t>
      </w:r>
    </w:p>
    <w:p>
      <w:pPr>
        <w:pStyle w:val="CaptionedFigure"/>
        <w:jc w:val="center"/>
      </w:pPr>
      <w:r>
        <w:drawing>
          <wp:inline>
            <wp:extent cx="5465445" cy="2480007"/>
            <wp:effectExtent b="0" l="0" r="0" t="0"/>
            <wp:docPr descr="Fig. 5 Per-dataset NLL of LOOM versus PreVal on clean data (left) and averaged over the 18 corruption conditions (right); points below the diagonal favour LOOM" title="" id="48" name="Picture"/>
            <a:graphic>
              <a:graphicData uri="http://schemas.openxmlformats.org/drawingml/2006/picture">
                <pic:pic>
                  <pic:nvPicPr>
                    <pic:cNvPr descr="/tmp/claude-0/partial/figures/fig_scatter_loom_vs_preval.png" id="49" name="Picture"/>
                    <pic:cNvPicPr>
                      <a:picLocks noChangeArrowheads="1" noChangeAspect="1"/>
                    </pic:cNvPicPr>
                  </pic:nvPicPr>
                  <pic:blipFill>
                    <a:blip r:embed="rId47"/>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Per-dataset NLL of LOOM versus PreVal on clean data (left) and averaged over the 18 corruption conditions (right); points below the diagonal favour LOOM</w:t>
      </w:r>
    </w:p>
    <w:p>
      <w:pPr>
        <w:pStyle w:val="CaptionedFigure"/>
        <w:jc w:val="center"/>
      </w:pPr>
      <w:r>
        <w:drawing>
          <wp:inline>
            <wp:extent cx="5465445" cy="2322879"/>
            <wp:effectExtent b="0" l="0" r="0" t="0"/>
            <wp:docPr descr="Fig. 6 Reliability diagrams pooled over all datasets and resamples for clean test data (left) and severity-3 corruptions (right)" title="" id="51" name="Picture"/>
            <a:graphic>
              <a:graphicData uri="http://schemas.openxmlformats.org/drawingml/2006/picture">
                <pic:pic>
                  <pic:nvPicPr>
                    <pic:cNvPr descr="/tmp/claude-0/partial/figures/fig_reliability.png" id="52" name="Picture"/>
                    <pic:cNvPicPr>
                      <a:picLocks noChangeArrowheads="1" noChangeAspect="1"/>
                    </pic:cNvPicPr>
                  </pic:nvPicPr>
                  <pic:blipFill>
                    <a:blip r:embed="rId50"/>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Reliability diagrams pooled over all datasets and resamples for clean test data (left) and severity-3 corruptions (right)</w:t>
      </w:r>
    </w:p>
    <w:bookmarkEnd w:id="53"/>
    <w:bookmarkStart w:id="54" w:name="X9addcf000060219d9f09bdfc06f6438b62fce62"/>
    <w:p>
      <w:pPr>
        <w:pStyle w:val="Heading2"/>
      </w:pPr>
      <w:r>
        <w:t xml:space="preserve">6.3 Ensembles, QUANT and the Arsenal (official split)</w:t>
      </w:r>
    </w:p>
    <w:p>
      <w:pPr>
        <w:pStyle w:val="FirstParagraph"/>
      </w:pPr>
      <w:r>
        <w:t xml:space="preserve">Table 3 compares LOOM with five-member ensembles and the two raw-series probabilistic classifiers on the official split. On clean data LOOM is not significantly different from PreVal, 5-seed ensemble (W/D/L 2/0/7, median difference -0.036 [95 % CI -0.098, +0.001], r_rb = -0.64, Holm-adjusted p = 0.293),</w:t>
      </w:r>
      <w:r>
        <w:t xml:space="preserve"> </w:t>
      </w:r>
      <w:r>
        <w:rPr>
          <w:bCs/>
          <w:b/>
        </w:rPr>
        <w:t xml:space="preserve">[MISSING: cmp(</w:t>
      </w:r>
      <w:r>
        <w:rPr>
          <w:bCs/>
          <w:b/>
        </w:rPr>
        <w:t xml:space="preserve">‘</w:t>
      </w:r>
      <w:r>
        <w:rPr>
          <w:bCs/>
          <w:b/>
        </w:rPr>
        <w:t xml:space="preserve">E2b_raw_clean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QUANT</w:t>
      </w:r>
      <w:r>
        <w:rPr>
          <w:bCs/>
          <w:b/>
        </w:rPr>
        <w:t xml:space="preserve">’</w:t>
      </w:r>
      <w:r>
        <w:rPr>
          <w:bCs/>
          <w:b/>
        </w:rPr>
        <w:t xml:space="preserve">)]</w:t>
      </w:r>
      <w:r>
        <w:t xml:space="preserve"> </w:t>
      </w:r>
      <w:r>
        <w:t xml:space="preserve">and</w:t>
      </w:r>
      <w:r>
        <w:t xml:space="preserve"> </w:t>
      </w:r>
      <w:r>
        <w:rPr>
          <w:bCs/>
          <w:b/>
        </w:rPr>
        <w:t xml:space="preserve">[MISSING: cmp(</w:t>
      </w:r>
      <w:r>
        <w:rPr>
          <w:bCs/>
          <w:b/>
        </w:rPr>
        <w:t xml:space="preserve">‘</w:t>
      </w:r>
      <w:r>
        <w:rPr>
          <w:bCs/>
          <w:b/>
        </w:rPr>
        <w:t xml:space="preserve">E2b_raw_clean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Arsenal</w:t>
      </w:r>
      <w:r>
        <w:rPr>
          <w:bCs/>
          <w:b/>
        </w:rPr>
        <w:t xml:space="preserve">’</w:t>
      </w:r>
      <w:r>
        <w:rPr>
          <w:bCs/>
          <w:b/>
        </w:rPr>
        <w:t xml:space="preserve">)]</w:t>
      </w:r>
      <w:r>
        <w:t xml:space="preserve">. Under corruption (severity-3 conditions for the Arsenal, all 18 for the others), LOOM is better than PreVal, 5-seed ensemble (W/D/L 8/0/1, median difference +1.733 [95 % CI +0.042, +5.495], r_rb = 0.91, Holm-adjusted p = 0.023),</w:t>
      </w:r>
      <w:r>
        <w:t xml:space="preserve"> </w:t>
      </w:r>
      <w:r>
        <w:rPr>
          <w:bCs/>
          <w:b/>
        </w:rPr>
        <w:t xml:space="preserve">[MISSING: cmp(</w:t>
      </w:r>
      <w:r>
        <w:rPr>
          <w:bCs/>
          <w:b/>
        </w:rPr>
        <w:t xml:space="preserve">‘</w:t>
      </w:r>
      <w:r>
        <w:rPr>
          <w:bCs/>
          <w:b/>
        </w:rPr>
        <w:t xml:space="preserve">E2b_raw_shifted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QUANT</w:t>
      </w:r>
      <w:r>
        <w:rPr>
          <w:bCs/>
          <w:b/>
        </w:rPr>
        <w:t xml:space="preserve">’</w:t>
      </w:r>
      <w:r>
        <w:rPr>
          <w:bCs/>
          <w:b/>
        </w:rPr>
        <w:t xml:space="preserve">)]</w:t>
      </w:r>
      <w:r>
        <w:t xml:space="preserve"> </w:t>
      </w:r>
      <w:r>
        <w:t xml:space="preserve">and</w:t>
      </w:r>
      <w:r>
        <w:t xml:space="preserve"> </w:t>
      </w:r>
      <w:r>
        <w:rPr>
          <w:bCs/>
          <w:b/>
        </w:rPr>
        <w:t xml:space="preserve">[MISSING: cmp(</w:t>
      </w:r>
      <w:r>
        <w:rPr>
          <w:bCs/>
          <w:b/>
        </w:rPr>
        <w:t xml:space="preserve">‘</w:t>
      </w:r>
      <w:r>
        <w:rPr>
          <w:bCs/>
          <w:b/>
        </w:rPr>
        <w:t xml:space="preserve">E2b_raw_shifted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Arsenal</w:t>
      </w:r>
      <w:r>
        <w:rPr>
          <w:bCs/>
          <w:b/>
        </w:rPr>
        <w:t xml:space="preserve">’</w:t>
      </w:r>
      <w:r>
        <w:rPr>
          <w:bCs/>
          <w:b/>
        </w:rPr>
        <w:t xml:space="preserve">)]</w:t>
      </w:r>
      <w:r>
        <w:t xml:space="preserve">. Averaging five LOOM models gives a median clean NLL of 0.201 and a corrupted NLL of 0.899.</w:t>
      </w:r>
    </w:p>
    <w:p>
      <w:pPr>
        <w:pStyle w:val="TableCaption"/>
      </w:pPr>
      <w:r>
        <w:rPr>
          <w:bCs/>
          <w:b/>
        </w:rPr>
        <w:t xml:space="preserve">Table 3</w:t>
      </w:r>
      <w:r>
        <w:t xml:space="preserve"> </w:t>
      </w:r>
      <w:r>
        <w:t xml:space="preserve">Official split, under corruption (mean over the available corruption conditions, see text). Statistics as in Table 1 (NLL)</w:t>
      </w:r>
    </w:p>
    <w:tbl>
      <w:tblPr>
        <w:tblStyle w:val="Table"/>
        <w:tblW w:type="pct" w:w="5000"/>
        <w:tblLook w:firstRow="1" w:lastRow="0" w:firstColumn="0" w:lastColumn="0" w:noHBand="0" w:noVBand="0" w:val="0020"/>
        <w:jc w:val="start"/>
        <w:tblCaption w:val="Table 3 Official split, under corruption (mean over the available corruption conditions, see text).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0.182</w:t>
            </w:r>
          </w:p>
        </w:tc>
        <w:tc>
          <w:tcPr/>
          <w:p>
            <w:pPr>
              <w:pStyle w:val="Compact"/>
              <w:spacing w:after="0" w:line="240" w:lineRule="auto"/>
              <w:jc w:val="left"/>
            </w:pPr>
            <w:r>
              <w:rPr>
                <w:rFonts w:ascii="Times New Roman" w:hAnsi="Times New Roman"/>
                <w:sz w:val="16"/>
              </w:rPr>
              <w:t xml:space="preserve">0.658</w:t>
            </w:r>
          </w:p>
        </w:tc>
        <w:tc>
          <w:tcPr/>
          <w:p>
            <w:pPr>
              <w:pStyle w:val="Compact"/>
              <w:spacing w:after="0" w:line="240" w:lineRule="auto"/>
              <w:jc w:val="left"/>
            </w:pPr>
            <w:r>
              <w:rPr>
                <w:rFonts w:ascii="Times New Roman" w:hAnsi="Times New Roman"/>
                <w:sz w:val="16"/>
              </w:rPr>
              <w:t xml:space="preserve">0.833</w:t>
            </w:r>
          </w:p>
        </w:tc>
        <w:tc>
          <w:tcPr/>
          <w:p>
            <w:pPr>
              <w:pStyle w:val="Compact"/>
              <w:spacing w:after="0" w:line="240" w:lineRule="auto"/>
              <w:jc w:val="left"/>
            </w:pPr>
            <w:r>
              <w:rPr>
                <w:rFonts w:ascii="Times New Roman" w:hAnsi="Times New Roman"/>
                <w:sz w:val="16"/>
              </w:rPr>
              <w:t xml:space="preserve">2.00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0.189</w:t>
            </w:r>
          </w:p>
        </w:tc>
        <w:tc>
          <w:tcPr/>
          <w:p>
            <w:pPr>
              <w:pStyle w:val="Compact"/>
              <w:spacing w:after="0" w:line="240" w:lineRule="auto"/>
              <w:jc w:val="left"/>
            </w:pPr>
            <w:r>
              <w:rPr>
                <w:rFonts w:ascii="Times New Roman" w:hAnsi="Times New Roman"/>
                <w:sz w:val="16"/>
              </w:rPr>
              <w:t xml:space="preserve">0.659</w:t>
            </w:r>
          </w:p>
        </w:tc>
        <w:tc>
          <w:tcPr/>
          <w:p>
            <w:pPr>
              <w:pStyle w:val="Compact"/>
              <w:spacing w:after="0" w:line="240" w:lineRule="auto"/>
              <w:jc w:val="left"/>
            </w:pPr>
            <w:r>
              <w:rPr>
                <w:rFonts w:ascii="Times New Roman" w:hAnsi="Times New Roman"/>
                <w:sz w:val="16"/>
              </w:rPr>
              <w:t xml:space="preserve">0.833</w:t>
            </w:r>
          </w:p>
        </w:tc>
        <w:tc>
          <w:tcPr/>
          <w:p>
            <w:pPr>
              <w:pStyle w:val="Compact"/>
              <w:spacing w:after="0" w:line="240" w:lineRule="auto"/>
              <w:jc w:val="left"/>
            </w:pPr>
            <w:r>
              <w:rPr>
                <w:rFonts w:ascii="Times New Roman" w:hAnsi="Times New Roman"/>
                <w:sz w:val="16"/>
              </w:rPr>
              <w:t xml:space="preserve">1.44</w:t>
            </w:r>
          </w:p>
        </w:tc>
        <w:tc>
          <w:tcPr/>
          <w:p>
            <w:pPr>
              <w:pStyle w:val="Compact"/>
              <w:spacing w:after="0" w:line="240" w:lineRule="auto"/>
              <w:jc w:val="left"/>
            </w:pPr>
            <w:r>
              <w:rPr>
                <w:rFonts w:ascii="Times New Roman" w:hAnsi="Times New Roman"/>
                <w:sz w:val="16"/>
              </w:rPr>
              <w:t xml:space="preserve">2/0/7</w:t>
            </w:r>
          </w:p>
        </w:tc>
        <w:tc>
          <w:tcPr/>
          <w:p>
            <w:pPr>
              <w:pStyle w:val="Compact"/>
              <w:spacing w:after="0" w:line="240" w:lineRule="auto"/>
              <w:jc w:val="left"/>
            </w:pPr>
            <w:r>
              <w:rPr>
                <w:rFonts w:ascii="Times New Roman" w:hAnsi="Times New Roman"/>
                <w:sz w:val="16"/>
              </w:rPr>
              <w:t xml:space="preserve">-0.47</w:t>
            </w:r>
          </w:p>
        </w:tc>
        <w:tc>
          <w:tcPr/>
          <w:p>
            <w:pPr>
              <w:pStyle w:val="Compact"/>
              <w:spacing w:after="0" w:line="240" w:lineRule="auto"/>
              <w:jc w:val="left"/>
            </w:pPr>
            <w:r>
              <w:rPr>
                <w:rFonts w:ascii="Times New Roman" w:hAnsi="Times New Roman"/>
                <w:sz w:val="16"/>
              </w:rPr>
              <w:t xml:space="preserve">0.250</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5.535</w:t>
            </w:r>
          </w:p>
        </w:tc>
        <w:tc>
          <w:tcPr/>
          <w:p>
            <w:pPr>
              <w:pStyle w:val="Compact"/>
              <w:spacing w:after="0" w:line="240" w:lineRule="auto"/>
              <w:jc w:val="left"/>
            </w:pPr>
            <w:r>
              <w:rPr>
                <w:rFonts w:ascii="Times New Roman" w:hAnsi="Times New Roman"/>
                <w:sz w:val="16"/>
              </w:rPr>
              <w:t xml:space="preserve">0.241</w:t>
            </w:r>
          </w:p>
        </w:tc>
        <w:tc>
          <w:tcPr/>
          <w:p>
            <w:pPr>
              <w:pStyle w:val="Compact"/>
              <w:spacing w:after="0" w:line="240" w:lineRule="auto"/>
              <w:jc w:val="left"/>
            </w:pPr>
            <w:r>
              <w:rPr>
                <w:rFonts w:ascii="Times New Roman" w:hAnsi="Times New Roman"/>
                <w:sz w:val="16"/>
              </w:rPr>
              <w:t xml:space="preserve">0.658</w:t>
            </w:r>
          </w:p>
        </w:tc>
        <w:tc>
          <w:tcPr/>
          <w:p>
            <w:pPr>
              <w:pStyle w:val="Compact"/>
              <w:spacing w:after="0" w:line="240" w:lineRule="auto"/>
              <w:jc w:val="left"/>
            </w:pPr>
            <w:r>
              <w:rPr>
                <w:rFonts w:ascii="Times New Roman" w:hAnsi="Times New Roman"/>
                <w:sz w:val="16"/>
              </w:rPr>
              <w:t xml:space="preserve">0.525</w:t>
            </w:r>
          </w:p>
        </w:tc>
        <w:tc>
          <w:tcPr/>
          <w:p>
            <w:pPr>
              <w:pStyle w:val="Compact"/>
              <w:spacing w:after="0" w:line="240" w:lineRule="auto"/>
              <w:jc w:val="left"/>
            </w:pPr>
            <w:r>
              <w:rPr>
                <w:rFonts w:ascii="Times New Roman" w:hAnsi="Times New Roman"/>
                <w:sz w:val="16"/>
              </w:rPr>
              <w:t xml:space="preserve">3.78</w:t>
            </w:r>
          </w:p>
        </w:tc>
        <w:tc>
          <w:tcPr/>
          <w:p>
            <w:pPr>
              <w:pStyle w:val="Compact"/>
              <w:spacing w:after="0" w:line="240" w:lineRule="auto"/>
              <w:jc w:val="left"/>
            </w:pPr>
            <w:r>
              <w:rPr>
                <w:rFonts w:ascii="Times New Roman" w:hAnsi="Times New Roman"/>
                <w:sz w:val="16"/>
              </w:rPr>
              <w:t xml:space="preserve">8/0/1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0.023</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9</w:t>
            </w:r>
          </w:p>
        </w:tc>
        <w:tc>
          <w:tcPr/>
          <w:p>
            <w:pPr>
              <w:pStyle w:val="Compact"/>
              <w:spacing w:after="0" w:line="240" w:lineRule="auto"/>
              <w:jc w:val="left"/>
            </w:pPr>
            <w:r>
              <w:rPr>
                <w:rFonts w:ascii="Times New Roman" w:hAnsi="Times New Roman"/>
                <w:sz w:val="16"/>
              </w:rPr>
              <w:t xml:space="preserve">2.778</w:t>
            </w:r>
          </w:p>
        </w:tc>
        <w:tc>
          <w:tcPr/>
          <w:p>
            <w:pPr>
              <w:pStyle w:val="Compact"/>
              <w:spacing w:after="0" w:line="240" w:lineRule="auto"/>
              <w:jc w:val="left"/>
            </w:pPr>
            <w:r>
              <w:rPr>
                <w:rFonts w:ascii="Times New Roman" w:hAnsi="Times New Roman"/>
                <w:sz w:val="16"/>
              </w:rPr>
              <w:t xml:space="preserve">0.181</w:t>
            </w:r>
          </w:p>
        </w:tc>
        <w:tc>
          <w:tcPr/>
          <w:p>
            <w:pPr>
              <w:pStyle w:val="Compact"/>
              <w:spacing w:after="0" w:line="240" w:lineRule="auto"/>
              <w:jc w:val="left"/>
            </w:pPr>
            <w:r>
              <w:rPr>
                <w:rFonts w:ascii="Times New Roman" w:hAnsi="Times New Roman"/>
                <w:sz w:val="16"/>
              </w:rPr>
              <w:t xml:space="preserve">0.659</w:t>
            </w:r>
          </w:p>
        </w:tc>
        <w:tc>
          <w:tcPr/>
          <w:p>
            <w:pPr>
              <w:pStyle w:val="Compact"/>
              <w:spacing w:after="0" w:line="240" w:lineRule="auto"/>
              <w:jc w:val="left"/>
            </w:pPr>
            <w:r>
              <w:rPr>
                <w:rFonts w:ascii="Times New Roman" w:hAnsi="Times New Roman"/>
                <w:sz w:val="16"/>
              </w:rPr>
              <w:t xml:space="preserve">0.657</w:t>
            </w:r>
          </w:p>
        </w:tc>
        <w:tc>
          <w:tcPr/>
          <w:p>
            <w:pPr>
              <w:pStyle w:val="Compact"/>
              <w:spacing w:after="0" w:line="240" w:lineRule="auto"/>
              <w:jc w:val="left"/>
            </w:pPr>
            <w:r>
              <w:rPr>
                <w:rFonts w:ascii="Times New Roman" w:hAnsi="Times New Roman"/>
                <w:sz w:val="16"/>
              </w:rPr>
              <w:t xml:space="preserve">2.78</w:t>
            </w:r>
          </w:p>
        </w:tc>
        <w:tc>
          <w:tcPr/>
          <w:p>
            <w:pPr>
              <w:pStyle w:val="Compact"/>
              <w:spacing w:after="0" w:line="240" w:lineRule="auto"/>
              <w:jc w:val="left"/>
            </w:pPr>
            <w:r>
              <w:rPr>
                <w:rFonts w:ascii="Times New Roman" w:hAnsi="Times New Roman"/>
                <w:sz w:val="16"/>
              </w:rPr>
              <w:t xml:space="preserve">8/0/1</w:t>
            </w:r>
          </w:p>
        </w:tc>
        <w:tc>
          <w:tcPr/>
          <w:p>
            <w:pPr>
              <w:pStyle w:val="Compact"/>
              <w:spacing w:after="0" w:line="240" w:lineRule="auto"/>
              <w:jc w:val="left"/>
            </w:pPr>
            <w:r>
              <w:rPr>
                <w:rFonts w:ascii="Times New Roman" w:hAnsi="Times New Roman"/>
                <w:sz w:val="16"/>
              </w:rPr>
              <w:t xml:space="preserve">0.91</w:t>
            </w:r>
          </w:p>
        </w:tc>
        <w:tc>
          <w:tcPr/>
          <w:p>
            <w:pPr>
              <w:pStyle w:val="Compact"/>
              <w:spacing w:after="0" w:line="240" w:lineRule="auto"/>
              <w:jc w:val="left"/>
            </w:pPr>
            <w:r>
              <w:rPr>
                <w:rFonts w:ascii="Times New Roman" w:hAnsi="Times New Roman"/>
                <w:sz w:val="16"/>
              </w:rPr>
              <w:t xml:space="preserve">0.023</w:t>
            </w:r>
          </w:p>
        </w:tc>
      </w:tr>
    </w:tbl>
    <w:bookmarkEnd w:id="54"/>
    <w:bookmarkStart w:id="58" w:name="ablation-rq2"/>
    <w:p>
      <w:pPr>
        <w:pStyle w:val="Heading2"/>
      </w:pPr>
      <w:r>
        <w:t xml:space="preserve">6.4 Ablation (RQ2)</w:t>
      </w:r>
    </w:p>
    <w:p>
      <w:pPr>
        <w:pStyle w:val="FirstParagraph"/>
      </w:pPr>
      <w:r>
        <w:t xml:space="preserve">Fig. 7 shows the median NLL difference of each variant to LOOM. Removing the leverage moderation while keeping smoothing (PreVal-smooth) makes calibration under corruption not significantly different relative to LOOM (median NLL 4.170 vs 0.896). On clean data the same comparison is not significantly different, so moderation does not hurt in-distribution calibration. Fitting the calibrator on in-sample pairs instead of exact LOO pairs is significantly better on clean data (median NLL 1.584), and replacing LOO pairs by an 80/20 hold-out split is significantly better (median 0.336), because the ridge is then trained on fewer series. Without target smoothing LOOM is not significantly different on clean NLL and not significantly different under corruption. Learning the moderation strength b on the LOO pairs (LOOM-free-b) is not significantly different under corruption, confirming the identifiability problem found during development. Replacing leverage by a k-NN distance is not significantly different under corruption, a finite moderation strength (c = 1) is not significantly different, and choosing λ by LOO squared error is not significantly different on clean data.</w:t>
      </w:r>
    </w:p>
    <w:p>
      <w:pPr>
        <w:pStyle w:val="CaptionedFigure"/>
        <w:jc w:val="center"/>
      </w:pPr>
      <w:r>
        <w:drawing>
          <wp:inline>
            <wp:extent cx="5753100" cy="2278646"/>
            <wp:effectExtent b="0" l="0" r="0" t="0"/>
            <wp:docPr descr="Fig. 7 Ablation: median paired NLL difference (variant − LOOM) with bootstrap 95 % confidence intervals on clean data (left) and under corruption (right); positive values mean the variant is worse" title="" id="56" name="Picture"/>
            <a:graphic>
              <a:graphicData uri="http://schemas.openxmlformats.org/drawingml/2006/picture">
                <pic:pic>
                  <pic:nvPicPr>
                    <pic:cNvPr descr="/tmp/claude-0/partial/figures/fig_ablation.png" id="57" name="Picture"/>
                    <pic:cNvPicPr>
                      <a:picLocks noChangeArrowheads="1" noChangeAspect="1"/>
                    </pic:cNvPicPr>
                  </pic:nvPicPr>
                  <pic:blipFill>
                    <a:blip r:embed="rId55"/>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Ablation: median paired NLL difference (variant − LOOM) with bootstrap 95 % confidence intervals on clean data (left) and under corruption (right); positive values mean the variant is worse</w:t>
      </w:r>
    </w:p>
    <w:bookmarkEnd w:id="58"/>
    <w:bookmarkStart w:id="59" w:name="generalisation-rq4"/>
    <w:p>
      <w:pPr>
        <w:pStyle w:val="Heading2"/>
      </w:pPr>
      <w:r>
        <w:t xml:space="preserve">6.5 Generalisation (RQ4)</w:t>
      </w:r>
    </w:p>
    <w:p>
      <w:pPr>
        <w:pStyle w:val="FirstParagraph"/>
      </w:pPr>
      <w:r>
        <w:rPr>
          <w:bCs/>
          <w:b/>
        </w:rPr>
        <w:t xml:space="preserve">Other random-kernel extractors.</w:t>
      </w:r>
      <w:r>
        <w:t xml:space="preserve"> </w:t>
      </w:r>
      <w:r>
        <w:t xml:space="preserve">With MultiRocket features (official split, clean and severity-3 conditions), LOOM is</w:t>
      </w:r>
      <w:r>
        <w:t xml:space="preserve"> </w:t>
      </w:r>
      <w:r>
        <w:rPr>
          <w:bCs/>
          <w:b/>
        </w:rPr>
        <w:t xml:space="preserve">[MISSING: cmp(</w:t>
      </w:r>
      <w:r>
        <w:rPr>
          <w:bCs/>
          <w:b/>
        </w:rPr>
        <w:t xml:space="preserve">‘</w:t>
      </w:r>
      <w:r>
        <w:rPr>
          <w:bCs/>
          <w:b/>
        </w:rPr>
        <w:t xml:space="preserve">E5_multirocket_shifted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 </w:t>
      </w:r>
      <w:r>
        <w:t xml:space="preserve">under corruption and</w:t>
      </w:r>
      <w:r>
        <w:t xml:space="preserve"> </w:t>
      </w:r>
      <w:r>
        <w:rPr>
          <w:bCs/>
          <w:b/>
        </w:rPr>
        <w:t xml:space="preserve">[MISSING: cmp(</w:t>
      </w:r>
      <w:r>
        <w:rPr>
          <w:bCs/>
          <w:b/>
        </w:rPr>
        <w:t xml:space="preserve">‘</w:t>
      </w:r>
      <w:r>
        <w:rPr>
          <w:bCs/>
          <w:b/>
        </w:rPr>
        <w:t xml:space="preserve">E5_multirocket_clean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 </w:t>
      </w:r>
      <w:r>
        <w:t xml:space="preserve">on clean data. With Hydra features the corresponding comparisons are</w:t>
      </w:r>
      <w:r>
        <w:t xml:space="preserve"> </w:t>
      </w:r>
      <w:r>
        <w:rPr>
          <w:bCs/>
          <w:b/>
        </w:rPr>
        <w:t xml:space="preserve">[MISSING: cmp(</w:t>
      </w:r>
      <w:r>
        <w:rPr>
          <w:bCs/>
          <w:b/>
        </w:rPr>
        <w:t xml:space="preserve">‘</w:t>
      </w:r>
      <w:r>
        <w:rPr>
          <w:bCs/>
          <w:b/>
        </w:rPr>
        <w:t xml:space="preserve">E5_hydra_shifted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 </w:t>
      </w:r>
      <w:r>
        <w:t xml:space="preserve">and</w:t>
      </w:r>
      <w:r>
        <w:t xml:space="preserve"> </w:t>
      </w:r>
      <w:r>
        <w:rPr>
          <w:bCs/>
          <w:b/>
        </w:rPr>
        <w:t xml:space="preserve">[MISSING: cmp(</w:t>
      </w:r>
      <w:r>
        <w:rPr>
          <w:bCs/>
          <w:b/>
        </w:rPr>
        <w:t xml:space="preserve">‘</w:t>
      </w:r>
      <w:r>
        <w:rPr>
          <w:bCs/>
          <w:b/>
        </w:rPr>
        <w:t xml:space="preserve">E5_hydra_clean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w:t>
      </w:r>
    </w:p>
    <w:p>
      <w:pPr>
        <w:pStyle w:val="BodyText"/>
      </w:pPr>
      <w:r>
        <w:rPr>
          <w:bCs/>
          <w:b/>
        </w:rPr>
        <w:t xml:space="preserve">Subsets.</w:t>
      </w:r>
      <w:r>
        <w:t xml:space="preserve"> </w:t>
      </w:r>
      <w:r>
        <w:t xml:space="preserve">On the 8 datasets never used during development LOOM is not significantly different from PreVal (W/D/L 7/0/1, median difference +2.765 [95 % CI +0.047, +6.533], r_rb = 0.94, Holm-adjusted p = 0.062) under corruption and not significantly different from PreVal (W/D/L 3/0/5, median difference -0.006 [95 % CI -0.054, +0.037], r_rb = -0.22, Holm-adjusted p = 1.000) on clean data. Excluding the 16 datasets with train/test duplicates (8 datasets), the comparisons are not significantly different from PreVal (W/D/L 7/0/1, median difference +2.765 [95 % CI +0.047, +6.533], r_rb = 0.94, Holm-adjusted p = 0.062) and not significantly different from PreVal (W/D/L 3/0/5, median difference -0.013 [95 % CI -0.054, +0.037], r_rb = -0.22, Holm-adjusted p = 1.000).</w:t>
      </w:r>
    </w:p>
    <w:bookmarkEnd w:id="59"/>
    <w:bookmarkStart w:id="60" w:name="conformal-prediction-sets-rq8"/>
    <w:p>
      <w:pPr>
        <w:pStyle w:val="Heading2"/>
      </w:pPr>
      <w:r>
        <w:t xml:space="preserve">6.6 Conformal prediction sets (RQ8)</w:t>
      </w:r>
    </w:p>
    <w:p>
      <w:pPr>
        <w:pStyle w:val="FirstParagraph"/>
      </w:pPr>
      <w:r>
        <w:t xml:space="preserve">Table 4 reports coverage and set size at α = 0.1. On clean data the closed-form jackknife+ sets of LOOM cover on average 0.902 of the test series with a mean set size of 3.65, against 0.926 and 4.01 for split conformal prediction. Under corruption coverage drops for every method, because exchangeability no longer holds. With the LAC score, LOOM’s flattened probabilities lead to empty sets (50.0 % of corrupted test series), whereas the APS score turns flat probabilities into larger sets (0.8 % empty, coverage 0.955).</w:t>
      </w:r>
    </w:p>
    <w:p>
      <w:pPr>
        <w:pStyle w:val="TableCaption"/>
      </w:pPr>
      <w:r>
        <w:rPr>
          <w:bCs/>
          <w:b/>
        </w:rPr>
        <w:t xml:space="preserve">Table 4</w:t>
      </w:r>
      <w:r>
        <w:t xml:space="preserve"> </w:t>
      </w:r>
      <w:r>
        <w:t xml:space="preserve">Conformal prediction sets at α = 0.1 (target coverage 0.9). Coverage and set size are averaged over datasets (corrupted: over datasets and the 18 conditions); 10th pct. is the 10th percentile of per-dataset coverage</w:t>
      </w:r>
    </w:p>
    <w:tbl>
      <w:tblPr>
        <w:tblStyle w:val="Table"/>
        <w:tblW w:type="pct" w:w="5000"/>
        <w:tblLook w:firstRow="1" w:lastRow="0" w:firstColumn="0" w:lastColumn="0" w:noHBand="0" w:noVBand="0" w:val="0020"/>
        <w:jc w:val="start"/>
        <w:tblCaption w:val="Table 4 Conformal prediction sets at α = 0.1 (target coverage 0.9). Coverage and set size are averaged over datasets (corrupted: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0.902 / 0.884</w:t>
            </w:r>
          </w:p>
        </w:tc>
        <w:tc>
          <w:tcPr/>
          <w:p>
            <w:pPr>
              <w:pStyle w:val="Compact"/>
              <w:spacing w:after="0" w:line="240" w:lineRule="auto"/>
              <w:jc w:val="left"/>
            </w:pPr>
            <w:r>
              <w:rPr>
                <w:rFonts w:ascii="Times New Roman" w:hAnsi="Times New Roman"/>
                <w:sz w:val="16"/>
              </w:rPr>
              <w:t xml:space="preserve">3.65</w:t>
            </w:r>
          </w:p>
        </w:tc>
        <w:tc>
          <w:tcPr/>
          <w:p>
            <w:pPr>
              <w:pStyle w:val="Compact"/>
              <w:spacing w:after="0" w:line="240" w:lineRule="auto"/>
              <w:jc w:val="left"/>
            </w:pPr>
            <w:r>
              <w:rPr>
                <w:rFonts w:ascii="Times New Roman" w:hAnsi="Times New Roman"/>
                <w:sz w:val="16"/>
              </w:rPr>
              <w:t xml:space="preserve">6.9 %</w:t>
            </w:r>
          </w:p>
        </w:tc>
        <w:tc>
          <w:tcPr/>
          <w:p>
            <w:pPr>
              <w:pStyle w:val="Compact"/>
              <w:spacing w:after="0" w:line="240" w:lineRule="auto"/>
              <w:jc w:val="left"/>
            </w:pPr>
            <w:r>
              <w:rPr>
                <w:rFonts w:ascii="Times New Roman" w:hAnsi="Times New Roman"/>
                <w:sz w:val="16"/>
              </w:rPr>
              <w:t xml:space="preserve">0.440</w:t>
            </w:r>
          </w:p>
        </w:tc>
        <w:tc>
          <w:tcPr/>
          <w:p>
            <w:pPr>
              <w:pStyle w:val="Compact"/>
              <w:spacing w:after="0" w:line="240" w:lineRule="auto"/>
              <w:jc w:val="left"/>
            </w:pPr>
            <w:r>
              <w:rPr>
                <w:rFonts w:ascii="Times New Roman" w:hAnsi="Times New Roman"/>
                <w:sz w:val="16"/>
              </w:rPr>
              <w:t xml:space="preserve">3.62</w:t>
            </w:r>
          </w:p>
        </w:tc>
        <w:tc>
          <w:tcPr/>
          <w:p>
            <w:pPr>
              <w:pStyle w:val="Compact"/>
              <w:spacing w:after="0" w:line="240" w:lineRule="auto"/>
              <w:jc w:val="left"/>
            </w:pPr>
            <w:r>
              <w:rPr>
                <w:rFonts w:ascii="Times New Roman" w:hAnsi="Times New Roman"/>
                <w:sz w:val="16"/>
              </w:rPr>
              <w:t xml:space="preserve">50.0 %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0.903 / 0.883</w:t>
            </w:r>
          </w:p>
        </w:tc>
        <w:tc>
          <w:tcPr/>
          <w:p>
            <w:pPr>
              <w:pStyle w:val="Compact"/>
              <w:spacing w:after="0" w:line="240" w:lineRule="auto"/>
              <w:jc w:val="left"/>
            </w:pPr>
            <w:r>
              <w:rPr>
                <w:rFonts w:ascii="Times New Roman" w:hAnsi="Times New Roman"/>
                <w:sz w:val="16"/>
              </w:rPr>
              <w:t xml:space="preserve">3.66</w:t>
            </w:r>
          </w:p>
        </w:tc>
        <w:tc>
          <w:tcPr/>
          <w:p>
            <w:pPr>
              <w:pStyle w:val="Compact"/>
              <w:spacing w:after="0" w:line="240" w:lineRule="auto"/>
              <w:jc w:val="left"/>
            </w:pPr>
            <w:r>
              <w:rPr>
                <w:rFonts w:ascii="Times New Roman" w:hAnsi="Times New Roman"/>
                <w:sz w:val="16"/>
              </w:rPr>
              <w:t xml:space="preserve">6.8 %</w:t>
            </w:r>
          </w:p>
        </w:tc>
        <w:tc>
          <w:tcPr/>
          <w:p>
            <w:pPr>
              <w:pStyle w:val="Compact"/>
              <w:spacing w:after="0" w:line="240" w:lineRule="auto"/>
              <w:jc w:val="left"/>
            </w:pPr>
            <w:r>
              <w:rPr>
                <w:rFonts w:ascii="Times New Roman" w:hAnsi="Times New Roman"/>
                <w:sz w:val="16"/>
              </w:rPr>
              <w:t xml:space="preserve">0.442</w:t>
            </w:r>
          </w:p>
        </w:tc>
        <w:tc>
          <w:tcPr/>
          <w:p>
            <w:pPr>
              <w:pStyle w:val="Compact"/>
              <w:spacing w:after="0" w:line="240" w:lineRule="auto"/>
              <w:jc w:val="left"/>
            </w:pPr>
            <w:r>
              <w:rPr>
                <w:rFonts w:ascii="Times New Roman" w:hAnsi="Times New Roman"/>
                <w:sz w:val="16"/>
              </w:rPr>
              <w:t xml:space="preserve">3.63</w:t>
            </w:r>
          </w:p>
        </w:tc>
        <w:tc>
          <w:tcPr/>
          <w:p>
            <w:pPr>
              <w:pStyle w:val="Compact"/>
              <w:spacing w:after="0" w:line="240" w:lineRule="auto"/>
              <w:jc w:val="left"/>
            </w:pPr>
            <w:r>
              <w:rPr>
                <w:rFonts w:ascii="Times New Roman" w:hAnsi="Times New Roman"/>
                <w:sz w:val="16"/>
              </w:rPr>
              <w:t xml:space="preserve">49.6 %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0.913 / 0.899</w:t>
            </w:r>
          </w:p>
        </w:tc>
        <w:tc>
          <w:tcPr/>
          <w:p>
            <w:pPr>
              <w:pStyle w:val="Compact"/>
              <w:spacing w:after="0" w:line="240" w:lineRule="auto"/>
              <w:jc w:val="left"/>
            </w:pPr>
            <w:r>
              <w:rPr>
                <w:rFonts w:ascii="Times New Roman" w:hAnsi="Times New Roman"/>
                <w:sz w:val="16"/>
              </w:rPr>
              <w:t xml:space="preserve">11.84</w:t>
            </w:r>
          </w:p>
        </w:tc>
        <w:tc>
          <w:tcPr/>
          <w:p>
            <w:pPr>
              <w:pStyle w:val="Compact"/>
              <w:spacing w:after="0" w:line="240" w:lineRule="auto"/>
              <w:jc w:val="left"/>
            </w:pPr>
            <w:r>
              <w:rPr>
                <w:rFonts w:ascii="Times New Roman" w:hAnsi="Times New Roman"/>
                <w:sz w:val="16"/>
              </w:rPr>
              <w:t xml:space="preserve">7.9 %</w:t>
            </w:r>
          </w:p>
        </w:tc>
        <w:tc>
          <w:tcPr/>
          <w:p>
            <w:pPr>
              <w:pStyle w:val="Compact"/>
              <w:spacing w:after="0" w:line="240" w:lineRule="auto"/>
              <w:jc w:val="left"/>
            </w:pPr>
            <w:r>
              <w:rPr>
                <w:rFonts w:ascii="Times New Roman" w:hAnsi="Times New Roman"/>
                <w:sz w:val="16"/>
              </w:rPr>
              <w:t xml:space="preserve">0.955</w:t>
            </w:r>
          </w:p>
        </w:tc>
        <w:tc>
          <w:tcPr/>
          <w:p>
            <w:pPr>
              <w:pStyle w:val="Compact"/>
              <w:spacing w:after="0" w:line="240" w:lineRule="auto"/>
              <w:jc w:val="left"/>
            </w:pPr>
            <w:r>
              <w:rPr>
                <w:rFonts w:ascii="Times New Roman" w:hAnsi="Times New Roman"/>
                <w:sz w:val="16"/>
              </w:rPr>
              <w:t xml:space="preserve">14.73</w:t>
            </w:r>
          </w:p>
        </w:tc>
        <w:tc>
          <w:tcPr/>
          <w:p>
            <w:pPr>
              <w:pStyle w:val="Compact"/>
              <w:spacing w:after="0" w:line="240" w:lineRule="auto"/>
              <w:jc w:val="left"/>
            </w:pPr>
            <w:r>
              <w:rPr>
                <w:rFonts w:ascii="Times New Roman" w:hAnsi="Times New Roman"/>
                <w:sz w:val="16"/>
              </w:rPr>
              <w:t xml:space="preserve">0.8 %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0.900 / 0.883</w:t>
            </w:r>
          </w:p>
        </w:tc>
        <w:tc>
          <w:tcPr/>
          <w:p>
            <w:pPr>
              <w:pStyle w:val="Compact"/>
              <w:spacing w:after="0" w:line="240" w:lineRule="auto"/>
              <w:jc w:val="left"/>
            </w:pPr>
            <w:r>
              <w:rPr>
                <w:rFonts w:ascii="Times New Roman" w:hAnsi="Times New Roman"/>
                <w:sz w:val="16"/>
              </w:rPr>
              <w:t xml:space="preserve">3.69</w:t>
            </w:r>
          </w:p>
        </w:tc>
        <w:tc>
          <w:tcPr/>
          <w:p>
            <w:pPr>
              <w:pStyle w:val="Compact"/>
              <w:spacing w:after="0" w:line="240" w:lineRule="auto"/>
              <w:jc w:val="left"/>
            </w:pPr>
            <w:r>
              <w:rPr>
                <w:rFonts w:ascii="Times New Roman" w:hAnsi="Times New Roman"/>
                <w:sz w:val="16"/>
              </w:rPr>
              <w:t xml:space="preserve">6.9 %</w:t>
            </w:r>
          </w:p>
        </w:tc>
        <w:tc>
          <w:tcPr/>
          <w:p>
            <w:pPr>
              <w:pStyle w:val="Compact"/>
              <w:spacing w:after="0" w:line="240" w:lineRule="auto"/>
              <w:jc w:val="left"/>
            </w:pPr>
            <w:r>
              <w:rPr>
                <w:rFonts w:ascii="Times New Roman" w:hAnsi="Times New Roman"/>
                <w:sz w:val="16"/>
              </w:rPr>
              <w:t xml:space="preserve">0.570</w:t>
            </w:r>
          </w:p>
        </w:tc>
        <w:tc>
          <w:tcPr/>
          <w:p>
            <w:pPr>
              <w:pStyle w:val="Compact"/>
              <w:spacing w:after="0" w:line="240" w:lineRule="auto"/>
              <w:jc w:val="left"/>
            </w:pPr>
            <w:r>
              <w:rPr>
                <w:rFonts w:ascii="Times New Roman" w:hAnsi="Times New Roman"/>
                <w:sz w:val="16"/>
              </w:rPr>
              <w:t xml:space="preserve">3.60</w:t>
            </w:r>
          </w:p>
        </w:tc>
        <w:tc>
          <w:tcPr/>
          <w:p>
            <w:pPr>
              <w:pStyle w:val="Compact"/>
              <w:spacing w:after="0" w:line="240" w:lineRule="auto"/>
              <w:jc w:val="left"/>
            </w:pPr>
            <w:r>
              <w:rPr>
                <w:rFonts w:ascii="Times New Roman" w:hAnsi="Times New Roman"/>
                <w:sz w:val="16"/>
              </w:rPr>
              <w:t xml:space="preserve">19.2 %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0.897 / 0.876</w:t>
            </w:r>
          </w:p>
        </w:tc>
        <w:tc>
          <w:tcPr/>
          <w:p>
            <w:pPr>
              <w:pStyle w:val="Compact"/>
              <w:spacing w:after="0" w:line="240" w:lineRule="auto"/>
              <w:jc w:val="left"/>
            </w:pPr>
            <w:r>
              <w:rPr>
                <w:rFonts w:ascii="Times New Roman" w:hAnsi="Times New Roman"/>
                <w:sz w:val="16"/>
              </w:rPr>
              <w:t xml:space="preserve">11.07</w:t>
            </w:r>
          </w:p>
        </w:tc>
        <w:tc>
          <w:tcPr/>
          <w:p>
            <w:pPr>
              <w:pStyle w:val="Compact"/>
              <w:spacing w:after="0" w:line="240" w:lineRule="auto"/>
              <w:jc w:val="left"/>
            </w:pPr>
            <w:r>
              <w:rPr>
                <w:rFonts w:ascii="Times New Roman" w:hAnsi="Times New Roman"/>
                <w:sz w:val="16"/>
              </w:rPr>
              <w:t xml:space="preserve">9.3 %</w:t>
            </w:r>
          </w:p>
        </w:tc>
        <w:tc>
          <w:tcPr/>
          <w:p>
            <w:pPr>
              <w:pStyle w:val="Compact"/>
              <w:spacing w:after="0" w:line="240" w:lineRule="auto"/>
              <w:jc w:val="left"/>
            </w:pPr>
            <w:r>
              <w:rPr>
                <w:rFonts w:ascii="Times New Roman" w:hAnsi="Times New Roman"/>
                <w:sz w:val="16"/>
              </w:rPr>
              <w:t xml:space="preserve">0.732</w:t>
            </w:r>
          </w:p>
        </w:tc>
        <w:tc>
          <w:tcPr/>
          <w:p>
            <w:pPr>
              <w:pStyle w:val="Compact"/>
              <w:spacing w:after="0" w:line="240" w:lineRule="auto"/>
              <w:jc w:val="left"/>
            </w:pPr>
            <w:r>
              <w:rPr>
                <w:rFonts w:ascii="Times New Roman" w:hAnsi="Times New Roman"/>
                <w:sz w:val="16"/>
              </w:rPr>
              <w:t xml:space="preserve">8.86</w:t>
            </w:r>
          </w:p>
        </w:tc>
        <w:tc>
          <w:tcPr/>
          <w:p>
            <w:pPr>
              <w:pStyle w:val="Compact"/>
              <w:spacing w:after="0" w:line="240" w:lineRule="auto"/>
              <w:jc w:val="left"/>
            </w:pPr>
            <w:r>
              <w:rPr>
                <w:rFonts w:ascii="Times New Roman" w:hAnsi="Times New Roman"/>
                <w:sz w:val="16"/>
              </w:rPr>
              <w:t xml:space="preserve">16.1 %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0.926 / 0.903</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5.2 %</w:t>
            </w:r>
          </w:p>
        </w:tc>
        <w:tc>
          <w:tcPr/>
          <w:p>
            <w:pPr>
              <w:pStyle w:val="Compact"/>
              <w:spacing w:after="0" w:line="240" w:lineRule="auto"/>
              <w:jc w:val="left"/>
            </w:pPr>
            <w:r>
              <w:rPr>
                <w:rFonts w:ascii="Times New Roman" w:hAnsi="Times New Roman"/>
                <w:sz w:val="16"/>
              </w:rPr>
              <w:t xml:space="preserve">0.628</w:t>
            </w:r>
          </w:p>
        </w:tc>
        <w:tc>
          <w:tcPr/>
          <w:p>
            <w:pPr>
              <w:pStyle w:val="Compact"/>
              <w:spacing w:after="0" w:line="240" w:lineRule="auto"/>
              <w:jc w:val="left"/>
            </w:pPr>
            <w:r>
              <w:rPr>
                <w:rFonts w:ascii="Times New Roman" w:hAnsi="Times New Roman"/>
                <w:sz w:val="16"/>
              </w:rPr>
              <w:t xml:space="preserve">3.99</w:t>
            </w:r>
          </w:p>
        </w:tc>
        <w:tc>
          <w:tcPr/>
          <w:p>
            <w:pPr>
              <w:pStyle w:val="Compact"/>
              <w:spacing w:after="0" w:line="240" w:lineRule="auto"/>
              <w:jc w:val="left"/>
            </w:pPr>
            <w:r>
              <w:rPr>
                <w:rFonts w:ascii="Times New Roman" w:hAnsi="Times New Roman"/>
                <w:sz w:val="16"/>
              </w:rPr>
              <w:t xml:space="preserve">15.8 %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0.929 / 0.891</w:t>
            </w:r>
          </w:p>
        </w:tc>
        <w:tc>
          <w:tcPr/>
          <w:p>
            <w:pPr>
              <w:pStyle w:val="Compact"/>
              <w:spacing w:after="0" w:line="240" w:lineRule="auto"/>
              <w:jc w:val="left"/>
            </w:pPr>
            <w:r>
              <w:rPr>
                <w:rFonts w:ascii="Times New Roman" w:hAnsi="Times New Roman"/>
                <w:sz w:val="16"/>
              </w:rPr>
              <w:t xml:space="preserve">11.73</w:t>
            </w:r>
          </w:p>
        </w:tc>
        <w:tc>
          <w:tcPr/>
          <w:p>
            <w:pPr>
              <w:pStyle w:val="Compact"/>
              <w:spacing w:after="0" w:line="240" w:lineRule="auto"/>
              <w:jc w:val="left"/>
            </w:pPr>
            <w:r>
              <w:rPr>
                <w:rFonts w:ascii="Times New Roman" w:hAnsi="Times New Roman"/>
                <w:sz w:val="16"/>
              </w:rPr>
              <w:t xml:space="preserve">6.5 %</w:t>
            </w:r>
          </w:p>
        </w:tc>
        <w:tc>
          <w:tcPr/>
          <w:p>
            <w:pPr>
              <w:pStyle w:val="Compact"/>
              <w:spacing w:after="0" w:line="240" w:lineRule="auto"/>
              <w:jc w:val="left"/>
            </w:pPr>
            <w:r>
              <w:rPr>
                <w:rFonts w:ascii="Times New Roman" w:hAnsi="Times New Roman"/>
                <w:sz w:val="16"/>
              </w:rPr>
              <w:t xml:space="preserve">0.788</w:t>
            </w:r>
          </w:p>
        </w:tc>
        <w:tc>
          <w:tcPr/>
          <w:p>
            <w:pPr>
              <w:pStyle w:val="Compact"/>
              <w:spacing w:after="0" w:line="240" w:lineRule="auto"/>
              <w:jc w:val="left"/>
            </w:pPr>
            <w:r>
              <w:rPr>
                <w:rFonts w:ascii="Times New Roman" w:hAnsi="Times New Roman"/>
                <w:sz w:val="16"/>
              </w:rPr>
              <w:t xml:space="preserve">9.39</w:t>
            </w:r>
          </w:p>
        </w:tc>
        <w:tc>
          <w:tcPr/>
          <w:p>
            <w:pPr>
              <w:pStyle w:val="Compact"/>
              <w:spacing w:after="0" w:line="240" w:lineRule="auto"/>
              <w:jc w:val="left"/>
            </w:pPr>
            <w:r>
              <w:rPr>
                <w:rFonts w:ascii="Times New Roman" w:hAnsi="Times New Roman"/>
                <w:sz w:val="16"/>
              </w:rPr>
              <w:t xml:space="preserve">12.9 %</w:t>
            </w:r>
          </w:p>
        </w:tc>
      </w:tr>
    </w:tbl>
    <w:bookmarkEnd w:id="60"/>
    <w:bookmarkStart w:id="64" w:name="computational-cost-rq5"/>
    <w:p>
      <w:pPr>
        <w:pStyle w:val="Heading2"/>
      </w:pPr>
      <w:r>
        <w:t xml:space="preserve">6.7 Computational cost (RQ5)</w:t>
      </w:r>
    </w:p>
    <w:p>
      <w:pPr>
        <w:pStyle w:val="TableCaption"/>
      </w:pPr>
      <w:r>
        <w:rPr>
          <w:bCs/>
          <w:b/>
        </w:rPr>
        <w:t xml:space="preserve">Table 5</w:t>
      </w:r>
      <w:r>
        <w:t xml:space="preserve"> </w:t>
      </w:r>
      <w:r>
        <w:t xml:space="preserve">Fit and prediction time per dataset (mean over resamples; single CPU core). Ridge-based readouts include the shared SVD; ensembles include four additional MiniRocket transforms</w:t>
      </w:r>
    </w:p>
    <w:tbl>
      <w:tblPr>
        <w:tblStyle w:val="Table"/>
        <w:tblW w:type="pct" w:w="5000"/>
        <w:tblLook w:firstRow="1" w:lastRow="0" w:firstColumn="0" w:lastColumn="0" w:noHBand="0" w:noVBand="0" w:val="0020"/>
        <w:jc w:val="start"/>
        <w:tblCaption w:val="Table 5 Fit and prediction time per dataset (mean over resamples; single CPU core). Ridge-based readouts include the shared SVD; ensembles include four additional MiniRocket transforms"/>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0.009</w:t>
            </w:r>
          </w:p>
        </w:tc>
        <w:tc>
          <w:tcPr/>
          <w:p>
            <w:pPr>
              <w:pStyle w:val="Compact"/>
              <w:spacing w:after="0" w:line="240" w:lineRule="auto"/>
              <w:jc w:val="left"/>
            </w:pPr>
            <w:r>
              <w:rPr>
                <w:rFonts w:ascii="Times New Roman" w:hAnsi="Times New Roman"/>
                <w:sz w:val="16"/>
              </w:rPr>
              <w:t xml:space="preserve">0.03</w:t>
            </w:r>
          </w:p>
        </w:tc>
        <w:tc>
          <w:tcPr/>
          <w:p>
            <w:pPr>
              <w:pStyle w:val="Compact"/>
              <w:spacing w:after="0" w:line="240" w:lineRule="auto"/>
              <w:jc w:val="left"/>
            </w:pPr>
            <w:r>
              <w:rPr>
                <w:rFonts w:ascii="Times New Roman" w:hAnsi="Times New Roman"/>
                <w:sz w:val="16"/>
              </w:rPr>
              <w:t xml:space="preserve">0.00</w:t>
            </w:r>
          </w:p>
        </w:tc>
        <w:tc>
          <w:tcPr/>
          <w:p>
            <w:pPr>
              <w:pStyle w:val="Compact"/>
              <w:spacing w:after="0" w:line="240" w:lineRule="auto"/>
              <w:jc w:val="left"/>
            </w:pPr>
            <w:r>
              <w:rPr>
                <w:rFonts w:ascii="Times New Roman" w:hAnsi="Times New Roman"/>
                <w:sz w:val="16"/>
              </w:rPr>
              <w:t xml:space="preserve">0.81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0.497</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0.00</w:t>
            </w:r>
          </w:p>
        </w:tc>
        <w:tc>
          <w:tcPr/>
          <w:p>
            <w:pPr>
              <w:pStyle w:val="Compact"/>
              <w:spacing w:after="0" w:line="240" w:lineRule="auto"/>
              <w:jc w:val="left"/>
            </w:pPr>
            <w:r>
              <w:rPr>
                <w:rFonts w:ascii="Times New Roman" w:hAnsi="Times New Roman"/>
                <w:sz w:val="16"/>
              </w:rPr>
              <w:t xml:space="preserve">1.13</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0.505</w:t>
            </w:r>
          </w:p>
        </w:tc>
        <w:tc>
          <w:tcPr/>
          <w:p>
            <w:pPr>
              <w:pStyle w:val="Compact"/>
              <w:spacing w:after="0" w:line="240" w:lineRule="auto"/>
              <w:jc w:val="left"/>
            </w:pPr>
            <w:r>
              <w:rPr>
                <w:rFonts w:ascii="Times New Roman" w:hAnsi="Times New Roman"/>
                <w:sz w:val="16"/>
              </w:rPr>
              <w:t xml:space="preserve">1.68</w:t>
            </w:r>
          </w:p>
        </w:tc>
        <w:tc>
          <w:tcPr/>
          <w:p>
            <w:pPr>
              <w:pStyle w:val="Compact"/>
              <w:spacing w:after="0" w:line="240" w:lineRule="auto"/>
              <w:jc w:val="left"/>
            </w:pPr>
            <w:r>
              <w:rPr>
                <w:rFonts w:ascii="Times New Roman" w:hAnsi="Times New Roman"/>
                <w:sz w:val="16"/>
              </w:rPr>
              <w:t xml:space="preserve">0.00</w:t>
            </w:r>
          </w:p>
        </w:tc>
        <w:tc>
          <w:tcPr/>
          <w:p>
            <w:pPr>
              <w:pStyle w:val="Compact"/>
              <w:spacing w:after="0" w:line="240" w:lineRule="auto"/>
              <w:jc w:val="left"/>
            </w:pPr>
            <w:r>
              <w:rPr>
                <w:rFonts w:ascii="Times New Roman" w:hAnsi="Times New Roman"/>
                <w:sz w:val="16"/>
              </w:rPr>
              <w:t xml:space="preserve">12.89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0.332</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0.00</w:t>
            </w:r>
          </w:p>
        </w:tc>
        <w:tc>
          <w:tcPr/>
          <w:p>
            <w:pPr>
              <w:pStyle w:val="Compact"/>
              <w:spacing w:after="0" w:line="240" w:lineRule="auto"/>
              <w:jc w:val="left"/>
            </w:pPr>
            <w:r>
              <w:rPr>
                <w:rFonts w:ascii="Times New Roman" w:hAnsi="Times New Roman"/>
                <w:sz w:val="16"/>
              </w:rPr>
              <w:t xml:space="preserve">12.74</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2.785</w:t>
            </w:r>
          </w:p>
        </w:tc>
        <w:tc>
          <w:tcPr/>
          <w:p>
            <w:pPr>
              <w:pStyle w:val="Compact"/>
              <w:spacing w:after="0" w:line="240" w:lineRule="auto"/>
              <w:jc w:val="left"/>
            </w:pPr>
            <w:r>
              <w:rPr>
                <w:rFonts w:ascii="Times New Roman" w:hAnsi="Times New Roman"/>
                <w:sz w:val="16"/>
              </w:rPr>
              <w:t xml:space="preserve">5.70</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20.07</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2.776</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19.98</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10.883</w:t>
            </w:r>
          </w:p>
        </w:tc>
        <w:tc>
          <w:tcPr/>
          <w:p>
            <w:pPr>
              <w:pStyle w:val="Compact"/>
              <w:spacing w:after="0" w:line="240" w:lineRule="auto"/>
              <w:jc w:val="left"/>
            </w:pPr>
            <w:r>
              <w:rPr>
                <w:rFonts w:ascii="Times New Roman" w:hAnsi="Times New Roman"/>
                <w:sz w:val="16"/>
              </w:rPr>
              <w:t xml:space="preserve">31.95</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3.75</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16.026</w:t>
            </w:r>
          </w:p>
        </w:tc>
        <w:tc>
          <w:tcPr/>
          <w:p>
            <w:pPr>
              <w:pStyle w:val="Compact"/>
              <w:spacing w:after="0" w:line="240" w:lineRule="auto"/>
              <w:jc w:val="left"/>
            </w:pPr>
            <w:r>
              <w:rPr>
                <w:rFonts w:ascii="Times New Roman" w:hAnsi="Times New Roman"/>
                <w:sz w:val="16"/>
              </w:rPr>
              <w:t xml:space="preserve">18.81</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483.05</w:t>
            </w:r>
          </w:p>
        </w:tc>
      </w:tr>
    </w:tbl>
    <w:p>
      <w:pPr>
        <w:pStyle w:val="BodyText"/>
      </w:pPr>
      <w:r>
        <w:t xml:space="preserve">LOOM’s median fit time is 0.51 s, versus 0.50 s for PreVal, 2.79 s for five-fold Platt scaling, 10.88 s for cross-validated logistic regression and 16.03 s for a five-seed ensemble (including its additional transforms). The extra prediction cost of LOOM over plain ridge is the projection onto V (Section 4.6).</w:t>
      </w:r>
    </w:p>
    <w:p>
      <w:pPr>
        <w:pStyle w:val="CaptionedFigure"/>
        <w:jc w:val="center"/>
      </w:pPr>
      <w:r>
        <w:drawing>
          <wp:inline>
            <wp:extent cx="3082659" cy="2523010"/>
            <wp:effectExtent b="0" l="0" r="0" t="0"/>
            <wp:docPr descr="Fig. 8 Fit time versus number of training series (log–log, single core)" title="" id="62" name="Picture"/>
            <a:graphic>
              <a:graphicData uri="http://schemas.openxmlformats.org/drawingml/2006/picture">
                <pic:pic>
                  <pic:nvPicPr>
                    <pic:cNvPr descr="/tmp/claude-0/partial/figures/fig_efficiency.png" id="63" name="Picture"/>
                    <pic:cNvPicPr>
                      <a:picLocks noChangeArrowheads="1" noChangeAspect="1"/>
                    </pic:cNvPicPr>
                  </pic:nvPicPr>
                  <pic:blipFill>
                    <a:blip r:embed="rId61"/>
                    <a:stretch>
                      <a:fillRect/>
                    </a:stretch>
                  </pic:blipFill>
                  <pic:spPr bwMode="auto">
                    <a:xfrm>
                      <a:off x="0" y="0"/>
                      <a:ext cx="3082659" cy="252301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Fit time versus number of training series (log–log, single core)</w:t>
      </w:r>
    </w:p>
    <w:bookmarkEnd w:id="64"/>
    <w:bookmarkStart w:id="65" w:name="sensitivity-rq6"/>
    <w:p>
      <w:pPr>
        <w:pStyle w:val="Heading2"/>
      </w:pPr>
      <w:r>
        <w:t xml:space="preserve">6.8 Sensitivity (RQ6)</w:t>
      </w:r>
    </w:p>
    <w:p>
      <w:pPr>
        <w:pStyle w:val="FirstParagraph"/>
      </w:pPr>
      <w:r>
        <w:t xml:space="preserve">The moderation limit c → ∞ chosen during development and the finite value c = 1 give similar results (Section 6.4). For conformal sets, the clean coverage of LOOM’s jackknife+ is 0.955 at α = 0.05 and 0.800 at α = 0.2. With 25 % and 50 % of the training data (official split, clean and severity-3 conditions; Online Resource 3) the comparison with PreVal is summarised in Table S4.</w:t>
      </w:r>
    </w:p>
    <w:bookmarkEnd w:id="65"/>
    <w:bookmarkStart w:id="66" w:name="error-analysis-rq7"/>
    <w:p>
      <w:pPr>
        <w:pStyle w:val="Heading2"/>
      </w:pPr>
      <w:r>
        <w:t xml:space="preserve">6.9 Error analysis (RQ7)</w:t>
      </w:r>
    </w:p>
    <w:p>
      <w:pPr>
        <w:pStyle w:val="FirstParagraph"/>
      </w:pPr>
      <w:r>
        <w:t xml:space="preserve">[ERROR_ANALYSIS — to be written after the final results]</w:t>
      </w:r>
    </w:p>
    <w:bookmarkEnd w:id="66"/>
    <w:bookmarkEnd w:id="67"/>
    <w:bookmarkStart w:id="68" w:name="discussion"/>
    <w:p>
      <w:pPr>
        <w:pStyle w:val="Heading1"/>
      </w:pPr>
      <w:r>
        <w:t xml:space="preserve">7 Discussion</w:t>
      </w:r>
    </w:p>
    <w:p>
      <w:pPr>
        <w:pStyle w:val="FirstParagraph"/>
      </w:pPr>
      <w:r>
        <w:t xml:space="preserve">[DISCUSSION — to be written after the final results]</w:t>
      </w:r>
    </w:p>
    <w:bookmarkEnd w:id="68"/>
    <w:bookmarkStart w:id="69" w:name="limitations"/>
    <w:p>
      <w:pPr>
        <w:pStyle w:val="Heading1"/>
      </w:pPr>
      <w:r>
        <w:t xml:space="preserve">8 Limitations</w:t>
      </w:r>
    </w:p>
    <w:p>
      <w:pPr>
        <w:pStyle w:val="FirstParagraph"/>
      </w:pPr>
      <w:r>
        <w:t xml:space="preserve">[LIMITATIONS — to be written after the final results]</w:t>
      </w:r>
    </w:p>
    <w:bookmarkEnd w:id="69"/>
    <w:bookmarkStart w:id="70" w:name="conclusion"/>
    <w:p>
      <w:pPr>
        <w:pStyle w:val="Heading1"/>
      </w:pPr>
      <w:r>
        <w:t xml:space="preserve">9 Conclusion</w:t>
      </w:r>
    </w:p>
    <w:p>
      <w:pPr>
        <w:pStyle w:val="FirstParagraph"/>
      </w:pPr>
      <w:r>
        <w:t xml:space="preserve">[CONCLUSION — to be written after the final results]</w:t>
      </w:r>
    </w:p>
    <w:bookmarkEnd w:id="70"/>
    <w:bookmarkStart w:id="161" w:name="references"/>
    <w:p>
      <w:pPr>
        <w:pStyle w:val="Heading1"/>
      </w:pPr>
      <w:r>
        <w:t xml:space="preserve">References</w:t>
      </w:r>
    </w:p>
    <w:bookmarkStart w:id="160" w:name="refs"/>
    <w:bookmarkStart w:id="72" w:name="ref-abdar2021"/>
    <w:p>
      <w:pPr>
        <w:pStyle w:val="Bibliography"/>
      </w:pPr>
      <w:r>
        <w:t xml:space="preserve">Abdar M, Pourpanah F, Hussain S, et al (2021)</w:t>
      </w:r>
      <w:r>
        <w:t xml:space="preserve"> </w:t>
      </w:r>
      <w:hyperlink r:id="rId71">
        <w:r>
          <w:rPr>
            <w:rStyle w:val="Hyperlink"/>
          </w:rPr>
          <w:t xml:space="preserve">A review of uncertainty quantification in deep learning: Techniques, applications and challenges</w:t>
        </w:r>
      </w:hyperlink>
      <w:r>
        <w:t xml:space="preserve">. Information Fusion 76:243–297</w:t>
      </w:r>
    </w:p>
    <w:bookmarkEnd w:id="72"/>
    <w:bookmarkStart w:id="74" w:name="ref-allen1974"/>
    <w:p>
      <w:pPr>
        <w:pStyle w:val="Bibliography"/>
      </w:pPr>
      <w:r>
        <w:t xml:space="preserve">Allen DM (1974)</w:t>
      </w:r>
      <w:r>
        <w:t xml:space="preserve"> </w:t>
      </w:r>
      <w:hyperlink r:id="rId73">
        <w:r>
          <w:rPr>
            <w:rStyle w:val="Hyperlink"/>
          </w:rPr>
          <w:t xml:space="preserve">The Relationship Between Variable Selection and Data Agumentation and a Method for Prediction</w:t>
        </w:r>
      </w:hyperlink>
      <w:r>
        <w:t xml:space="preserve">. Technometrics 16:125–127</w:t>
      </w:r>
    </w:p>
    <w:bookmarkEnd w:id="74"/>
    <w:bookmarkStart w:id="76" w:name="ref-angelopoulos2023"/>
    <w:p>
      <w:pPr>
        <w:pStyle w:val="Bibliography"/>
      </w:pPr>
      <w:r>
        <w:t xml:space="preserve">Angelopoulos AN, Bates S (2023)</w:t>
      </w:r>
      <w:r>
        <w:t xml:space="preserve"> </w:t>
      </w:r>
      <w:hyperlink r:id="rId75">
        <w:r>
          <w:rPr>
            <w:rStyle w:val="Hyperlink"/>
          </w:rPr>
          <w:t xml:space="preserve">Conformal Prediction: A Gentle Introduction</w:t>
        </w:r>
      </w:hyperlink>
      <w:r>
        <w:t xml:space="preserve">. Foundations and Trends® in Machine Learning 16:494–591</w:t>
      </w:r>
    </w:p>
    <w:bookmarkEnd w:id="76"/>
    <w:bookmarkStart w:id="77"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77"/>
    <w:bookmarkStart w:id="79" w:name="ref-bagnall2017bakeoff"/>
    <w:p>
      <w:pPr>
        <w:pStyle w:val="Bibliography"/>
      </w:pPr>
      <w:r>
        <w:t xml:space="preserve">Bagnall A, Lines J, Bostrom A, et al (2016)</w:t>
      </w:r>
      <w:r>
        <w:t xml:space="preserve"> </w:t>
      </w:r>
      <w:hyperlink r:id="rId78">
        <w:r>
          <w:rPr>
            <w:rStyle w:val="Hyperlink"/>
          </w:rPr>
          <w:t xml:space="preserve">The great time series classification bake off: a review and experimental evaluation of recent algorithmic advances</w:t>
        </w:r>
      </w:hyperlink>
      <w:r>
        <w:t xml:space="preserve">. Data Mining and Knowledge Discovery 31:606–660</w:t>
      </w:r>
    </w:p>
    <w:bookmarkEnd w:id="79"/>
    <w:bookmarkStart w:id="81" w:name="ref-barber2021"/>
    <w:p>
      <w:pPr>
        <w:pStyle w:val="Bibliography"/>
      </w:pPr>
      <w:r>
        <w:t xml:space="preserve">Barber RF, Candès EJ, Ramdas A, Tibshirani RJ (2021)</w:t>
      </w:r>
      <w:r>
        <w:t xml:space="preserve"> </w:t>
      </w:r>
      <w:hyperlink r:id="rId80">
        <w:r>
          <w:rPr>
            <w:rStyle w:val="Hyperlink"/>
          </w:rPr>
          <w:t xml:space="preserve">Predictive inference with the jackknife+</w:t>
        </w:r>
      </w:hyperlink>
      <w:r>
        <w:t xml:space="preserve">. The Annals of Statistics 49:486–507</w:t>
      </w:r>
    </w:p>
    <w:bookmarkEnd w:id="81"/>
    <w:bookmarkStart w:id="82" w:name="ref-benavoli2016"/>
    <w:p>
      <w:pPr>
        <w:pStyle w:val="Bibliography"/>
      </w:pPr>
      <w:r>
        <w:t xml:space="preserve">Benavoli A, Corani G, Mangili F (2016) Should we really use post-hoc tests based on mean-ranks? Journal of Machine Learning Research 17:1–10</w:t>
      </w:r>
    </w:p>
    <w:bookmarkEnd w:id="82"/>
    <w:bookmarkStart w:id="84" w:name="ref-cawley2004"/>
    <w:p>
      <w:pPr>
        <w:pStyle w:val="Bibliography"/>
      </w:pPr>
      <w:r>
        <w:t xml:space="preserve">Cawley GC, Talbot NLC (2004)</w:t>
      </w:r>
      <w:r>
        <w:t xml:space="preserve"> </w:t>
      </w:r>
      <w:hyperlink r:id="rId83">
        <w:r>
          <w:rPr>
            <w:rStyle w:val="Hyperlink"/>
          </w:rPr>
          <w:t xml:space="preserve">Fast exact leave-one-out cross-validation of sparse least-squares support vector machines</w:t>
        </w:r>
      </w:hyperlink>
      <w:r>
        <w:t xml:space="preserve">. Neural Networks 17:1467–1475</w:t>
      </w:r>
    </w:p>
    <w:bookmarkEnd w:id="84"/>
    <w:bookmarkStart w:id="86" w:name="ref-dau2019ucr"/>
    <w:p>
      <w:pPr>
        <w:pStyle w:val="Bibliography"/>
      </w:pPr>
      <w:r>
        <w:t xml:space="preserve">Dau HA, Bagnall A, Kamgar K, et al (2019)</w:t>
      </w:r>
      <w:r>
        <w:t xml:space="preserve"> </w:t>
      </w:r>
      <w:hyperlink r:id="rId85">
        <w:r>
          <w:rPr>
            <w:rStyle w:val="Hyperlink"/>
          </w:rPr>
          <w:t xml:space="preserve">The UCR time series archive</w:t>
        </w:r>
      </w:hyperlink>
      <w:r>
        <w:t xml:space="preserve">. IEEE/CAA Journal of Automatica Sinica 6:1293–1305</w:t>
      </w:r>
    </w:p>
    <w:bookmarkEnd w:id="86"/>
    <w:bookmarkStart w:id="88" w:name="ref-dempster2020rocket"/>
    <w:p>
      <w:pPr>
        <w:pStyle w:val="Bibliography"/>
      </w:pPr>
      <w:r>
        <w:t xml:space="preserve">Dempster A, Petitjean F, Webb GI (2020)</w:t>
      </w:r>
      <w:r>
        <w:t xml:space="preserve"> </w:t>
      </w:r>
      <w:hyperlink r:id="rId87">
        <w:r>
          <w:rPr>
            <w:rStyle w:val="Hyperlink"/>
          </w:rPr>
          <w:t xml:space="preserve">ROCKET: exceptionally fast and accurate time series classification using random convolutional kernels</w:t>
        </w:r>
      </w:hyperlink>
      <w:r>
        <w:t xml:space="preserve">. Data Mining and Knowledge Discovery 34:1454–1495</w:t>
      </w:r>
    </w:p>
    <w:bookmarkEnd w:id="88"/>
    <w:bookmarkStart w:id="90" w:name="ref-dempster2021minirocket"/>
    <w:p>
      <w:pPr>
        <w:pStyle w:val="Bibliography"/>
      </w:pPr>
      <w:r>
        <w:t xml:space="preserve">Dempster A, Schmidt DF, Webb GI (2021)</w:t>
      </w:r>
      <w:r>
        <w:t xml:space="preserve"> </w:t>
      </w:r>
      <w:hyperlink r:id="rId89">
        <w:r>
          <w:rPr>
            <w:rStyle w:val="Hyperlink"/>
          </w:rPr>
          <w:t xml:space="preserve">MiniRocket</w:t>
        </w:r>
      </w:hyperlink>
      <w:r>
        <w:t xml:space="preserve">. Proceedings of the 27th ACM SIGKDD Conference on Knowledge Discovery &amp;amp; Data Mining 248–257</w:t>
      </w:r>
    </w:p>
    <w:bookmarkEnd w:id="90"/>
    <w:bookmarkStart w:id="92" w:name="ref-dempster2023hydra"/>
    <w:p>
      <w:pPr>
        <w:pStyle w:val="Bibliography"/>
      </w:pPr>
      <w:r>
        <w:t xml:space="preserve">Dempster A, Schmidt DF, Webb GI (2023)</w:t>
      </w:r>
      <w:r>
        <w:t xml:space="preserve"> </w:t>
      </w:r>
      <w:hyperlink r:id="rId91">
        <w:r>
          <w:rPr>
            <w:rStyle w:val="Hyperlink"/>
          </w:rPr>
          <w:t xml:space="preserve">Hydra: competing convolutional kernels for fast and accurate time series classification</w:t>
        </w:r>
      </w:hyperlink>
      <w:r>
        <w:t xml:space="preserve">. Data Mining and Knowledge Discovery 37:1779–1805</w:t>
      </w:r>
    </w:p>
    <w:bookmarkEnd w:id="92"/>
    <w:bookmarkStart w:id="94" w:name="ref-dempster2024quant"/>
    <w:p>
      <w:pPr>
        <w:pStyle w:val="Bibliography"/>
      </w:pPr>
      <w:r>
        <w:t xml:space="preserve">Dempster A, Schmidt DF, Webb GI (2024)</w:t>
      </w:r>
      <w:r>
        <w:t xml:space="preserve"> </w:t>
      </w:r>
      <w:hyperlink r:id="rId93">
        <w:r>
          <w:rPr>
            <w:rStyle w:val="Hyperlink"/>
          </w:rPr>
          <w:t xml:space="preserve">quant: a minimalist interval method for time series classification</w:t>
        </w:r>
      </w:hyperlink>
      <w:r>
        <w:t xml:space="preserve">. Data Mining and Knowledge Discovery 38:2377–2402</w:t>
      </w:r>
    </w:p>
    <w:bookmarkEnd w:id="94"/>
    <w:bookmarkStart w:id="96" w:name="ref-dempster2025preval"/>
    <w:p>
      <w:pPr>
        <w:pStyle w:val="Bibliography"/>
      </w:pPr>
      <w:r>
        <w:t xml:space="preserve">Dempster A, Webb GI, Schmidt DF (2025)</w:t>
      </w:r>
      <w:r>
        <w:t xml:space="preserve"> </w:t>
      </w:r>
      <w:hyperlink r:id="rId95">
        <w:r>
          <w:rPr>
            <w:rStyle w:val="Hyperlink"/>
          </w:rPr>
          <w:t xml:space="preserve">Prevalidated ridge regression is a highly-efficient drop-in replacement for logistic regression for high-dimensional data</w:t>
        </w:r>
      </w:hyperlink>
      <w:r>
        <w:t xml:space="preserve">. arXiv preprint arXiv:2401.15610 (version 2)</w:t>
      </w:r>
    </w:p>
    <w:bookmarkEnd w:id="96"/>
    <w:bookmarkStart w:id="97" w:name="ref-demsar2006"/>
    <w:p>
      <w:pPr>
        <w:pStyle w:val="Bibliography"/>
      </w:pPr>
      <w:r>
        <w:t xml:space="preserve">Demšar J (2006) Statistical comparisons of classifiers over multiple data sets. Journal of Machine Learning Research 7:1–30</w:t>
      </w:r>
    </w:p>
    <w:bookmarkEnd w:id="97"/>
    <w:bookmarkStart w:id="99" w:name="ref-gawlikowski2023"/>
    <w:p>
      <w:pPr>
        <w:pStyle w:val="Bibliography"/>
      </w:pPr>
      <w:r>
        <w:t xml:space="preserve">Gawlikowski J, Tassi CRN, Ali M, et al (2023)</w:t>
      </w:r>
      <w:r>
        <w:t xml:space="preserve"> </w:t>
      </w:r>
      <w:hyperlink r:id="rId98">
        <w:r>
          <w:rPr>
            <w:rStyle w:val="Hyperlink"/>
          </w:rPr>
          <w:t xml:space="preserve">A survey of uncertainty in deep neural networks</w:t>
        </w:r>
      </w:hyperlink>
      <w:r>
        <w:t xml:space="preserve">. Artificial Intelligence Review 56:1513–1589</w:t>
      </w:r>
    </w:p>
    <w:bookmarkEnd w:id="99"/>
    <w:bookmarkStart w:id="100" w:name="ref-geifman2017"/>
    <w:p>
      <w:pPr>
        <w:pStyle w:val="Bibliography"/>
      </w:pPr>
      <w:r>
        <w:t xml:space="preserve">Geifman Y, El-Yaniv R (2017) Selective classification for deep neural networks. In: Advances in Neural Information Processing Systems</w:t>
      </w:r>
    </w:p>
    <w:bookmarkEnd w:id="100"/>
    <w:bookmarkStart w:id="102" w:name="ref-golub1979"/>
    <w:p>
      <w:pPr>
        <w:pStyle w:val="Bibliography"/>
      </w:pPr>
      <w:r>
        <w:t xml:space="preserve">Golub GH, Heath M, Wahba G (1979)</w:t>
      </w:r>
      <w:r>
        <w:t xml:space="preserve"> </w:t>
      </w:r>
      <w:hyperlink r:id="rId101">
        <w:r>
          <w:rPr>
            <w:rStyle w:val="Hyperlink"/>
          </w:rPr>
          <w:t xml:space="preserve">Generalized Cross-Validation as a Method for Choosing a Good Ridge Parameter</w:t>
        </w:r>
      </w:hyperlink>
      <w:r>
        <w:t xml:space="preserve">. Technometrics 21:215–223</w:t>
      </w:r>
    </w:p>
    <w:bookmarkEnd w:id="102"/>
    <w:bookmarkStart w:id="103" w:name="ref-guo2017"/>
    <w:p>
      <w:pPr>
        <w:pStyle w:val="Bibliography"/>
      </w:pPr>
      <w:r>
        <w:t xml:space="preserve">Guo C, Pleiss G, Sun Y, Weinberger KQ (2017) On calibration of modern neural networks. In: Proceedings of the 34th International Conference on Machine Learning. pp 1321–1330</w:t>
      </w:r>
    </w:p>
    <w:bookmarkEnd w:id="103"/>
    <w:bookmarkStart w:id="104" w:name="ref-hendrycks2019"/>
    <w:p>
      <w:pPr>
        <w:pStyle w:val="Bibliography"/>
      </w:pPr>
      <w:r>
        <w:t xml:space="preserve">Hendrycks D, Dietterich T (2019) Benchmarking neural network robustness to common corruptions and perturbations. In: International Conference on Learning Representations</w:t>
      </w:r>
    </w:p>
    <w:bookmarkEnd w:id="104"/>
    <w:bookmarkStart w:id="105" w:name="ref-hendrycks2017"/>
    <w:p>
      <w:pPr>
        <w:pStyle w:val="Bibliography"/>
      </w:pPr>
      <w:r>
        <w:t xml:space="preserve">Hendrycks D, Gimpel K (2017) A baseline for detecting misclassified and out-of-distribution examples in neural networks. In: International Conference on Learning Representations</w:t>
      </w:r>
    </w:p>
    <w:bookmarkEnd w:id="105"/>
    <w:bookmarkStart w:id="107" w:name="ref-hoaglin1978"/>
    <w:p>
      <w:pPr>
        <w:pStyle w:val="Bibliography"/>
      </w:pPr>
      <w:r>
        <w:t xml:space="preserve">Hoaglin DC, Welsch RE (1978)</w:t>
      </w:r>
      <w:r>
        <w:t xml:space="preserve"> </w:t>
      </w:r>
      <w:hyperlink r:id="rId106">
        <w:r>
          <w:rPr>
            <w:rStyle w:val="Hyperlink"/>
          </w:rPr>
          <w:t xml:space="preserve">The Hat Matrix in Regression and ANOVA</w:t>
        </w:r>
      </w:hyperlink>
      <w:r>
        <w:t xml:space="preserve">. The American Statistician 32:17–22</w:t>
      </w:r>
    </w:p>
    <w:bookmarkEnd w:id="107"/>
    <w:bookmarkStart w:id="108" w:name="ref-holm1979"/>
    <w:p>
      <w:pPr>
        <w:pStyle w:val="Bibliography"/>
      </w:pPr>
      <w:r>
        <w:t xml:space="preserve">Holm S (1979) A simple sequentially rejective multiple test procedure. Scandinavian Journal of Statistics 6:65–70</w:t>
      </w:r>
    </w:p>
    <w:bookmarkEnd w:id="108"/>
    <w:bookmarkStart w:id="110" w:name="ref-ismailfawaz2019review"/>
    <w:p>
      <w:pPr>
        <w:pStyle w:val="Bibliography"/>
      </w:pPr>
      <w:r>
        <w:t xml:space="preserve">Ismail Fawaz H, Forestier G, Weber J, et al (2019)</w:t>
      </w:r>
      <w:r>
        <w:t xml:space="preserve"> </w:t>
      </w:r>
      <w:hyperlink r:id="rId109">
        <w:r>
          <w:rPr>
            <w:rStyle w:val="Hyperlink"/>
          </w:rPr>
          <w:t xml:space="preserve">Deep learning for time series classification: a review</w:t>
        </w:r>
      </w:hyperlink>
      <w:r>
        <w:t xml:space="preserve">. Data Mining and Knowledge Discovery 33:917–963</w:t>
      </w:r>
    </w:p>
    <w:bookmarkEnd w:id="110"/>
    <w:bookmarkStart w:id="112" w:name="ref-ismailfawaz2020inception"/>
    <w:p>
      <w:pPr>
        <w:pStyle w:val="Bibliography"/>
      </w:pPr>
      <w:r>
        <w:t xml:space="preserve">Ismail Fawaz H, Lucas B, Forestier G, et al (2020)</w:t>
      </w:r>
      <w:r>
        <w:t xml:space="preserve"> </w:t>
      </w:r>
      <w:hyperlink r:id="rId111">
        <w:r>
          <w:rPr>
            <w:rStyle w:val="Hyperlink"/>
          </w:rPr>
          <w:t xml:space="preserve">InceptionTime: Finding AlexNet for time series classification</w:t>
        </w:r>
      </w:hyperlink>
      <w:r>
        <w:t xml:space="preserve">. Data Mining and Knowledge Discovery 34:1936–1962</w:t>
      </w:r>
    </w:p>
    <w:bookmarkEnd w:id="112"/>
    <w:bookmarkStart w:id="114" w:name="ref-iwana2021"/>
    <w:p>
      <w:pPr>
        <w:pStyle w:val="Bibliography"/>
      </w:pPr>
      <w:r>
        <w:t xml:space="preserve">Iwana BK, Uchida S (2021)</w:t>
      </w:r>
      <w:r>
        <w:t xml:space="preserve"> </w:t>
      </w:r>
      <w:hyperlink r:id="rId113">
        <w:r>
          <w:rPr>
            <w:rStyle w:val="Hyperlink"/>
          </w:rPr>
          <w:t xml:space="preserve">An empirical survey of data augmentation for time series classification with neural networks</w:t>
        </w:r>
      </w:hyperlink>
      <w:r>
        <w:t xml:space="preserve">. PLOS ONE 16:e0254841</w:t>
      </w:r>
    </w:p>
    <w:bookmarkEnd w:id="114"/>
    <w:bookmarkStart w:id="116" w:name="ref-kerby2014"/>
    <w:p>
      <w:pPr>
        <w:pStyle w:val="Bibliography"/>
      </w:pPr>
      <w:r>
        <w:t xml:space="preserve">Kerby DS (2014)</w:t>
      </w:r>
      <w:r>
        <w:t xml:space="preserve"> </w:t>
      </w:r>
      <w:hyperlink r:id="rId115">
        <w:r>
          <w:rPr>
            <w:rStyle w:val="Hyperlink"/>
          </w:rPr>
          <w:t xml:space="preserve">The Simple Difference Formula: An Approach to Teaching Nonparametric Correlation</w:t>
        </w:r>
      </w:hyperlink>
      <w:r>
        <w:t xml:space="preserve">. Comprehensive Psychology 3:11.IT.3.1</w:t>
      </w:r>
    </w:p>
    <w:bookmarkEnd w:id="116"/>
    <w:bookmarkStart w:id="117"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17"/>
    <w:bookmarkStart w:id="118"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18"/>
    <w:bookmarkStart w:id="119"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19"/>
    <w:bookmarkStart w:id="121" w:name="ref-lei2018"/>
    <w:p>
      <w:pPr>
        <w:pStyle w:val="Bibliography"/>
      </w:pPr>
      <w:r>
        <w:t xml:space="preserve">Lei J, G’Sell M, Rinaldo A, et al (2018)</w:t>
      </w:r>
      <w:r>
        <w:t xml:space="preserve"> </w:t>
      </w:r>
      <w:hyperlink r:id="rId120">
        <w:r>
          <w:rPr>
            <w:rStyle w:val="Hyperlink"/>
          </w:rPr>
          <w:t xml:space="preserve">Distribution-Free Predictive Inference for Regression</w:t>
        </w:r>
      </w:hyperlink>
      <w:r>
        <w:t xml:space="preserve">. Journal of the American Statistical Association 113:1094–1111</w:t>
      </w:r>
    </w:p>
    <w:bookmarkEnd w:id="121"/>
    <w:bookmarkStart w:id="122"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22"/>
    <w:bookmarkStart w:id="123" w:name="ref-liu2023sngp"/>
    <w:p>
      <w:pPr>
        <w:pStyle w:val="Bibliography"/>
      </w:pPr>
      <w:r>
        <w:t xml:space="preserve">Liu JZ, Padhy S, Ren J, et al (2023) A simple approach to improve single-model deep uncertainty via distance-awareness. Journal of Machine Learning Research 24:1–63</w:t>
      </w:r>
    </w:p>
    <w:bookmarkEnd w:id="123"/>
    <w:bookmarkStart w:id="125" w:name="ref-mackay1992"/>
    <w:p>
      <w:pPr>
        <w:pStyle w:val="Bibliography"/>
      </w:pPr>
      <w:r>
        <w:t xml:space="preserve">MacKay DJC (1992)</w:t>
      </w:r>
      <w:r>
        <w:t xml:space="preserve"> </w:t>
      </w:r>
      <w:hyperlink r:id="rId124">
        <w:r>
          <w:rPr>
            <w:rStyle w:val="Hyperlink"/>
          </w:rPr>
          <w:t xml:space="preserve">The Evidence Framework Applied to Classification Networks</w:t>
        </w:r>
      </w:hyperlink>
      <w:r>
        <w:t xml:space="preserve">. Neural Computation 4:720–736</w:t>
      </w:r>
    </w:p>
    <w:bookmarkEnd w:id="125"/>
    <w:bookmarkStart w:id="126" w:name="ref-aeon2024"/>
    <w:p>
      <w:pPr>
        <w:pStyle w:val="Bibliography"/>
      </w:pPr>
      <w:r>
        <w:t xml:space="preserve">Middlehurst M, Ismail-Fawaz A, Guillaume A, et al (2024a) aeon: a Python toolkit for learning from time series. Journal of Machine Learning Research 25:1–10</w:t>
      </w:r>
    </w:p>
    <w:bookmarkEnd w:id="126"/>
    <w:bookmarkStart w:id="128" w:name="ref-middlehurst2021hc2"/>
    <w:p>
      <w:pPr>
        <w:pStyle w:val="Bibliography"/>
      </w:pPr>
      <w:r>
        <w:t xml:space="preserve">Middlehurst M, Large J, Flynn M, et al (2021)</w:t>
      </w:r>
      <w:r>
        <w:t xml:space="preserve"> </w:t>
      </w:r>
      <w:hyperlink r:id="rId127">
        <w:r>
          <w:rPr>
            <w:rStyle w:val="Hyperlink"/>
          </w:rPr>
          <w:t xml:space="preserve">HIVE-COTE 2.0: a new meta ensemble for time series classification</w:t>
        </w:r>
      </w:hyperlink>
      <w:r>
        <w:t xml:space="preserve">. Machine Learning 110:3211–3243</w:t>
      </w:r>
    </w:p>
    <w:bookmarkEnd w:id="128"/>
    <w:bookmarkStart w:id="130" w:name="ref-middlehurst2024bakeoff"/>
    <w:p>
      <w:pPr>
        <w:pStyle w:val="Bibliography"/>
      </w:pPr>
      <w:r>
        <w:t xml:space="preserve">Middlehurst M, Schäfer P, Bagnall A (2024b)</w:t>
      </w:r>
      <w:r>
        <w:t xml:space="preserve"> </w:t>
      </w:r>
      <w:hyperlink r:id="rId129">
        <w:r>
          <w:rPr>
            <w:rStyle w:val="Hyperlink"/>
          </w:rPr>
          <w:t xml:space="preserve">Bake off redux: a review and experimental evaluation of recent time series classification algorithms</w:t>
        </w:r>
      </w:hyperlink>
      <w:r>
        <w:t xml:space="preserve">. Data Mining and Knowledge Discovery 38:1958–2031</w:t>
      </w:r>
    </w:p>
    <w:bookmarkEnd w:id="130"/>
    <w:bookmarkStart w:id="132" w:name="ref-niculescu2005"/>
    <w:p>
      <w:pPr>
        <w:pStyle w:val="Bibliography"/>
      </w:pPr>
      <w:r>
        <w:t xml:space="preserve">Niculescu-Mizil A, Caruana R (2005)</w:t>
      </w:r>
      <w:r>
        <w:t xml:space="preserve"> </w:t>
      </w:r>
      <w:hyperlink r:id="rId131">
        <w:r>
          <w:rPr>
            <w:rStyle w:val="Hyperlink"/>
          </w:rPr>
          <w:t xml:space="preserve">Predicting good probabilities with supervised learning</w:t>
        </w:r>
      </w:hyperlink>
      <w:r>
        <w:t xml:space="preserve">. Proceedings of the 22nd international conference on Machine learning - ICML ’05 625–632</w:t>
      </w:r>
    </w:p>
    <w:bookmarkEnd w:id="132"/>
    <w:bookmarkStart w:id="133"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33"/>
    <w:bookmarkStart w:id="134" w:name="ref-pedregosa2011"/>
    <w:p>
      <w:pPr>
        <w:pStyle w:val="Bibliography"/>
      </w:pPr>
      <w:r>
        <w:t xml:space="preserve">Pedregosa F, Varoquaux G, Gramfort A, et al (2011) Scikit-learn: machine learning in Python. Journal of Machine Learning Research 12:2825–2830</w:t>
      </w:r>
    </w:p>
    <w:bookmarkEnd w:id="134"/>
    <w:bookmarkStart w:id="13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35"/>
    <w:bookmarkStart w:id="137" w:name="ref-ragab2023"/>
    <w:p>
      <w:pPr>
        <w:pStyle w:val="Bibliography"/>
      </w:pPr>
      <w:r>
        <w:t xml:space="preserve">Ragab M, Eldele E, Tan WL, et al (2023)</w:t>
      </w:r>
      <w:r>
        <w:t xml:space="preserve"> </w:t>
      </w:r>
      <w:hyperlink r:id="rId136">
        <w:r>
          <w:rPr>
            <w:rStyle w:val="Hyperlink"/>
          </w:rPr>
          <w:t xml:space="preserve">ADATIME: A Benchmarking Suite for Domain Adaptation on Time Series Data</w:t>
        </w:r>
      </w:hyperlink>
      <w:r>
        <w:t xml:space="preserve">. ACM Transactions on Knowledge Discovery from Data 17:1–18</w:t>
      </w:r>
    </w:p>
    <w:bookmarkEnd w:id="137"/>
    <w:bookmarkStart w:id="138" w:name="ref-romano2020"/>
    <w:p>
      <w:pPr>
        <w:pStyle w:val="Bibliography"/>
      </w:pPr>
      <w:r>
        <w:t xml:space="preserve">Romano Y, Sesia M, Candès EJ (2020) Classification with valid and adaptive coverage. In: Advances in Neural Information Processing Systems</w:t>
      </w:r>
    </w:p>
    <w:bookmarkEnd w:id="138"/>
    <w:bookmarkStart w:id="140" w:name="ref-sadinle2019"/>
    <w:p>
      <w:pPr>
        <w:pStyle w:val="Bibliography"/>
      </w:pPr>
      <w:r>
        <w:t xml:space="preserve">Sadinle M, Lei J, Wasserman L (2018)</w:t>
      </w:r>
      <w:r>
        <w:t xml:space="preserve"> </w:t>
      </w:r>
      <w:hyperlink r:id="rId139">
        <w:r>
          <w:rPr>
            <w:rStyle w:val="Hyperlink"/>
          </w:rPr>
          <w:t xml:space="preserve">Least Ambiguous Set-Valued Classifiers With Bounded Error Levels</w:t>
        </w:r>
      </w:hyperlink>
      <w:r>
        <w:t xml:space="preserve">. Journal of the American Statistical Association 114:223–234</w:t>
      </w:r>
    </w:p>
    <w:bookmarkEnd w:id="140"/>
    <w:bookmarkStart w:id="142" w:name="ref-silvafilho2023"/>
    <w:p>
      <w:pPr>
        <w:pStyle w:val="Bibliography"/>
      </w:pPr>
      <w:r>
        <w:t xml:space="preserve">Silva Filho T, Song H, Perello-Nieto M, et al (2023)</w:t>
      </w:r>
      <w:r>
        <w:t xml:space="preserve"> </w:t>
      </w:r>
      <w:hyperlink r:id="rId141">
        <w:r>
          <w:rPr>
            <w:rStyle w:val="Hyperlink"/>
          </w:rPr>
          <w:t xml:space="preserve">Classifier calibration: a survey on how to assess and improve predicted class probabilities</w:t>
        </w:r>
      </w:hyperlink>
      <w:r>
        <w:t xml:space="preserve">. Machine Learning 112:3211–3260</w:t>
      </w:r>
    </w:p>
    <w:bookmarkEnd w:id="142"/>
    <w:bookmarkStart w:id="144" w:name="ref-suykens1999"/>
    <w:p>
      <w:pPr>
        <w:pStyle w:val="Bibliography"/>
      </w:pPr>
      <w:r>
        <w:t xml:space="preserve">Suykens JAK, Vandewalle J (1999)</w:t>
      </w:r>
      <w:r>
        <w:t xml:space="preserve"> </w:t>
      </w:r>
      <w:hyperlink r:id="rId143">
        <w:r>
          <w:rPr>
            <w:rStyle w:val="Hyperlink"/>
          </w:rPr>
          <w:t xml:space="preserve">Least Squares Support Vector Machine Classifiers</w:t>
        </w:r>
      </w:hyperlink>
      <w:r>
        <w:t xml:space="preserve">. Neural Processing Letters 9:293–300</w:t>
      </w:r>
    </w:p>
    <w:bookmarkEnd w:id="144"/>
    <w:bookmarkStart w:id="146" w:name="ref-tan2022multirocket"/>
    <w:p>
      <w:pPr>
        <w:pStyle w:val="Bibliography"/>
      </w:pPr>
      <w:r>
        <w:t xml:space="preserve">Tan CW, Dempster A, Bergmeir C, Webb GI (2022)</w:t>
      </w:r>
      <w:r>
        <w:t xml:space="preserve"> </w:t>
      </w:r>
      <w:hyperlink r:id="rId145">
        <w:r>
          <w:rPr>
            <w:rStyle w:val="Hyperlink"/>
          </w:rPr>
          <w:t xml:space="preserve">MultiRocket: multiple pooling operators and transformations for fast and effective time series classification</w:t>
        </w:r>
      </w:hyperlink>
      <w:r>
        <w:t xml:space="preserve">. Data Mining and Knowledge Discovery 36:1623–1646</w:t>
      </w:r>
    </w:p>
    <w:bookmarkEnd w:id="146"/>
    <w:bookmarkStart w:id="148" w:name="ref-tibshirani2002"/>
    <w:p>
      <w:pPr>
        <w:pStyle w:val="Bibliography"/>
      </w:pPr>
      <w:r>
        <w:t xml:space="preserve">Tibshirani RJ, Efron B (2002)</w:t>
      </w:r>
      <w:r>
        <w:t xml:space="preserve"> </w:t>
      </w:r>
      <w:hyperlink r:id="rId147">
        <w:r>
          <w:rPr>
            <w:rStyle w:val="Hyperlink"/>
          </w:rPr>
          <w:t xml:space="preserve">Pre-validation and inference in microarrays</w:t>
        </w:r>
      </w:hyperlink>
      <w:r>
        <w:t xml:space="preserve">. Statistical Applications in Genetics and Molecular Biology 1</w:t>
      </w:r>
    </w:p>
    <w:bookmarkEnd w:id="148"/>
    <w:bookmarkStart w:id="150" w:name="ref-um2017"/>
    <w:p>
      <w:pPr>
        <w:pStyle w:val="Bibliography"/>
      </w:pPr>
      <w:r>
        <w:t xml:space="preserve">Um TT, Pfister FMJ, Pichler D, et al (2017)</w:t>
      </w:r>
      <w:r>
        <w:t xml:space="preserve"> </w:t>
      </w:r>
      <w:hyperlink r:id="rId149">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50"/>
    <w:bookmarkStart w:id="151"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51"/>
    <w:bookmarkStart w:id="153" w:name="ref-vovk2022"/>
    <w:p>
      <w:pPr>
        <w:pStyle w:val="Bibliography"/>
      </w:pPr>
      <w:r>
        <w:t xml:space="preserve">Vovk V, Gammerman A, Shafer G (2022)</w:t>
      </w:r>
      <w:r>
        <w:t xml:space="preserve"> </w:t>
      </w:r>
      <w:hyperlink r:id="rId152">
        <w:r>
          <w:rPr>
            <w:rStyle w:val="Hyperlink"/>
          </w:rPr>
          <w:t xml:space="preserve">Algorithmic Learning in a Random World</w:t>
        </w:r>
      </w:hyperlink>
      <w:r>
        <w:t xml:space="preserve">. Springer International Publishing</w:t>
      </w:r>
    </w:p>
    <w:bookmarkEnd w:id="153"/>
    <w:bookmarkStart w:id="155" w:name="ref-wilcoxon1945"/>
    <w:p>
      <w:pPr>
        <w:pStyle w:val="Bibliography"/>
      </w:pPr>
      <w:r>
        <w:t xml:space="preserve">Wilcoxon F (1945)</w:t>
      </w:r>
      <w:r>
        <w:t xml:space="preserve"> </w:t>
      </w:r>
      <w:hyperlink r:id="rId154">
        <w:r>
          <w:rPr>
            <w:rStyle w:val="Hyperlink"/>
          </w:rPr>
          <w:t xml:space="preserve">Individual Comparisons by Ranking Methods</w:t>
        </w:r>
      </w:hyperlink>
      <w:r>
        <w:t xml:space="preserve">. Biometrics Bulletin 1:80</w:t>
      </w:r>
    </w:p>
    <w:bookmarkEnd w:id="155"/>
    <w:bookmarkStart w:id="157" w:name="ref-xu2023"/>
    <w:p>
      <w:pPr>
        <w:pStyle w:val="Bibliography"/>
      </w:pPr>
      <w:r>
        <w:t xml:space="preserve">Xu C, Xie Y (2023)</w:t>
      </w:r>
      <w:r>
        <w:t xml:space="preserve"> </w:t>
      </w:r>
      <w:hyperlink r:id="rId156">
        <w:r>
          <w:rPr>
            <w:rStyle w:val="Hyperlink"/>
          </w:rPr>
          <w:t xml:space="preserve">Conformal Prediction for Time Series</w:t>
        </w:r>
      </w:hyperlink>
      <w:r>
        <w:t xml:space="preserve">. IEEE Transactions on Pattern Analysis and Machine Intelligence 45:11575–11587</w:t>
      </w:r>
    </w:p>
    <w:bookmarkEnd w:id="157"/>
    <w:bookmarkStart w:id="159" w:name="ref-zadrozny2002"/>
    <w:p>
      <w:pPr>
        <w:pStyle w:val="Bibliography"/>
      </w:pPr>
      <w:r>
        <w:t xml:space="preserve">Zadrozny B, Elkan C (2002)</w:t>
      </w:r>
      <w:r>
        <w:t xml:space="preserve"> </w:t>
      </w:r>
      <w:hyperlink r:id="rId158">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59"/>
    <w:bookmarkEnd w:id="160"/>
    <w:bookmarkEnd w:id="161"/>
    <w:bookmarkStart w:id="162"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62"/>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61" Type="http://schemas.openxmlformats.org/officeDocument/2006/relationships/image" Target="media/rId61.png"/><Relationship Id="rId41" Type="http://schemas.openxmlformats.org/officeDocument/2006/relationships/image" Target="media/rId41.png"/><Relationship Id="rId50" Type="http://schemas.openxmlformats.org/officeDocument/2006/relationships/image" Target="media/rId50.png"/><Relationship Id="rId44" Type="http://schemas.openxmlformats.org/officeDocument/2006/relationships/image" Target="media/rId44.png"/><Relationship Id="rId47" Type="http://schemas.openxmlformats.org/officeDocument/2006/relationships/image" Target="media/rId47.png"/><Relationship Id="rId152" Type="http://schemas.openxmlformats.org/officeDocument/2006/relationships/hyperlink" Target="https://doi.org/10.1007/978-3-031-06649-8" TargetMode="External"/><Relationship Id="rId98" Type="http://schemas.openxmlformats.org/officeDocument/2006/relationships/hyperlink" Target="https://doi.org/10.1007/s10462-023-10562-9" TargetMode="External"/><Relationship Id="rId78" Type="http://schemas.openxmlformats.org/officeDocument/2006/relationships/hyperlink" Target="https://doi.org/10.1007/s10618-016-0483-9" TargetMode="External"/><Relationship Id="rId109" Type="http://schemas.openxmlformats.org/officeDocument/2006/relationships/hyperlink" Target="https://doi.org/10.1007/s10618-019-00619-1" TargetMode="External"/><Relationship Id="rId87" Type="http://schemas.openxmlformats.org/officeDocument/2006/relationships/hyperlink" Target="https://doi.org/10.1007/s10618-020-00701-z" TargetMode="External"/><Relationship Id="rId111" Type="http://schemas.openxmlformats.org/officeDocument/2006/relationships/hyperlink" Target="https://doi.org/10.1007/s10618-020-00710-y" TargetMode="External"/><Relationship Id="rId145" Type="http://schemas.openxmlformats.org/officeDocument/2006/relationships/hyperlink" Target="https://doi.org/10.1007/s10618-022-00844-1" TargetMode="External"/><Relationship Id="rId91" Type="http://schemas.openxmlformats.org/officeDocument/2006/relationships/hyperlink" Target="https://doi.org/10.1007/s10618-023-00939-3" TargetMode="External"/><Relationship Id="rId129" Type="http://schemas.openxmlformats.org/officeDocument/2006/relationships/hyperlink" Target="https://doi.org/10.1007/s10618-024-01022-1" TargetMode="External"/><Relationship Id="rId93" Type="http://schemas.openxmlformats.org/officeDocument/2006/relationships/hyperlink" Target="https://doi.org/10.1007/s10618-024-01036-9" TargetMode="External"/><Relationship Id="rId127" Type="http://schemas.openxmlformats.org/officeDocument/2006/relationships/hyperlink" Target="https://doi.org/10.1007/s10994-021-06057-9" TargetMode="External"/><Relationship Id="rId141" Type="http://schemas.openxmlformats.org/officeDocument/2006/relationships/hyperlink" Target="https://doi.org/10.1007/s10994-023-06336-7" TargetMode="External"/><Relationship Id="rId71" Type="http://schemas.openxmlformats.org/officeDocument/2006/relationships/hyperlink" Target="https://doi.org/10.1016/j.inffus.2021.05.008" TargetMode="External"/><Relationship Id="rId83" Type="http://schemas.openxmlformats.org/officeDocument/2006/relationships/hyperlink" Target="https://doi.org/10.1016/j.neunet.2004.07.002" TargetMode="External"/><Relationship Id="rId143" Type="http://schemas.openxmlformats.org/officeDocument/2006/relationships/hyperlink" Target="https://doi.org/10.1023/a:1018628609742" TargetMode="External"/><Relationship Id="rId106" Type="http://schemas.openxmlformats.org/officeDocument/2006/relationships/hyperlink" Target="https://doi.org/10.1080/00031305.1978.10479237" TargetMode="External"/><Relationship Id="rId73" Type="http://schemas.openxmlformats.org/officeDocument/2006/relationships/hyperlink" Target="https://doi.org/10.1080/00401706.1974.10489157" TargetMode="External"/><Relationship Id="rId101" Type="http://schemas.openxmlformats.org/officeDocument/2006/relationships/hyperlink" Target="https://doi.org/10.1080/00401706.1979.10489751" TargetMode="External"/><Relationship Id="rId120" Type="http://schemas.openxmlformats.org/officeDocument/2006/relationships/hyperlink" Target="https://doi.org/10.1080/01621459.2017.1307116" TargetMode="External"/><Relationship Id="rId139" Type="http://schemas.openxmlformats.org/officeDocument/2006/relationships/hyperlink" Target="https://doi.org/10.1080/01621459.2017.1395341" TargetMode="External"/><Relationship Id="rId85" Type="http://schemas.openxmlformats.org/officeDocument/2006/relationships/hyperlink" Target="https://doi.org/10.1109/jas.2019.1911747" TargetMode="External"/><Relationship Id="rId156" Type="http://schemas.openxmlformats.org/officeDocument/2006/relationships/hyperlink" Target="https://doi.org/10.1109/tpami.2023.3272339" TargetMode="External"/><Relationship Id="rId131" Type="http://schemas.openxmlformats.org/officeDocument/2006/relationships/hyperlink" Target="https://doi.org/10.1145/1102351.1102430" TargetMode="External"/><Relationship Id="rId149" Type="http://schemas.openxmlformats.org/officeDocument/2006/relationships/hyperlink" Target="https://doi.org/10.1145/3136755.3136817" TargetMode="External"/><Relationship Id="rId89" Type="http://schemas.openxmlformats.org/officeDocument/2006/relationships/hyperlink" Target="https://doi.org/10.1145/3447548.3467231" TargetMode="External"/><Relationship Id="rId136" Type="http://schemas.openxmlformats.org/officeDocument/2006/relationships/hyperlink" Target="https://doi.org/10.1145/3587937" TargetMode="External"/><Relationship Id="rId158" Type="http://schemas.openxmlformats.org/officeDocument/2006/relationships/hyperlink" Target="https://doi.org/10.1145/775047.775151" TargetMode="External"/><Relationship Id="rId124" Type="http://schemas.openxmlformats.org/officeDocument/2006/relationships/hyperlink" Target="https://doi.org/10.1162/neco.1992.4.5.720" TargetMode="External"/><Relationship Id="rId80" Type="http://schemas.openxmlformats.org/officeDocument/2006/relationships/hyperlink" Target="https://doi.org/10.1214/20-aos1965" TargetMode="External"/><Relationship Id="rId113" Type="http://schemas.openxmlformats.org/officeDocument/2006/relationships/hyperlink" Target="https://doi.org/10.1371/journal.pone.0254841" TargetMode="External"/><Relationship Id="rId75" Type="http://schemas.openxmlformats.org/officeDocument/2006/relationships/hyperlink" Target="https://doi.org/10.1561/2200000101" TargetMode="External"/><Relationship Id="rId147" Type="http://schemas.openxmlformats.org/officeDocument/2006/relationships/hyperlink" Target="https://doi.org/10.2202/1544-6115.1000" TargetMode="External"/><Relationship Id="rId154" Type="http://schemas.openxmlformats.org/officeDocument/2006/relationships/hyperlink" Target="https://doi.org/10.2307/3001968" TargetMode="External"/><Relationship Id="rId115" Type="http://schemas.openxmlformats.org/officeDocument/2006/relationships/hyperlink" Target="https://doi.org/10.2466/11.it.3.1" TargetMode="External"/><Relationship Id="rId95"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2" Type="http://schemas.openxmlformats.org/officeDocument/2006/relationships/hyperlink" Target="https://doi.org/10.1007/978-3-031-06649-8" TargetMode="External"/><Relationship Id="rId98" Type="http://schemas.openxmlformats.org/officeDocument/2006/relationships/hyperlink" Target="https://doi.org/10.1007/s10462-023-10562-9" TargetMode="External"/><Relationship Id="rId78" Type="http://schemas.openxmlformats.org/officeDocument/2006/relationships/hyperlink" Target="https://doi.org/10.1007/s10618-016-0483-9" TargetMode="External"/><Relationship Id="rId109" Type="http://schemas.openxmlformats.org/officeDocument/2006/relationships/hyperlink" Target="https://doi.org/10.1007/s10618-019-00619-1" TargetMode="External"/><Relationship Id="rId87" Type="http://schemas.openxmlformats.org/officeDocument/2006/relationships/hyperlink" Target="https://doi.org/10.1007/s10618-020-00701-z" TargetMode="External"/><Relationship Id="rId111" Type="http://schemas.openxmlformats.org/officeDocument/2006/relationships/hyperlink" Target="https://doi.org/10.1007/s10618-020-00710-y" TargetMode="External"/><Relationship Id="rId145" Type="http://schemas.openxmlformats.org/officeDocument/2006/relationships/hyperlink" Target="https://doi.org/10.1007/s10618-022-00844-1" TargetMode="External"/><Relationship Id="rId91" Type="http://schemas.openxmlformats.org/officeDocument/2006/relationships/hyperlink" Target="https://doi.org/10.1007/s10618-023-00939-3" TargetMode="External"/><Relationship Id="rId129" Type="http://schemas.openxmlformats.org/officeDocument/2006/relationships/hyperlink" Target="https://doi.org/10.1007/s10618-024-01022-1" TargetMode="External"/><Relationship Id="rId93" Type="http://schemas.openxmlformats.org/officeDocument/2006/relationships/hyperlink" Target="https://doi.org/10.1007/s10618-024-01036-9" TargetMode="External"/><Relationship Id="rId127" Type="http://schemas.openxmlformats.org/officeDocument/2006/relationships/hyperlink" Target="https://doi.org/10.1007/s10994-021-06057-9" TargetMode="External"/><Relationship Id="rId141" Type="http://schemas.openxmlformats.org/officeDocument/2006/relationships/hyperlink" Target="https://doi.org/10.1007/s10994-023-06336-7" TargetMode="External"/><Relationship Id="rId71" Type="http://schemas.openxmlformats.org/officeDocument/2006/relationships/hyperlink" Target="https://doi.org/10.1016/j.inffus.2021.05.008" TargetMode="External"/><Relationship Id="rId83" Type="http://schemas.openxmlformats.org/officeDocument/2006/relationships/hyperlink" Target="https://doi.org/10.1016/j.neunet.2004.07.002" TargetMode="External"/><Relationship Id="rId143" Type="http://schemas.openxmlformats.org/officeDocument/2006/relationships/hyperlink" Target="https://doi.org/10.1023/a:1018628609742" TargetMode="External"/><Relationship Id="rId106" Type="http://schemas.openxmlformats.org/officeDocument/2006/relationships/hyperlink" Target="https://doi.org/10.1080/00031305.1978.10479237" TargetMode="External"/><Relationship Id="rId73" Type="http://schemas.openxmlformats.org/officeDocument/2006/relationships/hyperlink" Target="https://doi.org/10.1080/00401706.1974.10489157" TargetMode="External"/><Relationship Id="rId101" Type="http://schemas.openxmlformats.org/officeDocument/2006/relationships/hyperlink" Target="https://doi.org/10.1080/00401706.1979.10489751" TargetMode="External"/><Relationship Id="rId120" Type="http://schemas.openxmlformats.org/officeDocument/2006/relationships/hyperlink" Target="https://doi.org/10.1080/01621459.2017.1307116" TargetMode="External"/><Relationship Id="rId139" Type="http://schemas.openxmlformats.org/officeDocument/2006/relationships/hyperlink" Target="https://doi.org/10.1080/01621459.2017.1395341" TargetMode="External"/><Relationship Id="rId85" Type="http://schemas.openxmlformats.org/officeDocument/2006/relationships/hyperlink" Target="https://doi.org/10.1109/jas.2019.1911747" TargetMode="External"/><Relationship Id="rId156" Type="http://schemas.openxmlformats.org/officeDocument/2006/relationships/hyperlink" Target="https://doi.org/10.1109/tpami.2023.3272339" TargetMode="External"/><Relationship Id="rId131" Type="http://schemas.openxmlformats.org/officeDocument/2006/relationships/hyperlink" Target="https://doi.org/10.1145/1102351.1102430" TargetMode="External"/><Relationship Id="rId149" Type="http://schemas.openxmlformats.org/officeDocument/2006/relationships/hyperlink" Target="https://doi.org/10.1145/3136755.3136817" TargetMode="External"/><Relationship Id="rId89" Type="http://schemas.openxmlformats.org/officeDocument/2006/relationships/hyperlink" Target="https://doi.org/10.1145/3447548.3467231" TargetMode="External"/><Relationship Id="rId136" Type="http://schemas.openxmlformats.org/officeDocument/2006/relationships/hyperlink" Target="https://doi.org/10.1145/3587937" TargetMode="External"/><Relationship Id="rId158" Type="http://schemas.openxmlformats.org/officeDocument/2006/relationships/hyperlink" Target="https://doi.org/10.1145/775047.775151" TargetMode="External"/><Relationship Id="rId124" Type="http://schemas.openxmlformats.org/officeDocument/2006/relationships/hyperlink" Target="https://doi.org/10.1162/neco.1992.4.5.720" TargetMode="External"/><Relationship Id="rId80" Type="http://schemas.openxmlformats.org/officeDocument/2006/relationships/hyperlink" Target="https://doi.org/10.1214/20-aos1965" TargetMode="External"/><Relationship Id="rId113" Type="http://schemas.openxmlformats.org/officeDocument/2006/relationships/hyperlink" Target="https://doi.org/10.1371/journal.pone.0254841" TargetMode="External"/><Relationship Id="rId75" Type="http://schemas.openxmlformats.org/officeDocument/2006/relationships/hyperlink" Target="https://doi.org/10.1561/2200000101" TargetMode="External"/><Relationship Id="rId147" Type="http://schemas.openxmlformats.org/officeDocument/2006/relationships/hyperlink" Target="https://doi.org/10.2202/1544-6115.1000" TargetMode="External"/><Relationship Id="rId154" Type="http://schemas.openxmlformats.org/officeDocument/2006/relationships/hyperlink" Target="https://doi.org/10.2307/3001968" TargetMode="External"/><Relationship Id="rId115" Type="http://schemas.openxmlformats.org/officeDocument/2006/relationships/hyperlink" Target="https://doi.org/10.2466/11.it.3.1" TargetMode="External"/><Relationship Id="rId95"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2026-10-13T20:55:30Z</dcterms:created>
  <dcterms:modified xsi:type="dcterms:W3CDTF">2026-10-13T20:55:30Z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