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Online Resource 1</w:t>
      </w:r>
      <w:r>
        <w:t xml:space="preserve"> </w:t>
      </w:r>
      <w:r>
        <w:t xml:space="preserve">to:</w:t>
      </w:r>
      <w:r>
        <w:t xml:space="preserve"> </w:t>
      </w:r>
      <w:r>
        <w:rPr>
          <w:iCs/>
          <w:i/>
        </w:rPr>
        <w:t xml:space="preserve">Shift-aware probabilities for random convolutional kernel time series classifiers via leverage-moderated leave-one-out calibration</w:t>
      </w:r>
    </w:p>
    <w:bookmarkStart w:id="26" w:name="online-resource-1-derivations"/>
    <w:p>
      <w:pPr>
        <w:pStyle w:val="Heading1"/>
      </w:pPr>
      <w:r>
        <w:t xml:space="preserve">Online Resource 1 — Derivations</w:t>
      </w:r>
    </w:p>
    <w:p>
      <w:pPr>
        <w:pStyle w:val="FirstParagraph"/>
      </w:pPr>
      <w:r>
        <w:t xml:space="preserve">Notation. Training features φᵢ ∈ ℝᵖ (MiniRocket output, standardised with the training</w:t>
      </w:r>
      <w:r>
        <w:t xml:space="preserve"> </w:t>
      </w:r>
      <w:r>
        <w:t xml:space="preserve">mean and standard deviation), n training series, K classes, one-vs-rest targets</w:t>
      </w:r>
      <w:r>
        <w:t xml:space="preserve"> </w:t>
      </w:r>
      <w:r>
        <w:t xml:space="preserve">Y ∈ {−1, +1}ⁿˣᴷ. Augmented inputs x̃ᵢ = (1, φᵢ − φ̄) with unpenalised intercept.</w:t>
      </w:r>
      <w:r>
        <w:t xml:space="preserve"> </w:t>
      </w:r>
      <w:r>
        <w:t xml:space="preserve">Penalty matrix P = diag(0, λIₚ) and A = X̃ᵀX̃ + P (X̃ stacks the x̃ᵢ). The ridge fit is</w:t>
      </w:r>
      <w:r>
        <w:t xml:space="preserve"> </w:t>
      </w:r>
      <w:r>
        <w:t xml:space="preserve">B = A⁻¹X̃ᵀY, fitted logits Ŷ = X̃B = HY with hat matrix H = X̃A⁻¹X̃ᵀ, and dᵢ = Hᵢᵢ.</w:t>
      </w:r>
    </w:p>
    <w:bookmarkStart w:id="20" w:name="proposition-1-exact-loo-logits"/>
    <w:p>
      <w:pPr>
        <w:pStyle w:val="Heading2"/>
      </w:pPr>
      <w:r>
        <w:t xml:space="preserve">Proposition 1 (exact LOO logits)</w:t>
      </w:r>
    </w:p>
    <w:p>
      <w:pPr>
        <w:pStyle w:val="FirstParagraph"/>
      </w:pPr>
      <w:r>
        <w:t xml:space="preserve">Let B₋ᵢ be the fit without example i, with the same λ and the same standardisation. Then</w:t>
      </w:r>
    </w:p>
    <w:p>
      <w:pPr>
        <w:pStyle w:val="BodyText"/>
      </w:pPr>
      <w:r>
        <w:t xml:space="preserve">x̃ᵢᵀB₋ᵢ = Yᵢ − (Yᵢ − Ŷᵢ)/(1 − dᵢ).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A₋ᵢ = A − x̃ᵢx̃ᵢᵀ. By Sherman–Morrison,</w:t>
      </w:r>
      <w:r>
        <w:t xml:space="preserve"> </w:t>
      </w:r>
      <w:r>
        <w:t xml:space="preserve">A₋ᵢ⁻¹ = A⁻¹ + A⁻¹x̃ᵢx̃ᵢᵀA⁻¹/(1 − dᵢ), so x̃ᵢᵀA₋ᵢ⁻¹ = x̃ᵢᵀA⁻¹ + dᵢx̃ᵢᵀA⁻¹/(1 − dᵢ)</w:t>
      </w:r>
      <w:r>
        <w:t xml:space="preserve"> </w:t>
      </w:r>
      <w:r>
        <w:t xml:space="preserve">= x̃ᵢᵀA⁻¹/(1 − dᵢ). Since B₋ᵢ = A₋ᵢ⁻¹(X̃ᵀY − x̃ᵢYᵢ),</w:t>
      </w:r>
      <w:r>
        <w:t xml:space="preserve"> </w:t>
      </w:r>
      <w:r>
        <w:t xml:space="preserve">x̃ᵢᵀB₋ᵢ = (x̃ᵢᵀA⁻¹X̃ᵀY − dᵢYᵢ)/(1 − dᵢ) = (Ŷᵢ − dᵢYᵢ)/(1 − dᵢ) = Yᵢ − (Yᵢ − Ŷᵢ)/(1 − dᵢ). ∎</w:t>
      </w:r>
      <w:r>
        <w:t xml:space="preserve"> </w:t>
      </w:r>
      <w:r>
        <w:t xml:space="preserve">(This is the classical PRESS identity of Allen (1974); PreVal uses the same identity.)</w:t>
      </w:r>
    </w:p>
    <w:bookmarkEnd w:id="20"/>
    <w:bookmarkStart w:id="21" w:name="proposition-2-held-out-leverage"/>
    <w:p>
      <w:pPr>
        <w:pStyle w:val="Heading2"/>
      </w:pPr>
      <w:r>
        <w:t xml:space="preserve">Proposition 2 (held-out leverage)</w:t>
      </w:r>
    </w:p>
    <w:p>
      <w:pPr>
        <w:pStyle w:val="FirstParagraph"/>
      </w:pPr>
      <w:r>
        <w:t xml:space="preserve">The leverage of training example i under the model trained without it is</w:t>
      </w:r>
    </w:p>
    <w:p>
      <w:pPr>
        <w:pStyle w:val="BodyText"/>
      </w:pPr>
      <w:r>
        <w:t xml:space="preserve">h₋ᵢ := x̃ᵢᵀA₋ᵢ⁻¹x̃ᵢ = dᵢ/(1 − dᵢ).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From the Sherman–Morrison expression above,</w:t>
      </w:r>
      <w:r>
        <w:t xml:space="preserve"> </w:t>
      </w:r>
      <w:r>
        <w:t xml:space="preserve">x̃ᵢᵀA₋ᵢ⁻¹x̃ᵢ = dᵢ + dᵢ²/(1 − dᵢ) = dᵢ/(1 − dᵢ). ∎</w:t>
      </w:r>
    </w:p>
    <w:bookmarkEnd w:id="21"/>
    <w:bookmarkStart w:id="22" w:name="X20bdce495e705858bd872de1945635aa15f13f4"/>
    <w:p>
      <w:pPr>
        <w:pStyle w:val="Heading2"/>
      </w:pPr>
      <w:r>
        <w:t xml:space="preserve">Proposition 3 (closed-form quantities from one thin SVD)</w:t>
      </w:r>
    </w:p>
    <w:p>
      <w:pPr>
        <w:pStyle w:val="FirstParagraph"/>
      </w:pPr>
      <w:r>
        <w:t xml:space="preserve">Let Φc = USVᵀ be the thin SVD of the centred feature matrix (rank r ≤ min(n − 1, p)), and</w:t>
      </w:r>
      <w:r>
        <w:t xml:space="preserve"> </w:t>
      </w:r>
      <w:r>
        <w:t xml:space="preserve">D = diag(1/(s²ⱼ + λ)). For a test point with centred features ψ:</w:t>
      </w:r>
    </w:p>
    <w:p>
      <w:pPr>
        <w:numPr>
          <w:ilvl w:val="0"/>
          <w:numId w:val="1001"/>
        </w:numPr>
        <w:pStyle w:val="Compact"/>
      </w:pPr>
      <w:r>
        <w:t xml:space="preserve">dᵢ = 1/n + Σⱼ u²ᵢⱼ s²ⱼ/(s²ⱼ + λ);</w:t>
      </w:r>
    </w:p>
    <w:p>
      <w:pPr>
        <w:numPr>
          <w:ilvl w:val="0"/>
          <w:numId w:val="1001"/>
        </w:numPr>
        <w:pStyle w:val="Compact"/>
      </w:pPr>
      <w:r>
        <w:t xml:space="preserve">h(x) := x̃ᵀA⁻¹x̃ = 1/n + ‖D^{1/2}Vᵀψ‖² + (‖ψ‖² − ‖Vᵀψ‖²)/λ;</w:t>
      </w:r>
    </w:p>
    <w:p>
      <w:pPr>
        <w:numPr>
          <w:ilvl w:val="0"/>
          <w:numId w:val="1001"/>
        </w:numPr>
        <w:pStyle w:val="Compact"/>
      </w:pPr>
      <w:r>
        <w:t xml:space="preserve">k(x, i) := x̃ᵀA⁻¹x̃ᵢ = 1/n + (Vᵀψ)ᵀ D S uᵢ (the training points lie in span(V)).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Because Φc is centred, the intercept column is orthogonal to Φc and A is block</w:t>
      </w:r>
      <w:r>
        <w:t xml:space="preserve"> </w:t>
      </w:r>
      <w:r>
        <w:t xml:space="preserve">diagonal in the basis (1, Φc): the intercept block contributes 1/n. For the feature block,</w:t>
      </w:r>
      <w:r>
        <w:t xml:space="preserve"> </w:t>
      </w:r>
      <w:r>
        <w:t xml:space="preserve">(ΦcᵀΦc + λI)⁻¹ = V D Vᵀ + λ⁻¹(I − VVᵀ). ∎</w:t>
      </w:r>
    </w:p>
    <w:p>
      <w:pPr>
        <w:pStyle w:val="BodyText"/>
      </w:pPr>
      <w:r>
        <w:t xml:space="preserve">All three cost O(nr) per training point and O(pr) per test point after the SVD.</w:t>
      </w:r>
    </w:p>
    <w:bookmarkEnd w:id="22"/>
    <w:bookmarkStart w:id="23" w:name="Xc80d6fef25be57ddb532ac287da6c7b9f65f4b7"/>
    <w:p>
      <w:pPr>
        <w:pStyle w:val="Heading2"/>
      </w:pPr>
      <w:r>
        <w:t xml:space="preserve">Proposition 4 (exact LOO model at a test point)</w:t>
      </w:r>
    </w:p>
    <w:p>
      <w:pPr>
        <w:pStyle w:val="FirstParagraph"/>
      </w:pPr>
      <w:r>
        <w:t xml:space="preserve">With residuals E = Y − Ŷ,</w:t>
      </w:r>
    </w:p>
    <w:p>
      <w:pPr>
        <w:pStyle w:val="BodyText"/>
      </w:pPr>
      <w:r>
        <w:t xml:space="preserve">x̃(x)ᵀB₋ᵢ = x̃(x)ᵀB − k(x, i) Eᵢ/(1 − dᵢ), h₋ᵢ(x) = h(x) + k(x, i)²/(1 − dᵢ).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B₋ᵢ = A₋ᵢ⁻¹(X̃ᵀY − x̃ᵢYᵢ) = B − A⁻¹x̃ᵢYᵢ + A⁻¹x̃ᵢ(Ŷᵢ − dᵢYᵢ)/(1 − dᵢ)</w:t>
      </w:r>
      <w:r>
        <w:t xml:space="preserve"> </w:t>
      </w:r>
      <w:r>
        <w:t xml:space="preserve">= B − A⁻¹x̃ᵢ(Yᵢ − Ŷᵢ)/(1 − dᵢ) = B − A⁻¹x̃ᵢEᵢ/(1 − dᵢ); multiplying by x̃(x)ᵀ gives the first</w:t>
      </w:r>
      <w:r>
        <w:t xml:space="preserve"> </w:t>
      </w:r>
      <w:r>
        <w:t xml:space="preserve">identity. The second is Sherman–Morrison applied to x̃(x)ᵀA₋ᵢ⁻¹x̃(x). ∎</w:t>
      </w:r>
      <w:r>
        <w:t xml:space="preserve"> </w:t>
      </w:r>
      <w:r>
        <w:t xml:space="preserve">(Both identities are checked numerically against explicit refits in</w:t>
      </w:r>
      <w:r>
        <w:t xml:space="preserve"> </w:t>
      </w:r>
      <w:r>
        <w:rPr>
          <w:rStyle w:val="VerbatimChar"/>
        </w:rPr>
        <w:t xml:space="preserve">code/tests/test_core.py</w:t>
      </w:r>
      <w:r>
        <w:t xml:space="preserve">.)</w:t>
      </w:r>
    </w:p>
    <w:p>
      <w:pPr>
        <w:pStyle w:val="BodyText"/>
      </w:pPr>
      <w:r>
        <w:t xml:space="preserve">These give every quantity jackknife+ needs, s(x, y; f₋ᵢ) for all i, in O(nK) per test</w:t>
      </w:r>
      <w:r>
        <w:t xml:space="preserve"> </w:t>
      </w:r>
      <w:r>
        <w:t xml:space="preserve">point, with no refitting. The jackknife+ set is</w:t>
      </w:r>
      <w:r>
        <w:t xml:space="preserve"> </w:t>
      </w:r>
      <w:r>
        <w:t xml:space="preserve">C(x) = {y : #{i : sᵢ &lt; s(x, y; f₋ᵢ)} &lt; (1 − α)(n + 1)}, where sᵢ = s(xᵢ, yᵢ; f₋ᵢ).</w:t>
      </w:r>
    </w:p>
    <w:bookmarkEnd w:id="23"/>
    <w:bookmarkStart w:id="24" w:name="interpretation-of-hx"/>
    <w:p>
      <w:pPr>
        <w:pStyle w:val="Heading2"/>
      </w:pPr>
      <w:r>
        <w:t xml:space="preserve">Interpretation of h(x)</w:t>
      </w:r>
    </w:p>
    <w:p>
      <w:pPr>
        <w:pStyle w:val="FirstParagraph"/>
      </w:pPr>
      <w:r>
        <w:t xml:space="preserve">Under the Bayesian linear model with prior β ~ N(0, (σ²/λ)I) and noise variance σ², the</w:t>
      </w:r>
      <w:r>
        <w:t xml:space="preserve"> </w:t>
      </w:r>
      <w:r>
        <w:t xml:space="preserve">posterior predictive variance of each logit at x is σ²·h(x) (with the intercept treated as</w:t>
      </w:r>
      <w:r>
        <w:t xml:space="preserve"> </w:t>
      </w:r>
      <w:r>
        <w:t xml:space="preserve">flat). The leverage-standardised logit x̃(x)/√h(x) is therefore the posterior mean divided</w:t>
      </w:r>
      <w:r>
        <w:t xml:space="preserve"> </w:t>
      </w:r>
      <w:r>
        <w:t xml:space="preserve">by its posterior standard deviation up to the common factor σ. In p ≫ n the out-of-span term</w:t>
      </w:r>
      <w:r>
        <w:t xml:space="preserve"> </w:t>
      </w:r>
      <w:r>
        <w:t xml:space="preserve">(‖ψ‖² − ‖Vᵀψ‖²)/λ dominates; exact held-out leverages h₋ᵢ include the same term for each</w:t>
      </w:r>
      <w:r>
        <w:t xml:space="preserve"> </w:t>
      </w:r>
      <w:r>
        <w:t xml:space="preserve">left-out example, so h(x)/h_ref ≈ 1 for in-distribution test inputs and grows for inputs</w:t>
      </w:r>
      <w:r>
        <w:t xml:space="preserve"> </w:t>
      </w:r>
      <w:r>
        <w:t xml:space="preserve">away from the training distribution.</w:t>
      </w:r>
    </w:p>
    <w:bookmarkEnd w:id="24"/>
    <w:bookmarkStart w:id="25" w:name="caveats-stated-in-the-paper"/>
    <w:p>
      <w:pPr>
        <w:pStyle w:val="Heading2"/>
      </w:pPr>
      <w:r>
        <w:t xml:space="preserve">Caveats (stated in the paper)</w:t>
      </w:r>
    </w:p>
    <w:p>
      <w:pPr>
        <w:numPr>
          <w:ilvl w:val="0"/>
          <w:numId w:val="1002"/>
        </w:numPr>
        <w:pStyle w:val="Compact"/>
      </w:pPr>
      <w:r>
        <w:t xml:space="preserve">The identities are exact for fixed standardisation; the scaler and the MiniRocket biases</w:t>
      </w:r>
      <w:r>
        <w:t xml:space="preserve"> </w:t>
      </w:r>
      <w:r>
        <w:t xml:space="preserve">are fitted on all n training series, so the LOO quantities ignore that dependence.</w:t>
      </w:r>
    </w:p>
    <w:p>
      <w:pPr>
        <w:numPr>
          <w:ilvl w:val="0"/>
          <w:numId w:val="1002"/>
        </w:numPr>
        <w:pStyle w:val="Compact"/>
      </w:pPr>
      <w:r>
        <w:t xml:space="preserve">λ and the temperature a are selected on the same LOO pairs, which makes the LOO NLL</w:t>
      </w:r>
      <w:r>
        <w:t xml:space="preserve"> </w:t>
      </w:r>
      <w:r>
        <w:t xml:space="preserve">slightly optimistic and means the jackknife+ guarantee (≥ 1 − 2α, Barber et al. 2021)</w:t>
      </w:r>
      <w:r>
        <w:t xml:space="preserve"> </w:t>
      </w:r>
      <w:r>
        <w:t xml:space="preserve">holds only approximately; coverage is therefore assessed empirically.</w:t>
      </w:r>
    </w:p>
    <w:bookmarkEnd w:id="25"/>
    <w:bookmarkEnd w:id="26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color w:val="000000"/>
      <w:sz w:val="20"/>
    </w:rPr>
  </w:style>
  <w:style w:styleId="BodyText" w:type="paragraph">
    <w:name w:val="Body Text"/>
    <w:basedOn w:val="Normal"/>
    <w:link w:val="BodyTextChar"/>
    <w:pPr>
      <w:spacing w:after="80" w:before="180" w:line="360" w:lineRule="auto"/>
      <w:jc w:val="both"/>
    </w:pPr>
    <w:qFormat/>
    <w:rPr>
      <w:rFonts w:ascii="Times New Roman" w:cs="Times New Roman" w:eastAsia="Times New Roman" w:hAnsi="Times New Roman"/>
      <w:color w:val="000000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80" w:line="360" w:lineRule="auto"/>
      <w:jc w:val="both"/>
    </w:pPr>
    <w:rPr>
      <w:rFonts w:ascii="Times New Roman" w:cs="Times New Roman" w:eastAsia="Times New Roman" w:hAnsi="Times New Roman"/>
      <w:color w:val="000000"/>
      <w:sz w:val="20"/>
    </w:rPr>
  </w:style>
  <w:style w:customStyle="1" w:styleId="Compact" w:type="paragraph">
    <w:name w:val="Compact"/>
    <w:basedOn w:val="BodyText"/>
    <w:qFormat/>
    <w:pPr>
      <w:spacing w:after="36" w:before="36" w:line="240" w:lineRule="auto"/>
    </w:pPr>
    <w:rPr>
      <w:rFonts w:ascii="Times New Roman" w:cs="Times New Roman" w:eastAsia="Times New Roman" w:hAnsi="Times New Roman"/>
      <w:color w:val="000000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cs="Times New Roman" w:eastAsia="Times New Roman" w:hAnsi="Times New Roman"/>
      <w:color w:val="000000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cs="Times New Roman" w:eastAsia="Times New Roman" w:hAnsi="Times New Roman"/>
      <w:color w:val="00000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Times New Roman" w:cs="Times New Roman" w:eastAsia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  <w:jc w:val="both"/>
    </w:pPr>
    <w:rPr>
      <w:rFonts w:ascii="Times New Roman" w:cs="Times New Roman" w:eastAsia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60" w:line="276" w:lineRule="auto"/>
      <w:ind w:hanging="283" w:left="283"/>
    </w:pPr>
    <w:rPr>
      <w:rFonts w:ascii="Times New Roman" w:cs="Times New Roman" w:eastAsia="Times New Roman" w:hAnsi="Times New Roman"/>
      <w:color w:val="000000"/>
      <w:sz w:val="2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40"/>
      <w:outlineLvl w:val="0"/>
    </w:pPr>
    <w:rPr>
      <w:rFonts w:ascii="Times New Roman" w:cs="Times New Roman" w:eastAsia="Times New Roman" w:hAnsi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b/>
      <w:bCs/>
      <w:i w:val="0"/>
      <w:color w:val="000000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b/>
      <w:bCs/>
      <w:i/>
      <w:color w:val="000000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cs="Times New Roman" w:eastAsia="Times New Roman" w:hAnsi="Times New Roman"/>
      <w:color w:val="000000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cs="Times New Roman" w:eastAsia="Times New Roman" w:hAnsi="Times New Roman"/>
      <w:color w:val="000000"/>
      <w:sz w:val="20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60" w:before="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TableCaption" w:type="paragraph">
    <w:name w:val="Table Caption"/>
    <w:basedOn w:val="Caption"/>
    <w:pPr>
      <w:keepNext/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ImageCaption" w:type="paragraph">
    <w:name w:val="Image Caption"/>
    <w:basedOn w:val="Caption"/>
    <w:pPr>
      <w:spacing w:after="160"/>
      <w:jc w:val="left"/>
    </w:pPr>
    <w:rPr>
      <w:rFonts w:ascii="Times New Roman" w:cs="Times New Roman" w:eastAsia="Times New Roman" w:hAnsi="Times New Roman"/>
      <w:i w:val="0"/>
      <w:color w:val="000000"/>
      <w:sz w:val="20"/>
    </w:rPr>
  </w:style>
  <w:style w:customStyle="1" w:styleId="Figure" w:type="paragraph">
    <w:name w:val="Figure"/>
    <w:basedOn w:val="Normal"/>
    <w:rPr>
      <w:rFonts w:ascii="Times New Roman" w:cs="Times New Roman" w:eastAsia="Times New Roman" w:hAnsi="Times New Roman"/>
      <w:color w:val="000000"/>
      <w:sz w:val="2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cs="Times New Roman" w:eastAsia="Times New Roman" w:hAnsi="Times New Roman"/>
      <w:color w:val="000000"/>
      <w:sz w:val="20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2026-10-29T15:17:08Z</dcterms:created>
  <dcterms:modified xsi:type="dcterms:W3CDTF">2026-10-29T15:17:08Z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