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Online Resource 2</w:t>
      </w:r>
      <w:r>
        <w:t xml:space="preserve"> </w:t>
      </w:r>
      <w:r>
        <w:t xml:space="preserve">to:</w:t>
      </w:r>
      <w:r>
        <w:t xml:space="preserve"> </w:t>
      </w:r>
      <w:r>
        <w:rPr>
          <w:iCs/>
          <w:i/>
        </w:rPr>
        <w:t xml:space="preserve">Shift-aware probabilities for random convolutional kernel time series classifiers via leverage-moderated leave-one-out calibration</w:t>
      </w:r>
    </w:p>
    <w:bookmarkStart w:id="31" w:name="Xd149fc42e8130ef21d17f3123c62c972270e1e6"/>
    <w:p>
      <w:pPr>
        <w:pStyle w:val="Heading1"/>
      </w:pPr>
      <w:r>
        <w:t xml:space="preserve">Experimental design (fixed before the full benchmark was run)</w:t>
      </w:r>
    </w:p>
    <w:p>
      <w:pPr>
        <w:pStyle w:val="FirstParagraph"/>
      </w:pPr>
      <w:r>
        <w:t xml:space="preserve">Committed to the repository before any non-development dataset was evaluated with the</w:t>
      </w:r>
      <w:r>
        <w:t xml:space="preserve"> </w:t>
      </w:r>
      <w:r>
        <w:t xml:space="preserve">final protocol. Development exposure is disclosed in §7.</w:t>
      </w:r>
    </w:p>
    <w:bookmarkStart w:id="20" w:name="hypothesis"/>
    <w:p>
      <w:pPr>
        <w:pStyle w:val="Heading2"/>
      </w:pPr>
      <w:r>
        <w:t xml:space="preserve">1. Hypothesis</w:t>
      </w:r>
    </w:p>
    <w:p>
      <w:pPr>
        <w:pStyle w:val="FirstParagraph"/>
      </w:pPr>
      <w:r>
        <w:t xml:space="preserve">For random-convolutional-kernel time-series classifiers (MiniRocket and relatives) with</w:t>
      </w:r>
      <w:r>
        <w:t xml:space="preserve"> </w:t>
      </w:r>
      <w:r>
        <w:t xml:space="preserve">a ridge readout, standardising the ridge logits by the square root of the test point’s</w:t>
      </w:r>
      <w:r>
        <w:t xml:space="preserve"> </w:t>
      </w:r>
      <w:r>
        <w:t xml:space="preserve">leverage, z(x)/√h(x), and fitting a single temperature and the ridge penalty on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leave-one-out pairs (z₋ᵢ, h₋ᵢ), yields</w:t>
      </w:r>
    </w:p>
    <w:p>
      <w:pPr>
        <w:numPr>
          <w:ilvl w:val="0"/>
          <w:numId w:val="1001"/>
        </w:numPr>
        <w:pStyle w:val="Compact"/>
      </w:pPr>
      <w:r>
        <w:t xml:space="preserve">H1 in-distribution probabilities at least as well calibrated (NLL, ECE, Brier) as the</w:t>
      </w:r>
      <w:r>
        <w:t xml:space="preserve"> </w:t>
      </w:r>
      <w:r>
        <w:t xml:space="preserve">best existing closed-form readout (PreVal) and as cross-validated or hold-out calibration,</w:t>
      </w:r>
      <w:r>
        <w:t xml:space="preserve"> </w:t>
      </w:r>
      <w:r>
        <w:t xml:space="preserve">with unchanged accuracy;</w:t>
      </w:r>
    </w:p>
    <w:p>
      <w:pPr>
        <w:numPr>
          <w:ilvl w:val="0"/>
          <w:numId w:val="1001"/>
        </w:numPr>
        <w:pStyle w:val="Compact"/>
      </w:pPr>
      <w:r>
        <w:t xml:space="preserve">H2 substantially better calibration and shift detection under test-time corruptions,</w:t>
      </w:r>
      <w:r>
        <w:t xml:space="preserve"> </w:t>
      </w:r>
      <w:r>
        <w:t xml:space="preserve">because leverage grows for inputs off the training distribution;</w:t>
      </w:r>
    </w:p>
    <w:p>
      <w:pPr>
        <w:numPr>
          <w:ilvl w:val="0"/>
          <w:numId w:val="1001"/>
        </w:numPr>
        <w:pStyle w:val="Compact"/>
      </w:pPr>
      <w:r>
        <w:t xml:space="preserve">H3 closed-form jackknife+ prediction sets with near-nominal coverage on clean data</w:t>
      </w:r>
      <w:r>
        <w:t xml:space="preserve"> </w:t>
      </w:r>
      <w:r>
        <w:t xml:space="preserve">and smaller sets than split conformal.</w:t>
      </w:r>
    </w:p>
    <w:bookmarkEnd w:id="20"/>
    <w:bookmarkStart w:id="21" w:name="research-questions-experiments"/>
    <w:p>
      <w:pPr>
        <w:pStyle w:val="Heading2"/>
      </w:pPr>
      <w:r>
        <w:t xml:space="preserve">2. Research questions → experiments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In-distribution calibration vs. baselines?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main (clean), E2 strong baselines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components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ablation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under test-time distribution shift?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robustness (18 corruption conditions), shift-detection AUROC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gain transfer to other random-kernel extractors and dataset groups?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generalisation (Rocket, MultiRocket, Hydra; dataset types; dev vs. non-dev)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 efficiency (fit/predict time, complexity)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to design choices?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(moderation strength c, smoothing, λ criterion, miscoverage α, training-set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 it fail?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error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prediction sets?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conformal</w:t>
            </w:r>
          </w:p>
        </w:tc>
      </w:tr>
    </w:tbl>
    <w:bookmarkEnd w:id="21"/>
    <w:bookmarkStart w:id="22" w:name="data"/>
    <w:p>
      <w:pPr>
        <w:pStyle w:val="Heading2"/>
      </w:pPr>
      <w:r>
        <w:t xml:space="preserve">3. Data</w:t>
      </w:r>
    </w:p>
    <w:p>
      <w:pPr>
        <w:pStyle w:val="FirstParagraph"/>
      </w:pPr>
      <w:r>
        <w:t xml:space="preserve">114 UCR univariate datasets with equal-length series and no missing values in the</w:t>
      </w:r>
      <w:r>
        <w:t xml:space="preserve"> </w:t>
      </w:r>
      <w:r>
        <w:t xml:space="preserve">official text distribution (UCR 2018 archive; list in</w:t>
      </w:r>
      <w:r>
        <w:t xml:space="preserve"> </w:t>
      </w:r>
      <w:r>
        <w:rPr>
          <w:rStyle w:val="VerbatimChar"/>
        </w:rPr>
        <w:t xml:space="preserve">code/data/raw/ucr_equal_length.csv</w:t>
      </w:r>
      <w:r>
        <w:t xml:space="preserve">).</w:t>
      </w:r>
      <w:r>
        <w:t xml:space="preserve"> </w:t>
      </w:r>
      <w:r>
        <w:t xml:space="preserve">Resamples r = 0 (official split) and r = 1…4 (stratified resamples of the pooled data that</w:t>
      </w:r>
      <w:r>
        <w:t xml:space="preserve"> </w:t>
      </w:r>
      <w:r>
        <w:t xml:space="preserve">keep the official per-class training counts; numpy seed = r). The MiniRocket seed for</w:t>
      </w:r>
      <w:r>
        <w:t xml:space="preserve"> </w:t>
      </w:r>
      <w:r>
        <w:t xml:space="preserve">resample r is 1000·r (+j for ensemble member j). No seed was chosen after seeing results.</w:t>
      </w:r>
    </w:p>
    <w:bookmarkEnd w:id="22"/>
    <w:bookmarkStart w:id="23" w:name="X53a3e18cd06ab504a9b17ab20a3cdc40ba849ef"/>
    <w:p>
      <w:pPr>
        <w:pStyle w:val="Heading2"/>
      </w:pPr>
      <w:r>
        <w:t xml:space="preserve">4. Methods (all share identical MiniRocket features per resample)</w:t>
      </w:r>
    </w:p>
    <w:p>
      <w:pPr>
        <w:pStyle w:val="FirstParagraph"/>
      </w:pPr>
      <w:r>
        <w:t xml:space="preserve">Proposed:</w:t>
      </w:r>
      <w:r>
        <w:t xml:space="preserve"> </w:t>
      </w:r>
      <w:r>
        <w:rPr>
          <w:bCs/>
          <w:b/>
        </w:rPr>
        <w:t xml:space="preserve">LOOM</w:t>
      </w:r>
      <w:r>
        <w:t xml:space="preserve"> </w:t>
      </w:r>
      <w:r>
        <w:t xml:space="preserve">(standardised logits, Platt target smoothing, λ and a by LOO NLL).</w:t>
      </w:r>
      <w:r>
        <w:t xml:space="preserve"> </w:t>
      </w:r>
      <w:r>
        <w:t xml:space="preserve">Baselines: Ridge-onehot (default output of ROCKET-family implementations), Ridge-softmax</w:t>
      </w:r>
      <w:r>
        <w:t xml:space="preserve"> </w:t>
      </w:r>
      <w:r>
        <w:t xml:space="preserve">(T = 1), PreVal (Dempster et al.; global LOO scaling, faithful: no smoothing), Holdout-TS</w:t>
      </w:r>
      <w:r>
        <w:t xml:space="preserve"> </w:t>
      </w:r>
      <w:r>
        <w:t xml:space="preserve">(80/20 temperature scaling), Ridge-Platt-CV5 and Ridge-Isotonic-CV5 (sklearn</w:t>
      </w:r>
      <w:r>
        <w:t xml:space="preserve"> </w:t>
      </w:r>
      <w:r>
        <w:t xml:space="preserve">CalibratedClassifierCV), LogReg-CV (L2 logistic regression, C ∈ {1e-3,1e-2,1e-1,1} by 3-fold</w:t>
      </w:r>
      <w:r>
        <w:t xml:space="preserve"> </w:t>
      </w:r>
      <w:r>
        <w:t xml:space="preserve">CV log-loss), PreVal-Ens5 and LOOM-Ens5 (average of five MiniRocket seeds), Arsenal and QUANT</w:t>
      </w:r>
      <w:r>
        <w:t xml:space="preserve"> </w:t>
      </w:r>
      <w:r>
        <w:t xml:space="preserve">(aeon; raw-series classifiers with native probabilities).</w:t>
      </w:r>
    </w:p>
    <w:p>
      <w:pPr>
        <w:pStyle w:val="BodyText"/>
      </w:pPr>
      <w:r>
        <w:t xml:space="preserve">Compute-driven protocol decisions (made after timing pilots, before any benchmark result):</w:t>
      </w:r>
      <w:r>
        <w:t xml:space="preserve"> </w:t>
      </w:r>
      <w:r>
        <w:t xml:space="preserve">* LogReg-CV is skipped for datasets with more than 2,000 training series (13 fits of an</w:t>
      </w:r>
      <w:r>
        <w:t xml:space="preserve"> </w:t>
      </w:r>
      <w:r>
        <w:t xml:space="preserve">L2 logistic regression with ~10,000 features per job); its comparisons use the remaining datasets.</w:t>
      </w:r>
      <w:r>
        <w:t xml:space="preserve"> </w:t>
      </w:r>
      <w:r>
        <w:t xml:space="preserve">* Arsenal uses aeon’s MiniRocket-kernel configuration (</w:t>
      </w:r>
      <w:r>
        <w:rPr>
          <w:rStyle w:val="VerbatimChar"/>
        </w:rPr>
        <w:t xml:space="preserve">rocket_transform="minirocket"</w:t>
      </w:r>
      <w:r>
        <w:t xml:space="preserve">,</w:t>
      </w:r>
      <w:r>
        <w:t xml:space="preserve"> </w:t>
      </w:r>
      <w:r>
        <w:t xml:space="preserve">25 estimators x 2,000 kernels) instead of the default ROCKET kernels: the default</w:t>
      </w:r>
      <w:r>
        <w:t xml:space="preserve"> </w:t>
      </w:r>
      <w:r>
        <w:t xml:space="preserve">configuration needed 32 s to predict 1,029 series of length 24, which extrapolates to</w:t>
      </w:r>
      <w:r>
        <w:t xml:space="preserve"> </w:t>
      </w:r>
      <w:r>
        <w:t xml:space="preserve">several CPU-days for 19 test conditions on the archive. Arsenal is run on the official</w:t>
      </w:r>
      <w:r>
        <w:t xml:space="preserve"> </w:t>
      </w:r>
      <w:r>
        <w:t xml:space="preserve">split (resample 0) only and is compared with the other methods on that split in a</w:t>
      </w:r>
      <w:r>
        <w:t xml:space="preserve"> </w:t>
      </w:r>
      <w:r>
        <w:t xml:space="preserve">separate table. QUANT is run on all five resamples.</w:t>
      </w:r>
      <w:r>
        <w:t xml:space="preserve"> </w:t>
      </w:r>
      <w:r>
        <w:t xml:space="preserve">Ablations: PreVal-smooth, LOOM-nosmooth, LOOM-free-b, LOOM-finite-c1, LOOM-kNN,</w:t>
      </w:r>
      <w:r>
        <w:t xml:space="preserve"> </w:t>
      </w:r>
      <w:r>
        <w:t xml:space="preserve">LOOM-insample, LOOM-holdout, LOOM-lambdaSSE.</w:t>
      </w:r>
    </w:p>
    <w:bookmarkEnd w:id="23"/>
    <w:bookmarkStart w:id="24" w:name="corruptions-test-set-only-severities-13"/>
    <w:p>
      <w:pPr>
        <w:pStyle w:val="Heading2"/>
      </w:pPr>
      <w:r>
        <w:t xml:space="preserve">5. Corruptions (test set only; severities 1–3)</w:t>
      </w:r>
    </w:p>
    <w:p>
      <w:pPr>
        <w:pStyle w:val="FirstParagraph"/>
      </w:pPr>
      <w:r>
        <w:t xml:space="preserve">noise σ ∈ {0.1, 0.3, 0.5}·sd; wander amplitude ∈ {0.25, 0.5, 1}·sd; missing segment ∈ {10, 20, 30} %</w:t>
      </w:r>
      <w:r>
        <w:t xml:space="preserve"> </w:t>
      </w:r>
      <w:r>
        <w:t xml:space="preserve">(linear interpolation); spikes ∈ {1, 3, 5} % of points at ±3 sd; smooth monotone time warp with</w:t>
      </w:r>
      <w:r>
        <w:t xml:space="preserve"> </w:t>
      </w:r>
      <w:r>
        <w:t xml:space="preserve">slope ∈ [1−s, 1+s], s ∈ {0.05, 0.1, 0.2}; circular shift ∈ {5, 10, 20} % of the length.</w:t>
      </w:r>
      <w:r>
        <w:t xml:space="preserve"> </w:t>
      </w:r>
      <w:r>
        <w:t xml:space="preserve">Seeds are a hash of (dataset, resample, family, severity): identical inputs for all methods.</w:t>
      </w:r>
    </w:p>
    <w:bookmarkEnd w:id="24"/>
    <w:bookmarkStart w:id="25" w:name="endpoints-and-statistics"/>
    <w:p>
      <w:pPr>
        <w:pStyle w:val="Heading2"/>
      </w:pPr>
      <w:r>
        <w:t xml:space="preserve">6. Endpoints and statistics</w:t>
      </w:r>
    </w:p>
    <w:p>
      <w:pPr>
        <w:numPr>
          <w:ilvl w:val="0"/>
          <w:numId w:val="1002"/>
        </w:numPr>
        <w:pStyle w:val="Compact"/>
      </w:pPr>
      <w:r>
        <w:t xml:space="preserve">Primary endpoint: test NLL. Secondary: ECE (15 equal-width bins, top label), Brier,</w:t>
      </w:r>
      <w:r>
        <w:t xml:space="preserve"> </w:t>
      </w:r>
      <w:r>
        <w:t xml:space="preserve">classwise ECE, accuracy, balanced accuracy, AURC, shift-detection AUROC, conformal coverage</w:t>
      </w:r>
      <w:r>
        <w:t xml:space="preserve"> </w:t>
      </w:r>
      <w:r>
        <w:t xml:space="preserve">and set size (α = 0.1; 0.05 and 0.2 as sensitivity).</w:t>
      </w:r>
    </w:p>
    <w:p>
      <w:pPr>
        <w:numPr>
          <w:ilvl w:val="0"/>
          <w:numId w:val="1002"/>
        </w:numPr>
        <w:pStyle w:val="Compact"/>
      </w:pPr>
      <w:r>
        <w:t xml:space="preserve">Robustness endpoint: per-dataset mean over the 18 corruption conditions.</w:t>
      </w:r>
    </w:p>
    <w:p>
      <w:pPr>
        <w:numPr>
          <w:ilvl w:val="0"/>
          <w:numId w:val="1002"/>
        </w:numPr>
        <w:pStyle w:val="Compact"/>
      </w:pPr>
      <w:r>
        <w:t xml:space="preserve">Unit of analysis = dataset (metric averaged over resamples). Two-sided Wilcoxon</w:t>
      </w:r>
      <w:r>
        <w:t xml:space="preserve"> </w:t>
      </w:r>
      <w:r>
        <w:t xml:space="preserve">signed-rank test LOOM vs. each competitor, Holm correction within each table,</w:t>
      </w:r>
      <w:r>
        <w:t xml:space="preserve"> </w:t>
      </w:r>
      <w:r>
        <w:t xml:space="preserve">matched-pairs rank-biserial correlation, percentile-bootstrap 95 % CI (10,000 draws) for</w:t>
      </w:r>
      <w:r>
        <w:t xml:space="preserve"> </w:t>
      </w:r>
      <w:r>
        <w:t xml:space="preserve">the median paired difference; Friedman test and average ranks over all methods.</w:t>
      </w:r>
    </w:p>
    <w:p>
      <w:pPr>
        <w:numPr>
          <w:ilvl w:val="0"/>
          <w:numId w:val="1002"/>
        </w:numPr>
        <w:pStyle w:val="Compact"/>
      </w:pPr>
      <w:r>
        <w:t xml:space="preserve">Significance level 0.05 after Holm correction. No claim of superiority without it.</w:t>
      </w:r>
    </w:p>
    <w:p>
      <w:pPr>
        <w:pStyle w:val="FirstParagraph"/>
      </w:pPr>
      <w:r>
        <w:t xml:space="preserve">Conformal scores: both LAC (1 − p) and deterministic APS (Romano et al. 2020) are reported</w:t>
      </w:r>
      <w:r>
        <w:t xml:space="preserve"> </w:t>
      </w:r>
      <w:r>
        <w:t xml:space="preserve">for jackknife+ (LOOM, PreVal) and split conformal (Holdout-TS). APS was added after the</w:t>
      </w:r>
      <w:r>
        <w:t xml:space="preserve"> </w:t>
      </w:r>
      <w:r>
        <w:t xml:space="preserve">quick-mode run on the six development-exposed datasets showed that LAC sets become empty</w:t>
      </w:r>
      <w:r>
        <w:t xml:space="preserve"> </w:t>
      </w:r>
      <w:r>
        <w:t xml:space="preserve">when moderated probabilities are flat under shift; it was added before the full benchmark.</w:t>
      </w:r>
    </w:p>
    <w:bookmarkEnd w:id="25"/>
    <w:bookmarkStart w:id="26" w:name="development-exposure-disclosed"/>
    <w:p>
      <w:pPr>
        <w:pStyle w:val="Heading2"/>
      </w:pPr>
      <w:r>
        <w:t xml:space="preserve">7. Development exposure (disclosed)</w:t>
      </w:r>
    </w:p>
    <w:p>
      <w:pPr>
        <w:pStyle w:val="FirstParagraph"/>
      </w:pPr>
      <w:r>
        <w:t xml:space="preserve">Method design used 8 randomly chosen development datasets (Adiac, Beef, Car,</w:t>
      </w:r>
      <w:r>
        <w:t xml:space="preserve"> </w:t>
      </w:r>
      <w:r>
        <w:t xml:space="preserve">EthanolLevel, Fish, Lightning2, NonInvasiveFetalECGThorax2, SonyAIBORobotSurface1) with the</w:t>
      </w:r>
      <w:r>
        <w:t xml:space="preserve"> </w:t>
      </w:r>
      <w:r>
        <w:t xml:space="preserve">official split and three ad-hoc corruptions. GunPoint, ECG200 and Coffee were used for</w:t>
      </w:r>
      <w:r>
        <w:t xml:space="preserve"> </w:t>
      </w:r>
      <w:r>
        <w:t xml:space="preserve">pipeline smoke tests, and ItalyPowerDemand, SonyAIBORobotSurface2 and TwoLeadECG form the</w:t>
      </w:r>
      <w:r>
        <w:t xml:space="preserve"> </w:t>
      </w:r>
      <w:r>
        <w:rPr>
          <w:rStyle w:val="VerbatimChar"/>
        </w:rPr>
        <w:t xml:space="preserve">run_all.py --mode quick</w:t>
      </w:r>
      <w:r>
        <w:t xml:space="preserve"> </w:t>
      </w:r>
      <w:r>
        <w:t xml:space="preserve">set; the GunPoint smoke test revealed that separable LOO predictions drive</w:t>
      </w:r>
      <w:r>
        <w:t xml:space="preserve"> </w:t>
      </w:r>
      <w:r>
        <w:t xml:space="preserve">the temperature to its bound, which motivated Platt target smoothing (decided before the</w:t>
      </w:r>
      <w:r>
        <w:t xml:space="preserve"> </w:t>
      </w:r>
      <w:r>
        <w:t xml:space="preserve">benchmark). All results are reported for the 114 datasets and, as a sensitivity analysis,</w:t>
      </w:r>
      <w:r>
        <w:t xml:space="preserve"> </w:t>
      </w:r>
      <w:r>
        <w:t xml:space="preserve">for the 100 datasets never seen during development, and for the 98 datasets without</w:t>
      </w:r>
      <w:r>
        <w:t xml:space="preserve"> </w:t>
      </w:r>
      <w:r>
        <w:t xml:space="preserve">train/test duplicates (leakage audit,</w:t>
      </w:r>
      <w:r>
        <w:t xml:space="preserve"> </w:t>
      </w:r>
      <w:r>
        <w:rPr>
          <w:rStyle w:val="VerbatimChar"/>
        </w:rPr>
        <w:t xml:space="preserve">code/results/leakage_audit.csv</w:t>
      </w:r>
      <w:r>
        <w:t xml:space="preserve">).</w:t>
      </w:r>
    </w:p>
    <w:bookmarkEnd w:id="26"/>
    <w:bookmarkStart w:id="27" w:name="X60e2df7ee32284752bdd949c6c2f99601d49071"/>
    <w:p>
      <w:pPr>
        <w:pStyle w:val="Heading2"/>
      </w:pPr>
      <w:r>
        <w:t xml:space="preserve">8. Protocol amendments for compute (made before any benchmark result was inspected)</w:t>
      </w:r>
    </w:p>
    <w:p>
      <w:pPr>
        <w:pStyle w:val="FirstParagraph"/>
      </w:pPr>
      <w:r>
        <w:t xml:space="preserve">After the first full launch, one resample of the largest dataset (StarLightCurves) took</w:t>
      </w:r>
      <w:r>
        <w:t xml:space="preserve"> </w:t>
      </w:r>
      <w:r>
        <w:t xml:space="preserve">68 CPU-minutes with five-seed ensembles, and the container restarted, which terminated the</w:t>
      </w:r>
      <w:r>
        <w:t xml:space="preserve"> </w:t>
      </w:r>
      <w:r>
        <w:t xml:space="preserve">run. Before any result file was opened, the following amendments were made and the four</w:t>
      </w:r>
      <w:r>
        <w:t xml:space="preserve"> </w:t>
      </w:r>
      <w:r>
        <w:t xml:space="preserve">completed jobs were discarded:</w:t>
      </w:r>
      <w:r>
        <w:t xml:space="preserve"> </w:t>
      </w:r>
      <w:r>
        <w:t xml:space="preserve">1. PreVal-Ens5 and LOOM-Ens5 are computed on the official split (resample 0) only; resamples</w:t>
      </w:r>
      <w:r>
        <w:t xml:space="preserve"> </w:t>
      </w:r>
      <w:r>
        <w:t xml:space="preserve">1–4 use a single MiniRocket seed. Ensembles are compared with the other methods on the</w:t>
      </w:r>
      <w:r>
        <w:t xml:space="preserve"> </w:t>
      </w:r>
      <w:r>
        <w:t xml:space="preserve">official split, in the same table as Arsenal and QUANT.</w:t>
      </w:r>
      <w:r>
        <w:t xml:space="preserve"> </w:t>
      </w:r>
      <w:r>
        <w:t xml:space="preserve">2. Conformal prediction sets are evaluated on a seeded random subset of at most 1,000 test</w:t>
      </w:r>
      <w:r>
        <w:t xml:space="preserve"> </w:t>
      </w:r>
      <w:r>
        <w:t xml:space="preserve">series per dataset (the same subset for every set method and condition).</w:t>
      </w:r>
      <w:r>
        <w:t xml:space="preserve"> </w:t>
      </w:r>
      <w:r>
        <w:t xml:space="preserve">3. Rocket, MultiRocket and Hydra (generalisation) and Arsenal are evaluated on the official</w:t>
      </w:r>
      <w:r>
        <w:t xml:space="preserve"> </w:t>
      </w:r>
      <w:r>
        <w:t xml:space="preserve">split, on clean data and the six severity-3 corruptions.</w:t>
      </w:r>
      <w:r>
        <w:t xml:space="preserve"> </w:t>
      </w:r>
      <w:r>
        <w:t xml:space="preserve">4. (Second amendment, also before inspecting results; 26 main jobs had finished.) Because the</w:t>
      </w:r>
      <w:r>
        <w:t xml:space="preserve"> </w:t>
      </w:r>
      <w:r>
        <w:t xml:space="preserve">cloud container restarts every one to two hours and does not compute while idle, the</w:t>
      </w:r>
      <w:r>
        <w:t xml:space="preserve"> </w:t>
      </w:r>
      <w:r>
        <w:t xml:space="preserve">Rocket extractor was dropped from the generalisation experiment (its transform costs roughly</w:t>
      </w:r>
      <w:r>
        <w:t xml:space="preserve"> </w:t>
      </w:r>
      <w:r>
        <w:t xml:space="preserve">ten times MiniRocket’s), keeping MultiRocket and Hydra, and the training-size experiment uses</w:t>
      </w:r>
      <w:r>
        <w:t xml:space="preserve"> </w:t>
      </w:r>
      <w:r>
        <w:t xml:space="preserve">clean data and the six severity-3 corruptions.</w:t>
      </w:r>
      <w:r>
        <w:t xml:space="preserve"> </w:t>
      </w:r>
      <w:r>
        <w:t xml:space="preserve">5. (Third amendment, before inspecting results for these datasets.) For the two datasets with more</w:t>
      </w:r>
      <w:r>
        <w:t xml:space="preserve"> </w:t>
      </w:r>
      <w:r>
        <w:t xml:space="preserve">than 3,000 training and more than 2,000 test series (Crop, ElectricDevices) the leverage</w:t>
      </w:r>
      <w:r>
        <w:t xml:space="preserve"> </w:t>
      </w:r>
      <w:r>
        <w:t xml:space="preserve">projection costs about 10^13 operations per readout and seed. Their test sets are therefore</w:t>
      </w:r>
      <w:r>
        <w:t xml:space="preserve"> </w:t>
      </w:r>
      <w:r>
        <w:t xml:space="preserve">evaluated on a seeded random subsample of 2,000 test series (identical for all methods and</w:t>
      </w:r>
      <w:r>
        <w:t xml:space="preserve"> </w:t>
      </w:r>
      <w:r>
        <w:t xml:space="preserve">conditions). The other 112 datasets use their full test sets.</w:t>
      </w:r>
      <w:r>
        <w:t xml:space="preserve"> </w:t>
      </w:r>
      <w:r>
        <w:t xml:space="preserve">6. (Fourth amendment, before inspecting results of the affected datasets.) The worker running the</w:t>
      </w:r>
      <w:r>
        <w:t xml:space="preserve"> </w:t>
      </w:r>
      <w:r>
        <w:t xml:space="preserve">largest datasets was killed twice by the out-of-memory killer (9 GB peak) and the remaining serial</w:t>
      </w:r>
      <w:r>
        <w:t xml:space="preserve"> </w:t>
      </w:r>
      <w:r>
        <w:t xml:space="preserve">work on them was estimated at ~16 h. For the four datasets with more than 3,000 training series</w:t>
      </w:r>
      <w:r>
        <w:t xml:space="preserve"> </w:t>
      </w:r>
      <w:r>
        <w:t xml:space="preserve">(Crop, ElectricDevices, FordA, FordB): the main experiment and QUANT use resamples 0–2 (Crop:</w:t>
      </w:r>
      <w:r>
        <w:t xml:space="preserve"> </w:t>
      </w:r>
      <w:r>
        <w:t xml:space="preserve">0–4, already completed); ElectricDevices is evaluated without the five-seed ensembles (single</w:t>
      </w:r>
      <w:r>
        <w:t xml:space="preserve"> </w:t>
      </w:r>
      <w:r>
        <w:t xml:space="preserve">seed) and is therefore absent from the ensemble comparison; the extractor and training-size</w:t>
      </w:r>
      <w:r>
        <w:t xml:space="preserve"> </w:t>
      </w:r>
      <w:r>
        <w:t xml:space="preserve">experiments exclude these four datasets. ElectricDevices and Crop jobs run alone at the end.</w:t>
      </w:r>
    </w:p>
    <w:p>
      <w:pPr>
        <w:pStyle w:val="BodyText"/>
      </w:pPr>
      <w:r>
        <w:rPr>
          <w:iCs/>
          <w:i/>
        </w:rPr>
        <w:t xml:space="preserve">Note added 2026-10-21:</w:t>
      </w:r>
      <w:r>
        <w:t xml:space="preserve"> </w:t>
      </w:r>
      <w:r>
        <w:t xml:space="preserve">the official-split ElectricDevices job had already finished with the</w:t>
      </w:r>
      <w:r>
        <w:t xml:space="preserve"> </w:t>
      </w:r>
      <w:r>
        <w:t xml:space="preserve">five-seed ensembles before this amendment took effect, so ElectricDevices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included in the</w:t>
      </w:r>
      <w:r>
        <w:t xml:space="preserve"> </w:t>
      </w:r>
      <w:r>
        <w:t xml:space="preserve">ensemble comparison (114 datasets); the single-seed rule affects only its resamples 1–2, which</w:t>
      </w:r>
      <w:r>
        <w:t xml:space="preserve"> </w:t>
      </w:r>
      <w:r>
        <w:t xml:space="preserve">carry no ensembles for any dataset.</w:t>
      </w:r>
    </w:p>
    <w:bookmarkEnd w:id="27"/>
    <w:bookmarkStart w:id="28" w:name="X193dceb8dfe03d140209ae4e56a6fa45c0dc1d1"/>
    <w:p>
      <w:pPr>
        <w:pStyle w:val="Heading2"/>
      </w:pPr>
      <w:r>
        <w:t xml:space="preserve">9. Post-hoc analysis changes (made after results were inspected; reported as such)</w:t>
      </w:r>
    </w:p>
    <w:p>
      <w:pPr>
        <w:numPr>
          <w:ilvl w:val="0"/>
          <w:numId w:val="1003"/>
        </w:numPr>
        <w:pStyle w:val="Compact"/>
      </w:pPr>
      <w:r>
        <w:t xml:space="preserve">(Review round 8.) The Arsenal was run on clean and severity-3 data only (amendment 3), but the</w:t>
      </w:r>
      <w:r>
        <w:t xml:space="preserve"> </w:t>
      </w:r>
      <w:r>
        <w:t xml:space="preserve">corrupted-data comparison of the official-split table originally averaged LOOM, PreVal, the</w:t>
      </w:r>
      <w:r>
        <w:t xml:space="preserve"> </w:t>
      </w:r>
      <w:r>
        <w:t xml:space="preserve">ensembles and QUANT over all 18 conditions. This mixed different condition sets and favoured</w:t>
      </w:r>
      <w:r>
        <w:t xml:space="preserve"> </w:t>
      </w:r>
      <w:r>
        <w:t xml:space="preserve">LOOM against the Arsenal. The official-split comparison (manuscript Table 3) now uses the six</w:t>
      </w:r>
      <w:r>
        <w:t xml:space="preserve"> </w:t>
      </w:r>
      <w:r>
        <w:t xml:space="preserve">severity-3 conditions</w:t>
      </w:r>
      <w:r>
        <w:t xml:space="preserve"> </w:t>
      </w:r>
      <w:r>
        <w:rPr>
          <w:bCs/>
          <w:b/>
        </w:rPr>
        <w:t xml:space="preserve">for every method</w:t>
      </w:r>
      <w:r>
        <w:t xml:space="preserve">. As a result QUANT becomes significantly better than</w:t>
      </w:r>
      <w:r>
        <w:t xml:space="preserve"> </w:t>
      </w:r>
      <w:r>
        <w:t xml:space="preserve">LOOM in NLL on this table, which is reported in the abstract, results, discussion and</w:t>
      </w:r>
      <w:r>
        <w:t xml:space="preserve"> </w:t>
      </w:r>
      <w:r>
        <w:t xml:space="preserve">conclusion. The Brier score was added to this table because the Arsenal’s vote-based</w:t>
      </w:r>
      <w:r>
        <w:t xml:space="preserve"> </w:t>
      </w:r>
      <w:r>
        <w:t xml:space="preserve">probabilities contain exact zeros that dominate its NLL. The primary endpoint and the main</w:t>
      </w:r>
      <w:r>
        <w:t xml:space="preserve"> </w:t>
      </w:r>
      <w:r>
        <w:t xml:space="preserve">analysis (Tables 1–2, all 18 conditions, five resamples) are unchanged.</w:t>
      </w:r>
    </w:p>
    <w:p>
      <w:pPr>
        <w:numPr>
          <w:ilvl w:val="0"/>
          <w:numId w:val="1003"/>
        </w:numPr>
        <w:pStyle w:val="Compact"/>
      </w:pPr>
      <w:r>
        <w:t xml:space="preserve">(Review round 7.) Fit times of Ridge-onehot/softmax now include the shared SVD they use, and</w:t>
      </w:r>
      <w:r>
        <w:t xml:space="preserve"> </w:t>
      </w:r>
      <w:r>
        <w:t xml:space="preserve">the MiniRocket transform time is reported separately (it was recorded but not loaded because</w:t>
      </w:r>
      <w:r>
        <w:t xml:space="preserve"> </w:t>
      </w:r>
      <w:r>
        <w:t xml:space="preserve">of a key mismatch). No benchmark job was rerun.</w:t>
      </w:r>
    </w:p>
    <w:bookmarkEnd w:id="28"/>
    <w:bookmarkStart w:id="29" w:name="Xb203a7ae4c4f7befe9ba324178ca6443893c220"/>
    <w:p>
      <w:pPr>
        <w:pStyle w:val="Heading2"/>
      </w:pPr>
      <w:r>
        <w:t xml:space="preserve">10. Application case study (designed after the main benchmark; protocol fixed before it was run, 2026-10-29)</w:t>
      </w:r>
    </w:p>
    <w:p>
      <w:pPr>
        <w:pStyle w:val="FirstParagraph"/>
      </w:pPr>
      <w:r>
        <w:rPr>
          <w:iCs/>
          <w:i/>
        </w:rPr>
        <w:t xml:space="preserve">Purpose.</w:t>
      </w:r>
      <w:r>
        <w:t xml:space="preserve"> </w:t>
      </w:r>
      <w:r>
        <w:t xml:space="preserve">Evaluate the methods as they would be used in a monitoring application: a classifier</w:t>
      </w:r>
      <w:r>
        <w:t xml:space="preserve"> </w:t>
      </w:r>
      <w:r>
        <w:t xml:space="preserve">labels incoming recordings automatically and passes the recordings it is least sure about to a</w:t>
      </w:r>
      <w:r>
        <w:t xml:space="preserve"> </w:t>
      </w:r>
      <w:r>
        <w:t xml:space="preserve">human reviewer, while a fraction of recordings is affected by sensor faults. This study is</w:t>
      </w:r>
      <w:r>
        <w:t xml:space="preserve"> </w:t>
      </w:r>
      <w:r>
        <w:rPr>
          <w:bCs/>
          <w:b/>
        </w:rPr>
        <w:t xml:space="preserve">exploratory</w:t>
      </w:r>
      <w:r>
        <w:t xml:space="preserve">: it was added after the main results were known, in response to the question of</w:t>
      </w:r>
      <w:r>
        <w:t xml:space="preserve"> </w:t>
      </w:r>
      <w:r>
        <w:t xml:space="preserve">practical value, and it is reported as such.</w:t>
      </w:r>
    </w:p>
    <w:p>
      <w:pPr>
        <w:pStyle w:val="BodyText"/>
      </w:pPr>
      <w:r>
        <w:rPr>
          <w:iCs/>
          <w:i/>
        </w:rPr>
        <w:t xml:space="preserve">Datasets (12, three application domains, chosen by domain before running; all UCR, official</w:t>
      </w:r>
      <w:r>
        <w:rPr>
          <w:iCs/>
          <w:i/>
        </w:rPr>
        <w:t xml:space="preserve"> </w:t>
      </w:r>
      <w:r>
        <w:rPr>
          <w:iCs/>
          <w:i/>
        </w:rPr>
        <w:t xml:space="preserve">split plus resamples 1–4):</w:t>
      </w:r>
      <w:r>
        <w:t xml:space="preserve"> </w:t>
      </w:r>
      <w:r>
        <w:t xml:space="preserve">cardiac monitoring (ECG200, ECG5000, TwoLeadECG, NonInvasiveFetalECGThorax1);</w:t>
      </w:r>
      <w:r>
        <w:t xml:space="preserve"> </w:t>
      </w:r>
      <w:r>
        <w:t xml:space="preserve">wearable and motion sensing (UWaveGestureLibraryX, CricketX, GunPoint, SemgHandGenderCh2);</w:t>
      </w:r>
      <w:r>
        <w:t xml:space="preserve"> </w:t>
      </w:r>
      <w:r>
        <w:t xml:space="preserve">industrial and energy sensing (Wafer, FreezerRegularTrain, PowerCons, RefrigerationDevices).</w:t>
      </w:r>
    </w:p>
    <w:p>
      <w:pPr>
        <w:pStyle w:val="BodyText"/>
      </w:pPr>
      <w:r>
        <w:rPr>
          <w:iCs/>
          <w:i/>
        </w:rPr>
        <w:t xml:space="preserve">Fault model.</w:t>
      </w:r>
      <w:r>
        <w:t xml:space="preserve"> </w:t>
      </w:r>
      <w:r>
        <w:t xml:space="preserve">Each test recording is independently faulty with probability 0.3. A faulty recording</w:t>
      </w:r>
      <w:r>
        <w:t xml:space="preserve"> </w:t>
      </w:r>
      <w:r>
        <w:t xml:space="preserve">receives one fault drawn uniformly from the domain’s plausible faults, at a severity drawn uniformly</w:t>
      </w:r>
      <w:r>
        <w:t xml:space="preserve"> </w:t>
      </w:r>
      <w:r>
        <w:t xml:space="preserve">from {1, 2, 3}, using the corruption functions of the main benchmark:</w:t>
      </w:r>
      <w:r>
        <w:t xml:space="preserve"> </w:t>
      </w:r>
      <w:r>
        <w:t xml:space="preserve">cardiac — broadband noise, baseline wander, electrode spikes, lead-off segment (missing);</w:t>
      </w:r>
      <w:r>
        <w:t xml:space="preserve"> </w:t>
      </w:r>
      <w:r>
        <w:t xml:space="preserve">wearable — noise, spikes, packet loss (missing), speed variation (warp);</w:t>
      </w:r>
      <w:r>
        <w:t xml:space="preserve"> </w:t>
      </w:r>
      <w:r>
        <w:t xml:space="preserve">industrial — noise, drift (wander), spikes, dropout (missing).</w:t>
      </w:r>
      <w:r>
        <w:t xml:space="preserve"> </w:t>
      </w:r>
      <w:r>
        <w:t xml:space="preserve">All draws are seeded by (dataset, resample).</w:t>
      </w:r>
    </w:p>
    <w:p>
      <w:pPr>
        <w:pStyle w:val="BodyText"/>
      </w:pPr>
      <w:r>
        <w:rPr>
          <w:iCs/>
          <w:i/>
        </w:rPr>
        <w:t xml:space="preserve">Methods.</w:t>
      </w:r>
      <w:r>
        <w:t xml:space="preserve"> </w:t>
      </w:r>
      <w:r>
        <w:t xml:space="preserve">LOOM, PreVal, Holdout-TS, Ridge-Platt-CV5 (MiniRocket features, as in the benchmark) and QUANT.</w:t>
      </w:r>
    </w:p>
    <w:p>
      <w:pPr>
        <w:pStyle w:val="BodyText"/>
      </w:pPr>
      <w:r>
        <w:rPr>
          <w:iCs/>
          <w:i/>
        </w:rPr>
        <w:t xml:space="preserve">Operating metrics (review budget b ∈ {10 %, 20 %, 30 %}; the b least confident recordings, by the</w:t>
      </w:r>
      <w:r>
        <w:rPr>
          <w:iCs/>
          <w:i/>
        </w:rPr>
        <w:t xml:space="preserve"> </w:t>
      </w:r>
      <w:r>
        <w:rPr>
          <w:iCs/>
          <w:i/>
        </w:rPr>
        <w:t xml:space="preserve">maximum predicted probability, go to review):</w:t>
      </w:r>
      <w:r>
        <w:t xml:space="preserve"> </w:t>
      </w:r>
      <w:r>
        <w:t xml:space="preserve">(1) error rate of the automatically accepted</w:t>
      </w:r>
      <w:r>
        <w:t xml:space="preserve"> </w:t>
      </w:r>
      <w:r>
        <w:t xml:space="preserve">decisions; (2) share of faulty recordings caught by the review queue; (3) for reference, the same</w:t>
      </w:r>
      <w:r>
        <w:t xml:space="preserve"> </w:t>
      </w:r>
      <w:r>
        <w:t xml:space="preserve">quantities on a fault-free stream. Primary operating point: b = 20 %. Secondary: NLL on the faulty</w:t>
      </w:r>
      <w:r>
        <w:t xml:space="preserve"> </w:t>
      </w:r>
      <w:r>
        <w:t xml:space="preserve">stream.</w:t>
      </w:r>
    </w:p>
    <w:p>
      <w:pPr>
        <w:pStyle w:val="BodyText"/>
      </w:pPr>
      <w:r>
        <w:rPr>
          <w:iCs/>
          <w:i/>
        </w:rPr>
        <w:t xml:space="preserve">Analysis.</w:t>
      </w:r>
      <w:r>
        <w:t xml:space="preserve"> </w:t>
      </w:r>
      <w:r>
        <w:t xml:space="preserve">Dataset is the unit (mean over the five resamples); LOOM vs each method by two-sided</w:t>
      </w:r>
      <w:r>
        <w:t xml:space="preserve"> </w:t>
      </w:r>
      <w:r>
        <w:t xml:space="preserve">Wilcoxon signed-rank tests with Holm correction over the four comparisons per metric; with 12</w:t>
      </w:r>
      <w:r>
        <w:t xml:space="preserve"> </w:t>
      </w:r>
      <w:r>
        <w:t xml:space="preserve">datasets these tests have low power, so per-domain medians are reported descriptively. Per-sample</w:t>
      </w:r>
      <w:r>
        <w:t xml:space="preserve"> </w:t>
      </w:r>
      <w:r>
        <w:t xml:space="preserve">outputs are saved for re-analysis.</w:t>
      </w:r>
    </w:p>
    <w:bookmarkEnd w:id="29"/>
    <w:bookmarkStart w:id="30" w:name="Xa8aa300db0b120f62bf61fb891452fa120bfce7"/>
    <w:p>
      <w:pPr>
        <w:pStyle w:val="Heading2"/>
      </w:pPr>
      <w:r>
        <w:t xml:space="preserve">Table S1. Leakage audit of the official UCR splits</w:t>
      </w:r>
    </w:p>
    <w:p>
      <w:pPr>
        <w:pStyle w:val="FirstParagraph"/>
      </w:pPr>
      <w:r>
        <w:t xml:space="preserve">Exact duplicate series within and across the official splits for the 114 datasets; only datasets with at least one duplicate are listed (22 datasets; 16 with test series that duplicate a training series). The full table is</w:t>
      </w:r>
      <w:r>
        <w:t xml:space="preserve"> </w:t>
      </w:r>
      <w:r>
        <w:rPr>
          <w:rStyle w:val="VerbatimChar"/>
        </w:rPr>
        <w:t xml:space="preserve">code/results/leakage_audit.csv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dup_within_train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dup_within_test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test_in_train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test_in_train_label_conflict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FacesUCR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FreezerRegularTrain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FreezerSmallTrain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InlineSkate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InsectEPGSmallTrain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MixedShapesRegularTrain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MixedShapesSmallTrain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ShapesAll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Strawberry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SwedishLeaf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ToeSegmentation1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WormsTwoClass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0"/>
    <w:bookmarkEnd w:id="31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pPr>
      <w:spacing w:after="80" w:before="180" w:line="360" w:lineRule="auto"/>
      <w:jc w:val="both"/>
    </w:pPr>
    <w:qFormat/>
    <w:rPr>
      <w:rFonts w:ascii="Times New Roman" w:cs="Times New Roman" w:eastAsia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60" w:line="276" w:lineRule="auto"/>
      <w:ind w:hanging="283" w:left="283"/>
    </w:pPr>
    <w:rPr>
      <w:rFonts w:ascii="Times New Roman" w:cs="Times New Roman" w:eastAsia="Times New Roman" w:hAnsi="Times New Roman"/>
      <w:color w:val="000000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i/>
      <w:color w:val="000000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  <w:sz w:val="2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2026-10-29T15:17:10Z</dcterms:created>
  <dcterms:modified xsi:type="dcterms:W3CDTF">2026-10-29T15:17:10Z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