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All methods failed under wavelength drift occurring after standardisation.</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72"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w:t>
      </w:r>
    </w:p>
    <w:p>
      <w:pPr>
        <w:pStyle w:val="BodyText"/>
      </w:pPr>
      <w:r>
        <w:rPr>
          <w:bCs/>
          <w:b/>
        </w:rPr>
        <w:t xml:space="preserve">Normalised Gaussian competitor (E9).</w:t>
      </w:r>
      <w:r>
        <w:t xml:space="preserve"> </w:t>
      </w:r>
      <w:r>
        <w:t xml:space="preserve">One might expect a heteroscedastic Gaussian interval using the same difficulty function to combine the efficiency of Gauss-LOO with the adaptivity of TJ+N: μ(x) ± t₁₋α/₂,ₘ₋₁ · RMS(Rᵢ) · σ(x), with Rᵢ from Eq. (3) (Gauss-LOO-N). We tested this in an additional experiment specified during review (200 repetitions; all primary pipelines and the instrument shift of E8; three α levels; Table S8).</w:t>
      </w:r>
    </w:p>
    <w:p>
      <w:pPr>
        <w:numPr>
          <w:ilvl w:val="0"/>
          <w:numId w:val="1014"/>
        </w:numPr>
      </w:pPr>
      <w:r>
        <w:t xml:space="preserve">Under-covering scenarios over all α levels: TJ+N 0/192, Gauss-LOO 19/192, Gauss-LOO-N 14/192.</w:t>
      </w:r>
    </w:p>
    <w:p>
      <w:pPr>
        <w:numPr>
          <w:ilvl w:val="0"/>
          <w:numId w:val="1014"/>
        </w:numPr>
      </w:pPr>
      <w:r>
        <w:t xml:space="preserve">At α = 0.05: 0/64, 17/64 and 8/64, respectively.</w:t>
      </w:r>
    </w:p>
    <w:p>
      <w:pPr>
        <w:numPr>
          <w:ilvl w:val="0"/>
          <w:numId w:val="1014"/>
        </w:numPr>
      </w:pPr>
      <w:r>
        <w:t xml:space="preserve">At α = 0.10, Gauss-LOO-N had a lower median interval score than TJ+N in 59 of 64 scenarios (median score ratio 0.970).</w:t>
      </w:r>
    </w:p>
    <w:p>
      <w:pPr>
        <w:pStyle w:val="FirstParagraph"/>
      </w:pPr>
      <w:r>
        <w:t xml:space="preserve">The normalised Gaussian interval was therefore slightly more efficient, by about 3% in interval score, but it under-covered in several scenarios, mostly at 95%. TJ+N trades this small loss of efficiency for validity without distributional assumptions. Where a few percent of interval width matter more than a coverage guarantee, Gauss-LOO-N is a defensible pragmatic choice, provided its coverage is checked.</w:t>
      </w:r>
      <w:r>
        <w:t xml:space="preserve"> </w:t>
      </w:r>
      <w:r>
        <w:t xml:space="preserve">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5"/>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5"/>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5"/>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is a reasonable practical alternative, but it carries no finite-sample guarantee.</w:t>
      </w:r>
    </w:p>
    <w:p>
      <w:pPr>
        <w:numPr>
          <w:ilvl w:val="0"/>
          <w:numId w:val="1015"/>
        </w:numPr>
      </w:pPr>
      <w:r>
        <w:rPr>
          <w:bCs/>
          <w:b/>
        </w:rPr>
        <w:t xml:space="preserve">Over all pipelines and α levels (E1 and E8 together):</w:t>
      </w:r>
    </w:p>
    <w:p>
      <w:pPr>
        <w:numPr>
          <w:ilvl w:val="1"/>
          <w:numId w:val="1016"/>
        </w:numPr>
      </w:pPr>
      <w:r>
        <w:t xml:space="preserve">TJ-naive-N under-covered in 3 of 528 scenario cells, against 0 of 528 for TJ+N and 0 of 528 for TCV+N.</w:t>
      </w:r>
    </w:p>
    <w:p>
      <w:pPr>
        <w:numPr>
          <w:ilvl w:val="1"/>
          <w:numId w:val="1016"/>
        </w:numPr>
      </w:pPr>
      <w:r>
        <w:t xml:space="preserve">Residuals without leave-one-out re-fitting (TJ-insample-N) under-covered in 199 of 528.</w:t>
      </w:r>
    </w:p>
    <w:p>
      <w:pPr>
        <w:numPr>
          <w:ilvl w:val="1"/>
          <w:numId w:val="1016"/>
        </w:numPr>
      </w:pPr>
      <w:r>
        <w:t xml:space="preserve">Gauss-LOO under-covered in 77 of 528.</w:t>
      </w:r>
    </w:p>
    <w:p>
      <w:pPr>
        <w:numPr>
          <w:ilvl w:val="0"/>
          <w:numId w:val="1015"/>
        </w:numPr>
      </w:pPr>
      <w:r>
        <w:rPr>
          <w:bCs/>
          <w:b/>
        </w:rPr>
        <w:t xml:space="preserve">Difficulty normalisation.</w:t>
      </w:r>
      <w:r>
        <w:t xml:space="preserve"> </w:t>
      </w:r>
      <w:r>
        <w:t xml:space="preserve">Normalisation improved efficiency in most scenarios.</w:t>
      </w:r>
    </w:p>
    <w:p>
      <w:pPr>
        <w:numPr>
          <w:ilvl w:val="1"/>
          <w:numId w:val="1017"/>
        </w:numPr>
      </w:pPr>
      <w:r>
        <w:t xml:space="preserve">TJ+N had a significantly lower interval score than unnormalised TJ+ in 24 of 40 scenarios, and a higher one in 5.</w:t>
      </w:r>
    </w:p>
    <w:p>
      <w:pPr>
        <w:numPr>
          <w:ilvl w:val="1"/>
          <w:numId w:val="1017"/>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7"/>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7"/>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(Table 6; Fig. 7).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8"/>
        </w:numPr>
      </w:pPr>
      <w:r>
        <w:t xml:space="preserve">Tablets: TJ+N coverage was 0.04–0.07; Gauss-LOO 0.02–0.04.</w:t>
      </w:r>
    </w:p>
    <w:p>
      <w:pPr>
        <w:numPr>
          <w:ilvl w:val="0"/>
          <w:numId w:val="1018"/>
        </w:numPr>
      </w:pPr>
      <w:r>
        <w:t xml:space="preserve">Corn: TJ+N 0.60–0.94, against 0.05–0.45 for unnormalised TJ+ and 0.02–0.29 for Gauss-LOO.</w:t>
      </w:r>
    </w:p>
    <w:p>
      <w:pPr>
        <w:numPr>
          <w:ilvl w:val="0"/>
          <w:numId w:val="1018"/>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Drift after standardisation must therefore be detected (for example by monitoring Q) and corrected by re-standardisation. No interval method compensates for it reliably.</w:t>
      </w:r>
    </w:p>
    <w:p>
      <w:pPr>
        <w:pStyle w:val="TableCaption"/>
        <w:keepNext/>
      </w:pPr>
      <w:r>
        <w:rPr>
          <w:bCs/>
          <w:b/>
        </w:rPr>
        <w:t xml:space="preserve">Table 6.</w:t>
      </w:r>
      <w:r>
        <w:t xml:space="preserve"> </w:t>
      </w:r>
      <w:r>
        <w:t xml:space="preserve">Robustness (E4; α = 0.10; corn m = 15, tablets assay and mango m = 20; 200 repetitions). Mean coverage with under-covering scenarios / scenarios in parentheses.</w:t>
      </w:r>
    </w:p>
    <w:tbl>
      <w:tblPr>
        <w:tblStyle w:val="Table"/>
        <w:tblW w:type="pct" w:w="5000"/>
        <w:jc w:val="center"/>
        <w:tblLook w:firstRow="1" w:lastRow="0" w:firstColumn="0" w:lastColumn="0" w:noHBand="0" w:noVBand="0" w:val="0020"/>
        <w:tblCaption w:val="Table 6. Robustness (E4; α = 0.10; corn m = 15, tablets assay and mango m = 20; 200 repetitions). Mean coverage with under-covering scenarios / scenarios in parentheses."/>
      </w:tblPr>
      <w:tblGrid>
        <w:gridCol w:w="990"/>
        <w:gridCol w:w="990"/>
        <w:gridCol w:w="990"/>
        <w:gridCol w:w="990"/>
        <w:gridCol w:w="990"/>
        <w:gridCol w:w="990"/>
        <w:gridCol w:w="990"/>
        <w:gridCol w:w="990"/>
      </w:tblGrid>
      <w:tr>
        <w:trPr>
          <w:tblHeader w:val="true"/>
        </w:trPr>
        <w:tc>
          <w:tcPr>
            <w:tcBorders>
              <w:top w:val="single" w:sz="8" w:color="000000"/>
              <w:bottom w:val="single" w:sz="8" w:color="000000"/>
            </w:tcBorders>
          </w:tcPr>
          <w:p>
            <w:pPr>
              <w:pStyle w:val="Compact"/>
              <w:spacing w:after="0"/>
              <w:jc w:val="left"/>
            </w:pPr>
            <w:r>
              <w:t xml:space="preserve">Condition</w:t>
            </w:r>
          </w:p>
        </w:tc>
        <w:tc>
          <w:tcPr>
            <w:tcBorders>
              <w:top w:val="single" w:sz="8" w:color="000000"/>
              <w:bottom w:val="single" w:sz="8" w:color="000000"/>
            </w:tcBorders>
          </w:tcPr>
          <w:p>
            <w:pPr>
              <w:pStyle w:val="Compact"/>
              <w:spacing w:after="0"/>
              <w:jc w:val="right"/>
            </w:pPr>
            <w:r>
              <w:t xml:space="preserve">Data</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r>
      <w:tr>
        <w:tc>
          <w:tcPr/>
          <w:p>
            <w:pPr>
              <w:pStyle w:val="Compact"/>
              <w:spacing w:after="0"/>
              <w:jc w:val="left"/>
            </w:pPr>
            <w:r>
              <w:t xml:space="preserve">Kennard–Stone standards</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Kennard–Stone standards</w:t>
            </w:r>
          </w:p>
        </w:tc>
        <w:tc>
          <w:tcPr/>
          <w:p>
            <w:pPr>
              <w:pStyle w:val="Compact"/>
              <w:spacing w:after="0"/>
              <w:jc w:val="right"/>
            </w:pPr>
            <w:r>
              <w:t xml:space="preserve">Tablets</w:t>
            </w:r>
          </w:p>
        </w:tc>
        <w:tc>
          <w:tcPr/>
          <w:p>
            <w:pPr>
              <w:pStyle w:val="Compact"/>
              <w:spacing w:after="0"/>
              <w:jc w:val="right"/>
            </w:pPr>
            <w:r>
              <w:t xml:space="preserve">0.93 (0/1)</w:t>
            </w:r>
          </w:p>
        </w:tc>
        <w:tc>
          <w:tcPr/>
          <w:p>
            <w:pPr>
              <w:pStyle w:val="Compact"/>
              <w:spacing w:after="0"/>
              <w:jc w:val="right"/>
            </w:pPr>
            <w:r>
              <w:t xml:space="preserve">0.96 (0/1)</w:t>
            </w:r>
          </w:p>
        </w:tc>
        <w:tc>
          <w:tcPr/>
          <w:p>
            <w:pPr>
              <w:pStyle w:val="Compact"/>
              <w:spacing w:after="0"/>
              <w:jc w:val="right"/>
            </w:pPr>
            <w:r>
              <w:t xml:space="preserve">0.95 (0/1)</w:t>
            </w:r>
          </w:p>
        </w:tc>
        <w:tc>
          <w:tcPr/>
          <w:p>
            <w:pPr>
              <w:pStyle w:val="Compact"/>
              <w:spacing w:after="0"/>
              <w:jc w:val="right"/>
            </w:pPr>
            <w:r>
              <w:t xml:space="preserve">0.92 (0/1)</w:t>
            </w:r>
          </w:p>
        </w:tc>
        <w:tc>
          <w:tcPr/>
          <w:p>
            <w:pPr>
              <w:pStyle w:val="Compact"/>
              <w:spacing w:after="0"/>
              <w:jc w:val="right"/>
            </w:pPr>
            <w:r>
              <w:t xml:space="preserve">0.94 (0/1)</w:t>
            </w:r>
          </w:p>
        </w:tc>
        <w:tc>
          <w:tcPr/>
          <w:p>
            <w:pPr>
              <w:pStyle w:val="Compact"/>
              <w:spacing w:after="0"/>
              <w:jc w:val="right"/>
            </w:pPr>
            <w:r>
              <w:t xml:space="preserve">0.92 (0/1)</w:t>
            </w:r>
          </w:p>
        </w:tc>
      </w:tr>
      <w:tr>
        <w:tc>
          <w:tcPr/>
          <w:p>
            <w:pPr>
              <w:pStyle w:val="Compact"/>
              <w:spacing w:after="0"/>
              <w:jc w:val="left"/>
            </w:pPr>
            <w:r>
              <w:t xml:space="preserve">Kennard–Stone standards</w:t>
            </w:r>
          </w:p>
        </w:tc>
        <w:tc>
          <w:tcPr/>
          <w:p>
            <w:pPr>
              <w:pStyle w:val="Compact"/>
              <w:spacing w:after="0"/>
              <w:jc w:val="right"/>
            </w:pPr>
            <w:r>
              <w:t xml:space="preserve">Mango</w:t>
            </w:r>
          </w:p>
        </w:tc>
        <w:tc>
          <w:tcPr/>
          <w:p>
            <w:pPr>
              <w:pStyle w:val="Compact"/>
              <w:spacing w:after="0"/>
              <w:jc w:val="right"/>
            </w:pPr>
            <w:r>
              <w:t xml:space="preserve">0.96 (0/1)</w:t>
            </w:r>
          </w:p>
        </w:tc>
        <w:tc>
          <w:tcPr/>
          <w:p>
            <w:pPr>
              <w:pStyle w:val="Compact"/>
              <w:spacing w:after="0"/>
              <w:jc w:val="right"/>
            </w:pPr>
            <w:r>
              <w:t xml:space="preserve">0.97 (0/1)</w:t>
            </w:r>
          </w:p>
        </w:tc>
        <w:tc>
          <w:tcPr/>
          <w:p>
            <w:pPr>
              <w:pStyle w:val="Compact"/>
              <w:spacing w:after="0"/>
              <w:jc w:val="right"/>
            </w:pPr>
            <w:r>
              <w:t xml:space="preserve">0.97 (0/1)</w:t>
            </w:r>
          </w:p>
        </w:tc>
        <w:tc>
          <w:tcPr/>
          <w:p>
            <w:pPr>
              <w:pStyle w:val="Compact"/>
              <w:spacing w:after="0"/>
              <w:jc w:val="right"/>
            </w:pPr>
            <w:r>
              <w:t xml:space="preserve">0.96 (0/1)</w:t>
            </w:r>
          </w:p>
        </w:tc>
        <w:tc>
          <w:tcPr/>
          <w:p>
            <w:pPr>
              <w:pStyle w:val="Compact"/>
              <w:spacing w:after="0"/>
              <w:jc w:val="right"/>
            </w:pPr>
            <w:r>
              <w:t xml:space="preserve">0.75 (1/1)</w:t>
            </w:r>
          </w:p>
        </w:tc>
        <w:tc>
          <w:tcPr/>
          <w:p>
            <w:pPr>
              <w:pStyle w:val="Compact"/>
              <w:spacing w:after="0"/>
              <w:jc w:val="right"/>
            </w:pPr>
            <w:r>
              <w:t xml:space="preserve">0.73 (1/1)</w:t>
            </w:r>
          </w:p>
        </w:tc>
      </w:tr>
      <w:tr>
        <w:tc>
          <w:tcPr/>
          <w:p>
            <w:pPr>
              <w:pStyle w:val="Compact"/>
              <w:spacing w:after="0"/>
              <w:jc w:val="left"/>
            </w:pPr>
            <w:r>
              <w:t xml:space="preserve">Noise SNR 1000</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0.90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0.46 (4/4)</w:t>
            </w:r>
          </w:p>
        </w:tc>
      </w:tr>
      <w:tr>
        <w:tc>
          <w:tcPr/>
          <w:p>
            <w:pPr>
              <w:pStyle w:val="Compact"/>
              <w:spacing w:after="0"/>
              <w:jc w:val="left"/>
            </w:pPr>
            <w:r>
              <w:t xml:space="preserve">Noise SNR 1000</w:t>
            </w:r>
          </w:p>
        </w:tc>
        <w:tc>
          <w:tcPr/>
          <w:p>
            <w:pPr>
              <w:pStyle w:val="Compact"/>
              <w:spacing w:after="0"/>
              <w:jc w:val="right"/>
            </w:pPr>
            <w:r>
              <w:t xml:space="preserve">Tablets</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0.74 (1/1)</w:t>
            </w:r>
          </w:p>
        </w:tc>
        <w:tc>
          <w:tcPr/>
          <w:p>
            <w:pPr>
              <w:pStyle w:val="Compact"/>
              <w:spacing w:after="0"/>
              <w:jc w:val="right"/>
            </w:pPr>
            <w:r>
              <w:t xml:space="preserve">0.73 (1/1)</w:t>
            </w:r>
          </w:p>
        </w:tc>
      </w:tr>
      <w:tr>
        <w:tc>
          <w:tcPr/>
          <w:p>
            <w:pPr>
              <w:pStyle w:val="Compact"/>
              <w:spacing w:after="0"/>
              <w:jc w:val="left"/>
            </w:pPr>
            <w:r>
              <w:t xml:space="preserve">Noise SNR 300</w:t>
            </w:r>
          </w:p>
        </w:tc>
        <w:tc>
          <w:tcPr/>
          <w:p>
            <w:pPr>
              <w:pStyle w:val="Compact"/>
              <w:spacing w:after="0"/>
              <w:jc w:val="right"/>
            </w:pPr>
            <w:r>
              <w:t xml:space="preserve">Corn</w:t>
            </w:r>
          </w:p>
        </w:tc>
        <w:tc>
          <w:tcPr/>
          <w:p>
            <w:pPr>
              <w:pStyle w:val="Compact"/>
              <w:spacing w:after="0"/>
              <w:jc w:val="right"/>
            </w:pPr>
            <w:r>
              <w:t xml:space="preserve">0.94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0.23 (4/4)</w:t>
            </w:r>
          </w:p>
        </w:tc>
        <w:tc>
          <w:tcPr/>
          <w:p>
            <w:pPr>
              <w:pStyle w:val="Compact"/>
              <w:spacing w:after="0"/>
              <w:jc w:val="right"/>
            </w:pPr>
            <w:r>
              <w:t xml:space="preserve">0.45 (4/4)</w:t>
            </w:r>
          </w:p>
        </w:tc>
      </w:tr>
      <w:tr>
        <w:tc>
          <w:tcPr/>
          <w:p>
            <w:pPr>
              <w:pStyle w:val="Compact"/>
              <w:spacing w:after="0"/>
              <w:jc w:val="left"/>
            </w:pPr>
            <w:r>
              <w:t xml:space="preserve">Noise SNR 300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300</w:t>
            </w:r>
          </w:p>
        </w:tc>
        <w:tc>
          <w:tcPr/>
          <w:p>
            <w:pPr>
              <w:pStyle w:val="Compact"/>
              <w:spacing w:after="0"/>
              <w:jc w:val="right"/>
            </w:pPr>
            <w:r>
              <w:t xml:space="preserve">Mango</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0.90 (0/1)</w:t>
            </w:r>
          </w:p>
        </w:tc>
        <w:tc>
          <w:tcPr/>
          <w:p>
            <w:pPr>
              <w:pStyle w:val="Compact"/>
              <w:spacing w:after="0"/>
              <w:jc w:val="right"/>
            </w:pPr>
            <w:r>
              <w:t xml:space="preserve">0.91 (0/1)</w:t>
            </w:r>
          </w:p>
        </w:tc>
        <w:tc>
          <w:tcPr/>
          <w:p>
            <w:pPr>
              <w:pStyle w:val="Compact"/>
              <w:spacing w:after="0"/>
              <w:jc w:val="right"/>
            </w:pPr>
            <w:r>
              <w:t xml:space="preserve">0.69 (1/1)</w:t>
            </w:r>
          </w:p>
        </w:tc>
        <w:tc>
          <w:tcPr/>
          <w:p>
            <w:pPr>
              <w:pStyle w:val="Compact"/>
              <w:spacing w:after="0"/>
              <w:jc w:val="right"/>
            </w:pPr>
            <w:r>
              <w:t xml:space="preserve">0.67 (1/1)</w:t>
            </w:r>
          </w:p>
        </w:tc>
      </w:tr>
      <w:tr>
        <w:tc>
          <w:tcPr/>
          <w:p>
            <w:pPr>
              <w:pStyle w:val="Compact"/>
              <w:spacing w:after="0"/>
              <w:jc w:val="left"/>
            </w:pPr>
            <w:r>
              <w:t xml:space="preserve">Noise SNR 100</w:t>
            </w:r>
          </w:p>
        </w:tc>
        <w:tc>
          <w:tcPr/>
          <w:p>
            <w:pPr>
              <w:pStyle w:val="Compact"/>
              <w:spacing w:after="0"/>
              <w:jc w:val="right"/>
            </w:pPr>
            <w:r>
              <w:t xml:space="preserve">Corn</w:t>
            </w:r>
          </w:p>
        </w:tc>
        <w:tc>
          <w:tcPr/>
          <w:p>
            <w:pPr>
              <w:pStyle w:val="Compact"/>
              <w:spacing w:after="0"/>
              <w:jc w:val="right"/>
            </w:pPr>
            <w:r>
              <w:t xml:space="preserve">0.96 (0/4)</w:t>
            </w:r>
          </w:p>
        </w:tc>
        <w:tc>
          <w:tcPr/>
          <w:p>
            <w:pPr>
              <w:pStyle w:val="Compact"/>
              <w:spacing w:after="0"/>
              <w:jc w:val="right"/>
            </w:pPr>
            <w:r>
              <w:t xml:space="preserve">0.96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0.18 (4/4)</w:t>
            </w:r>
          </w:p>
        </w:tc>
        <w:tc>
          <w:tcPr/>
          <w:p>
            <w:pPr>
              <w:pStyle w:val="Compact"/>
              <w:spacing w:after="0"/>
              <w:jc w:val="right"/>
            </w:pPr>
            <w:r>
              <w:t xml:space="preserve">0.33 (4/4)</w:t>
            </w:r>
          </w:p>
        </w:tc>
      </w:tr>
      <w:tr>
        <w:tc>
          <w:tcPr/>
          <w:p>
            <w:pPr>
              <w:pStyle w:val="Compact"/>
              <w:spacing w:after="0"/>
              <w:jc w:val="left"/>
            </w:pPr>
            <w:r>
              <w:t xml:space="preserve">Noise SNR 100</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0.93 (0/1)</w:t>
            </w:r>
          </w:p>
        </w:tc>
        <w:tc>
          <w:tcPr/>
          <w:p>
            <w:pPr>
              <w:pStyle w:val="Compact"/>
              <w:spacing w:after="0"/>
              <w:jc w:val="right"/>
            </w:pPr>
            <w:r>
              <w:t xml:space="preserve">0.91 (0/1)</w:t>
            </w:r>
          </w:p>
        </w:tc>
      </w:tr>
      <w:tr>
        <w:tc>
          <w:tcPr/>
          <w:p>
            <w:pPr>
              <w:pStyle w:val="Compact"/>
              <w:spacing w:after="0"/>
              <w:jc w:val="left"/>
            </w:pPr>
            <w:r>
              <w:t xml:space="preserve">Noise SNR 100</w:t>
            </w:r>
          </w:p>
        </w:tc>
        <w:tc>
          <w:tcPr/>
          <w:p>
            <w:pPr>
              <w:pStyle w:val="Compact"/>
              <w:spacing w:after="0"/>
              <w:jc w:val="right"/>
            </w:pPr>
            <w:r>
              <w:t xml:space="preserve">Mango</w:t>
            </w:r>
          </w:p>
        </w:tc>
        <w:tc>
          <w:tcPr/>
          <w:p>
            <w:pPr>
              <w:pStyle w:val="Compact"/>
              <w:spacing w:after="0"/>
              <w:jc w:val="right"/>
            </w:pPr>
            <w:r>
              <w:t xml:space="preserve">0.90 (0/1)</w:t>
            </w:r>
          </w:p>
        </w:tc>
        <w:tc>
          <w:tcPr/>
          <w:p>
            <w:pPr>
              <w:pStyle w:val="Compact"/>
              <w:spacing w:after="0"/>
              <w:jc w:val="right"/>
            </w:pPr>
            <w:r>
              <w:t xml:space="preserve">0.90 (0/1)</w:t>
            </w:r>
          </w:p>
        </w:tc>
        <w:tc>
          <w:tcPr/>
          <w:p>
            <w:pPr>
              <w:pStyle w:val="Compact"/>
              <w:spacing w:after="0"/>
              <w:jc w:val="right"/>
            </w:pPr>
            <w:r>
              <w:t xml:space="preserve">0.89 (0/1)</w:t>
            </w:r>
          </w:p>
        </w:tc>
        <w:tc>
          <w:tcPr/>
          <w:p>
            <w:pPr>
              <w:pStyle w:val="Compact"/>
              <w:spacing w:after="0"/>
              <w:jc w:val="right"/>
            </w:pPr>
            <w:r>
              <w:t xml:space="preserve">0.91 (0/1)</w:t>
            </w:r>
          </w:p>
        </w:tc>
        <w:tc>
          <w:tcPr/>
          <w:p>
            <w:pPr>
              <w:pStyle w:val="Compact"/>
              <w:spacing w:after="0"/>
              <w:jc w:val="right"/>
            </w:pPr>
            <w:r>
              <w:t xml:space="preserve">0.51 (1/1)</w:t>
            </w:r>
          </w:p>
        </w:tc>
        <w:tc>
          <w:tcPr/>
          <w:p>
            <w:pPr>
              <w:pStyle w:val="Compact"/>
              <w:spacing w:after="0"/>
              <w:jc w:val="right"/>
            </w:pPr>
            <w:r>
              <w:t xml:space="preserve">0.49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0.82 (2/4)</w:t>
            </w:r>
          </w:p>
        </w:tc>
        <w:tc>
          <w:tcPr/>
          <w:p>
            <w:pPr>
              <w:pStyle w:val="Compact"/>
              <w:spacing w:after="0"/>
              <w:jc w:val="right"/>
            </w:pPr>
            <w:r>
              <w:t xml:space="preserve">0.26 (4/4)</w:t>
            </w:r>
          </w:p>
        </w:tc>
        <w:tc>
          <w:tcPr/>
          <w:p>
            <w:pPr>
              <w:pStyle w:val="Compact"/>
              <w:spacing w:after="0"/>
              <w:jc w:val="right"/>
            </w:pPr>
            <w:r>
              <w:t xml:space="preserve">0.15 (4/4)</w:t>
            </w:r>
          </w:p>
        </w:tc>
        <w:tc>
          <w:tcPr/>
          <w:p>
            <w:pPr>
              <w:pStyle w:val="Compact"/>
              <w:spacing w:after="0"/>
              <w:jc w:val="right"/>
            </w:pPr>
            <w:r>
              <w:t xml:space="preserve">1.00 (0/4)</w:t>
            </w:r>
          </w:p>
        </w:tc>
        <w:tc>
          <w:tcPr/>
          <w:p>
            <w:pPr>
              <w:pStyle w:val="Compact"/>
              <w:spacing w:after="0"/>
              <w:jc w:val="right"/>
            </w:pPr>
            <w:r>
              <w:t xml:space="preserve">0.08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0.04 (1/1)</w:t>
            </w:r>
          </w:p>
        </w:tc>
        <w:tc>
          <w:tcPr/>
          <w:p>
            <w:pPr>
              <w:pStyle w:val="Compact"/>
              <w:spacing w:after="0"/>
              <w:jc w:val="right"/>
            </w:pPr>
            <w:r>
              <w:t xml:space="preserve">0.01 (1/1)</w:t>
            </w:r>
          </w:p>
        </w:tc>
        <w:tc>
          <w:tcPr/>
          <w:p>
            <w:pPr>
              <w:pStyle w:val="Compact"/>
              <w:spacing w:after="0"/>
              <w:jc w:val="right"/>
            </w:pPr>
            <w:r>
              <w:t xml:space="preserve">0.02 (1/1)</w:t>
            </w:r>
          </w:p>
        </w:tc>
        <w:tc>
          <w:tcPr/>
          <w:p>
            <w:pPr>
              <w:pStyle w:val="Compact"/>
              <w:spacing w:after="0"/>
              <w:jc w:val="right"/>
            </w:pPr>
            <w:r>
              <w:t xml:space="preserve">0.22 (1/1)</w:t>
            </w:r>
          </w:p>
        </w:tc>
        <w:tc>
          <w:tcPr/>
          <w:p>
            <w:pPr>
              <w:pStyle w:val="Compact"/>
              <w:spacing w:after="0"/>
              <w:jc w:val="right"/>
            </w:pPr>
            <w:r>
              <w:t xml:space="preserve">0.01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0.97 (0/1)</w:t>
            </w:r>
          </w:p>
        </w:tc>
        <w:tc>
          <w:tcPr/>
          <w:p>
            <w:pPr>
              <w:pStyle w:val="Compact"/>
              <w:spacing w:after="0"/>
              <w:jc w:val="right"/>
            </w:pPr>
            <w:r>
              <w:t xml:space="preserve">0.22 (1/1)</w:t>
            </w:r>
          </w:p>
        </w:tc>
        <w:tc>
          <w:tcPr/>
          <w:p>
            <w:pPr>
              <w:pStyle w:val="Compact"/>
              <w:spacing w:after="0"/>
              <w:jc w:val="right"/>
            </w:pPr>
            <w:r>
              <w:t xml:space="preserve">0.21 (1/1)</w:t>
            </w:r>
          </w:p>
        </w:tc>
        <w:tc>
          <w:tcPr/>
          <w:p>
            <w:pPr>
              <w:pStyle w:val="Compact"/>
              <w:spacing w:after="0"/>
              <w:jc w:val="right"/>
            </w:pPr>
            <w:r>
              <w:t xml:space="preserve">0.97 (0/1)</w:t>
            </w:r>
          </w:p>
        </w:tc>
        <w:tc>
          <w:tcPr/>
          <w:p>
            <w:pPr>
              <w:pStyle w:val="Compact"/>
              <w:spacing w:after="0"/>
              <w:jc w:val="right"/>
            </w:pPr>
            <w:r>
              <w:t xml:space="preserve">0.11 (1/1)</w:t>
            </w:r>
          </w:p>
        </w:tc>
        <w:tc>
          <w:tcPr/>
          <w:p>
            <w:pPr>
              <w:pStyle w:val="Compact"/>
              <w:spacing w:after="0"/>
              <w:jc w:val="right"/>
            </w:pPr>
            <w:r>
              <w:t xml:space="preserve">0.07 (1/1)</w:t>
            </w:r>
          </w:p>
        </w:tc>
      </w:tr>
      <w:tr>
        <w:tc>
          <w:tcPr/>
          <w:p>
            <w:pPr>
              <w:pStyle w:val="Compact"/>
              <w:spacing w:after="0"/>
              <w:jc w:val="left"/>
            </w:pPr>
            <w:r>
              <w:t xml:space="preserve">λ-shift −1 channel (test)</w:t>
            </w:r>
          </w:p>
        </w:tc>
        <w:tc>
          <w:tcPr/>
          <w:p>
            <w:pPr>
              <w:pStyle w:val="Compact"/>
              <w:spacing w:after="0"/>
              <w:jc w:val="right"/>
            </w:pPr>
            <w:r>
              <w:t xml:space="preserve">Corn</w:t>
            </w:r>
          </w:p>
        </w:tc>
        <w:tc>
          <w:tcPr/>
          <w:p>
            <w:pPr>
              <w:pStyle w:val="Compact"/>
              <w:spacing w:after="0"/>
              <w:jc w:val="right"/>
            </w:pPr>
            <w:r>
              <w:t xml:space="preserve">0.84 (2/4)</w:t>
            </w:r>
          </w:p>
        </w:tc>
        <w:tc>
          <w:tcPr/>
          <w:p>
            <w:pPr>
              <w:pStyle w:val="Compact"/>
              <w:spacing w:after="0"/>
              <w:jc w:val="right"/>
            </w:pPr>
            <w:r>
              <w:t xml:space="preserve">0.29 (4/4)</w:t>
            </w:r>
          </w:p>
        </w:tc>
        <w:tc>
          <w:tcPr/>
          <w:p>
            <w:pPr>
              <w:pStyle w:val="Compact"/>
              <w:spacing w:after="0"/>
              <w:jc w:val="right"/>
            </w:pPr>
            <w:r>
              <w:t xml:space="preserve">0.17 (4/4)</w:t>
            </w:r>
          </w:p>
        </w:tc>
        <w:tc>
          <w:tcPr/>
          <w:p>
            <w:pPr>
              <w:pStyle w:val="Compact"/>
              <w:spacing w:after="0"/>
              <w:jc w:val="right"/>
            </w:pPr>
            <w:r>
              <w:t xml:space="preserve">1.00 (0/4)</w:t>
            </w:r>
          </w:p>
        </w:tc>
        <w:tc>
          <w:tcPr/>
          <w:p>
            <w:pPr>
              <w:pStyle w:val="Compact"/>
              <w:spacing w:after="0"/>
              <w:jc w:val="right"/>
            </w:pPr>
            <w:r>
              <w:t xml:space="preserve">0.09 (4/4)</w:t>
            </w:r>
          </w:p>
        </w:tc>
        <w:tc>
          <w:tcPr/>
          <w:p>
            <w:pPr>
              <w:pStyle w:val="Compact"/>
              <w:spacing w:after="0"/>
              <w:jc w:val="right"/>
            </w:pPr>
            <w:r>
              <w:t xml:space="preserve">0.07 (4/4)</w:t>
            </w:r>
          </w:p>
        </w:tc>
      </w:tr>
      <w:tr>
        <w:tc>
          <w:tcPr/>
          <w:p>
            <w:pPr>
              <w:pStyle w:val="Compact"/>
              <w:spacing w:after="0"/>
              <w:jc w:val="left"/>
            </w:pPr>
            <w:r>
              <w:t xml:space="preserve">λ-shift −1 channel (test)</w:t>
            </w:r>
          </w:p>
        </w:tc>
        <w:tc>
          <w:tcPr/>
          <w:p>
            <w:pPr>
              <w:pStyle w:val="Compact"/>
              <w:spacing w:after="0"/>
              <w:jc w:val="right"/>
            </w:pPr>
            <w:r>
              <w:t xml:space="preserve">Tablets</w:t>
            </w:r>
          </w:p>
        </w:tc>
        <w:tc>
          <w:tcPr/>
          <w:p>
            <w:pPr>
              <w:pStyle w:val="Compact"/>
              <w:spacing w:after="0"/>
              <w:jc w:val="right"/>
            </w:pPr>
            <w:r>
              <w:t xml:space="preserve">0.07 (1/1)</w:t>
            </w:r>
          </w:p>
        </w:tc>
        <w:tc>
          <w:tcPr/>
          <w:p>
            <w:pPr>
              <w:pStyle w:val="Compact"/>
              <w:spacing w:after="0"/>
              <w:jc w:val="right"/>
            </w:pPr>
            <w:r>
              <w:t xml:space="preserve">0.03 (1/1)</w:t>
            </w:r>
          </w:p>
        </w:tc>
        <w:tc>
          <w:tcPr/>
          <w:p>
            <w:pPr>
              <w:pStyle w:val="Compact"/>
              <w:spacing w:after="0"/>
              <w:jc w:val="right"/>
            </w:pPr>
            <w:r>
              <w:t xml:space="preserve">0.04 (1/1)</w:t>
            </w:r>
          </w:p>
        </w:tc>
        <w:tc>
          <w:tcPr/>
          <w:p>
            <w:pPr>
              <w:pStyle w:val="Compact"/>
              <w:spacing w:after="0"/>
              <w:jc w:val="right"/>
            </w:pPr>
            <w:r>
              <w:t xml:space="preserve">0.25 (1/1)</w:t>
            </w:r>
          </w:p>
        </w:tc>
        <w:tc>
          <w:tcPr/>
          <w:p>
            <w:pPr>
              <w:pStyle w:val="Compact"/>
              <w:spacing w:after="0"/>
              <w:jc w:val="right"/>
            </w:pPr>
            <w:r>
              <w:t xml:space="preserve">0.02 (1/1)</w:t>
            </w:r>
          </w:p>
        </w:tc>
        <w:tc>
          <w:tcPr/>
          <w:p>
            <w:pPr>
              <w:pStyle w:val="Compact"/>
              <w:spacing w:after="0"/>
              <w:jc w:val="right"/>
            </w:pPr>
            <w:r>
              <w:t xml:space="preserve">0.01 (1/1)</w:t>
            </w:r>
          </w:p>
        </w:tc>
      </w:tr>
      <w:tr>
        <w:tc>
          <w:tcPr/>
          <w:p>
            <w:pPr>
              <w:pStyle w:val="Compact"/>
              <w:spacing w:after="0"/>
              <w:jc w:val="left"/>
            </w:pPr>
            <w:r>
              <w:t xml:space="preserve">λ-shift −1 channel (test)</w:t>
            </w:r>
          </w:p>
        </w:tc>
        <w:tc>
          <w:tcPr/>
          <w:p>
            <w:pPr>
              <w:pStyle w:val="Compact"/>
              <w:spacing w:after="0"/>
              <w:jc w:val="right"/>
            </w:pPr>
            <w:r>
              <w:t xml:space="preserve">Mango</w:t>
            </w:r>
          </w:p>
        </w:tc>
        <w:tc>
          <w:tcPr/>
          <w:p>
            <w:pPr>
              <w:pStyle w:val="Compact"/>
              <w:spacing w:after="0"/>
              <w:jc w:val="right"/>
            </w:pPr>
            <w:r>
              <w:t xml:space="preserve">0.73 (1/1)</w:t>
            </w:r>
          </w:p>
        </w:tc>
        <w:tc>
          <w:tcPr/>
          <w:p>
            <w:pPr>
              <w:pStyle w:val="Compact"/>
              <w:spacing w:after="0"/>
              <w:jc w:val="right"/>
            </w:pPr>
            <w:r>
              <w:t xml:space="preserve">0.08 (1/1)</w:t>
            </w:r>
          </w:p>
        </w:tc>
        <w:tc>
          <w:tcPr/>
          <w:p>
            <w:pPr>
              <w:pStyle w:val="Compact"/>
              <w:spacing w:after="0"/>
              <w:jc w:val="right"/>
            </w:pPr>
            <w:r>
              <w:t xml:space="preserve">0.07 (1/1)</w:t>
            </w:r>
          </w:p>
        </w:tc>
        <w:tc>
          <w:tcPr/>
          <w:p>
            <w:pPr>
              <w:pStyle w:val="Compact"/>
              <w:spacing w:after="0"/>
              <w:jc w:val="right"/>
            </w:pPr>
            <w:r>
              <w:t xml:space="preserve">0.79 (1/1)</w:t>
            </w:r>
          </w:p>
        </w:tc>
        <w:tc>
          <w:tcPr/>
          <w:p>
            <w:pPr>
              <w:pStyle w:val="Compact"/>
              <w:spacing w:after="0"/>
              <w:jc w:val="right"/>
            </w:pPr>
            <w:r>
              <w:t xml:space="preserve">0.02 (1/1)</w:t>
            </w:r>
          </w:p>
        </w:tc>
        <w:tc>
          <w:tcPr/>
          <w:p>
            <w:pPr>
              <w:pStyle w:val="Compact"/>
              <w:spacing w:after="0"/>
              <w:jc w:val="right"/>
            </w:pPr>
            <w:r>
              <w:t xml:space="preserve">0.02 (1/1)</w:t>
            </w:r>
          </w:p>
        </w:tc>
      </w:tr>
      <w:tr>
        <w:tc>
          <w:tcPr/>
          <w:p>
            <w:pPr>
              <w:pStyle w:val="Compact"/>
              <w:spacing w:after="0"/>
              <w:jc w:val="left"/>
            </w:pPr>
            <w:r>
              <w:t xml:space="preserve">Half source data</w:t>
            </w:r>
          </w:p>
        </w:tc>
        <w:tc>
          <w:tcPr/>
          <w:p>
            <w:pPr>
              <w:pStyle w:val="Compact"/>
              <w:spacing w:after="0"/>
              <w:jc w:val="right"/>
            </w:pPr>
            <w:r>
              <w:t xml:space="preserve">Corn</w:t>
            </w:r>
          </w:p>
        </w:tc>
        <w:tc>
          <w:tcPr/>
          <w:p>
            <w:pPr>
              <w:pStyle w:val="Compact"/>
              <w:spacing w:after="0"/>
              <w:jc w:val="right"/>
            </w:pPr>
            <w:r>
              <w:t xml:space="preserve">0.95 (0/4)</w:t>
            </w:r>
          </w:p>
        </w:tc>
        <w:tc>
          <w:tcPr/>
          <w:p>
            <w:pPr>
              <w:pStyle w:val="Compact"/>
              <w:spacing w:after="0"/>
              <w:jc w:val="right"/>
            </w:pPr>
            <w:r>
              <w:t xml:space="preserve">0.95 (0/4)</w:t>
            </w:r>
          </w:p>
        </w:tc>
        <w:tc>
          <w:tcPr/>
          <w:p>
            <w:pPr>
              <w:pStyle w:val="Compact"/>
              <w:spacing w:after="0"/>
              <w:jc w:val="right"/>
            </w:pPr>
            <w:r>
              <w:t xml:space="preserve">0.91 (0/4)</w:t>
            </w:r>
          </w:p>
        </w:tc>
        <w:tc>
          <w:tcPr/>
          <w:p>
            <w:pPr>
              <w:pStyle w:val="Compact"/>
              <w:spacing w:after="0"/>
              <w:jc w:val="right"/>
            </w:pPr>
            <w:r>
              <w:t xml:space="preserve">1.00 (0/4)</w:t>
            </w:r>
          </w:p>
        </w:tc>
        <w:tc>
          <w:tcPr/>
          <w:p>
            <w:pPr>
              <w:pStyle w:val="Compact"/>
              <w:spacing w:after="0"/>
              <w:jc w:val="right"/>
            </w:pPr>
            <w:r>
              <w:t xml:space="preserve">0.33 (4/4)</w:t>
            </w:r>
          </w:p>
        </w:tc>
        <w:tc>
          <w:tcPr/>
          <w:p>
            <w:pPr>
              <w:pStyle w:val="Compact"/>
              <w:spacing w:after="0"/>
              <w:jc w:val="right"/>
            </w:pPr>
            <w:r>
              <w:t xml:space="preserve">0.61 (4/4)</w:t>
            </w:r>
          </w:p>
        </w:tc>
      </w:tr>
      <w:tr>
        <w:tc>
          <w:tcPr/>
          <w:p>
            <w:pPr>
              <w:pStyle w:val="Compact"/>
              <w:spacing w:after="0"/>
              <w:jc w:val="left"/>
            </w:pPr>
            <w:r>
              <w:t xml:space="preserve">Half source data</w:t>
            </w:r>
          </w:p>
        </w:tc>
        <w:tc>
          <w:tcPr/>
          <w:p>
            <w:pPr>
              <w:pStyle w:val="Compact"/>
              <w:spacing w:after="0"/>
              <w:jc w:val="right"/>
            </w:pPr>
            <w:r>
              <w:t xml:space="preserve">Tablets</w:t>
            </w:r>
          </w:p>
        </w:tc>
        <w:tc>
          <w:tcPr/>
          <w:p>
            <w:pPr>
              <w:pStyle w:val="Compact"/>
              <w:spacing w:after="0"/>
              <w:jc w:val="right"/>
            </w:pPr>
            <w:r>
              <w:t xml:space="preserve">0.91 (0/1)</w:t>
            </w:r>
          </w:p>
        </w:tc>
        <w:tc>
          <w:tcPr/>
          <w:p>
            <w:pPr>
              <w:pStyle w:val="Compact"/>
              <w:spacing w:after="0"/>
              <w:jc w:val="right"/>
            </w:pPr>
            <w:r>
              <w:t xml:space="preserve">0.91 (0/1)</w:t>
            </w:r>
          </w:p>
        </w:tc>
        <w:tc>
          <w:tcPr/>
          <w:p>
            <w:pPr>
              <w:pStyle w:val="Compact"/>
              <w:spacing w:after="0"/>
              <w:jc w:val="right"/>
            </w:pPr>
            <w:r>
              <w:t xml:space="preserve">0.92 (0/1)</w:t>
            </w:r>
          </w:p>
        </w:tc>
        <w:tc>
          <w:tcPr/>
          <w:p>
            <w:pPr>
              <w:pStyle w:val="Compact"/>
              <w:spacing w:after="0"/>
              <w:jc w:val="right"/>
            </w:pPr>
            <w:r>
              <w:t xml:space="preserve">0.91 (0/1)</w:t>
            </w:r>
          </w:p>
        </w:tc>
        <w:tc>
          <w:tcPr/>
          <w:p>
            <w:pPr>
              <w:pStyle w:val="Compact"/>
              <w:spacing w:after="0"/>
              <w:jc w:val="right"/>
            </w:pPr>
            <w:r>
              <w:t xml:space="preserve">0.97 (0/1)</w:t>
            </w:r>
          </w:p>
        </w:tc>
        <w:tc>
          <w:tcPr/>
          <w:p>
            <w:pPr>
              <w:pStyle w:val="Compact"/>
              <w:spacing w:after="0"/>
              <w:jc w:val="right"/>
            </w:pPr>
            <w:r>
              <w:t xml:space="preserve">0.96 (0/1)</w:t>
            </w:r>
          </w:p>
        </w:tc>
      </w:tr>
      <w:tr>
        <w:tc>
          <w:tcPr>
            <w:tcBorders>
              <w:bottom w:val="single" w:sz="8" w:color="000000"/>
            </w:tcBorders>
          </w:tcPr>
          <w:p>
            <w:pPr>
              <w:pStyle w:val="Compact"/>
              <w:spacing w:after="0"/>
              <w:jc w:val="left"/>
            </w:pPr>
            <w:r>
              <w:t xml:space="preserve">Half source data</w:t>
            </w:r>
          </w:p>
        </w:tc>
        <w:tc>
          <w:tcPr>
            <w:tcBorders>
              <w:bottom w:val="single" w:sz="8" w:color="000000"/>
            </w:tcBorders>
          </w:tcPr>
          <w:p>
            <w:pPr>
              <w:pStyle w:val="Compact"/>
              <w:spacing w:after="0"/>
              <w:jc w:val="right"/>
            </w:pPr>
            <w:r>
              <w:t xml:space="preserve">Mango</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0.90 (0/1)</w:t>
            </w:r>
          </w:p>
        </w:tc>
        <w:tc>
          <w:tcPr>
            <w:tcBorders>
              <w:bottom w:val="single" w:sz="8" w:color="000000"/>
            </w:tcBorders>
          </w:tcPr>
          <w:p>
            <w:pPr>
              <w:pStyle w:val="Compact"/>
              <w:spacing w:after="0"/>
              <w:jc w:val="right"/>
            </w:pPr>
            <w:r>
              <w:t xml:space="preserve">0.75 (1/1)</w:t>
            </w:r>
          </w:p>
        </w:tc>
        <w:tc>
          <w:tcPr>
            <w:tcBorders>
              <w:bottom w:val="single" w:sz="8" w:color="000000"/>
            </w:tcBorders>
          </w:tcPr>
          <w:p>
            <w:pPr>
              <w:pStyle w:val="Compact"/>
              <w:spacing w:after="0"/>
              <w:jc w:val="right"/>
            </w:pPr>
            <w:r>
              <w:t xml:space="preserve">0.75 (1/1)</w:t>
            </w:r>
          </w:p>
        </w:tc>
      </w:tr>
    </w:tbl>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7).</w:t>
      </w:r>
    </w:p>
    <w:p>
      <w:pPr>
        <w:numPr>
          <w:ilvl w:val="0"/>
          <w:numId w:val="1019"/>
        </w:numPr>
      </w:pPr>
      <w:r>
        <w:rPr>
          <w:bCs/>
          <w:b/>
        </w:rPr>
        <w:t xml:space="preserve">Transfer pipelines.</w:t>
      </w:r>
      <w:r>
        <w:t xml:space="preserve"> </w:t>
      </w:r>
      <w:r>
        <w:t xml:space="preserve">With DS, SBC or no transfer instead of PDS, TJ+N and TJ+ were never flagged as under-covering (§4.3).</w:t>
      </w:r>
    </w:p>
    <w:p>
      <w:pPr>
        <w:numPr>
          <w:ilvl w:val="0"/>
          <w:numId w:val="1019"/>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19"/>
        </w:numPr>
      </w:pPr>
      <w:r>
        <w:rPr>
          <w:bCs/>
          <w:b/>
        </w:rPr>
        <w:t xml:space="preserve">Ridge regression.</w:t>
      </w:r>
      <w:r>
        <w:t xml:space="preserve"> </w:t>
      </w:r>
      <w:r>
        <w:t xml:space="preserve">With ridge source models, TJ+N was valid on all three data sets.</w:t>
      </w:r>
    </w:p>
    <w:p>
      <w:pPr>
        <w:numPr>
          <w:ilvl w:val="0"/>
          <w:numId w:val="1019"/>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20"/>
        </w:numPr>
      </w:pPr>
      <w:r>
        <w:t xml:space="preserve">TJ+N gave coverage 0.910 with the lowest interval score (5.24).</w:t>
      </w:r>
    </w:p>
    <w:p>
      <w:pPr>
        <w:numPr>
          <w:ilvl w:val="1"/>
          <w:numId w:val="1020"/>
        </w:numPr>
      </w:pPr>
      <w:r>
        <w:t xml:space="preserve">Gauss-LOO under-covered in 2/4 scenarios (coverage 0.894; score 5.42).</w:t>
      </w:r>
    </w:p>
    <w:p>
      <w:pPr>
        <w:numPr>
          <w:ilvl w:val="1"/>
          <w:numId w:val="1020"/>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21"/>
        </w:numPr>
      </w:pPr>
      <w:r>
        <w:t xml:space="preserve">source instrument 15006;</w:t>
      </w:r>
    </w:p>
    <w:p>
      <w:pPr>
        <w:numPr>
          <w:ilvl w:val="0"/>
          <w:numId w:val="1021"/>
        </w:numPr>
      </w:pPr>
      <w:r>
        <w:t xml:space="preserve">the three target instruments with most shared fruit;</w:t>
      </w:r>
    </w:p>
    <w:p>
      <w:pPr>
        <w:numPr>
          <w:ilvl w:val="0"/>
          <w:numId w:val="1021"/>
        </w:numPr>
      </w:pPr>
      <w:r>
        <w:t xml:space="preserve">PDS and SBC pipelines;</w:t>
      </w:r>
    </w:p>
    <w:p>
      <w:pPr>
        <w:numPr>
          <w:ilvl w:val="0"/>
          <w:numId w:val="1021"/>
        </w:numPr>
      </w:pPr>
      <w:r>
        <w:rPr>
          <w:iCs/>
          <w:i/>
        </w:rPr>
        <w:t xml:space="preserve">m</w:t>
      </w:r>
      <w:r>
        <w:t xml:space="preserve"> </w:t>
      </w:r>
      <w:r>
        <w:t xml:space="preserve">= 10–50 standards, 200 repetitions.</w:t>
      </w:r>
    </w:p>
    <w:p>
      <w:pPr>
        <w:pStyle w:val="FirstParagraph"/>
      </w:pPr>
      <w:r>
        <w:t xml:space="preserve">The results reproduced the main findings (Table 8).</w:t>
      </w:r>
    </w:p>
    <w:p>
      <w:pPr>
        <w:numPr>
          <w:ilvl w:val="0"/>
          <w:numId w:val="1022"/>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2"/>
        </w:numPr>
      </w:pPr>
      <w:r>
        <w:t xml:space="preserve">TJ+N was valid: mean coverage 0.931 (PDS) and 0.906 (SBC). It was never flagged at any α (0/72 under-covering scenarios), whereas Gauss-LOO was flagged in 4/72.</w:t>
      </w:r>
    </w:p>
    <w:p>
      <w:pPr>
        <w:numPr>
          <w:ilvl w:val="0"/>
          <w:numId w:val="1022"/>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p/>
    <w:p>
      <w:pPr>
        <w:pStyle w:val="TableCaption"/>
        <w:keepNext/>
      </w:pPr>
      <w:r>
        <w:rPr>
          <w:bCs/>
          <w:b/>
        </w:rPr>
        <w:t xml:space="preserve">Table 8.</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8.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(11/12);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9"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10).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3"/>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3"/>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3"/>
        </w:numPr>
      </w:pPr>
      <w:r>
        <w:t xml:space="preserve">Energy use is negligible at these scales.</w:t>
      </w:r>
    </w:p>
    <w:p>
      <w:pPr>
        <w:numPr>
          <w:ilvl w:val="0"/>
          <w:numId w:val="1023"/>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p>
      <w:pPr>
        <w:pStyle w:val="CaptionedFigure"/>
        <w:keepNext/>
        <w:jc w:val="center"/>
      </w:pPr>
      <w:r>
        <w:drawing>
          <wp:inline>
            <wp:extent cx="5753100" cy="3318645"/>
            <wp:effectExtent b="0" l="0" r="0" t="0"/>
            <wp:docPr descr="Fig. 10. Wall-clock time per test batch (single CPU core, median of 20 runs, logarithmic scale)." title="" id="67" name="Picture"/>
            <a:graphic>
              <a:graphicData uri="http://schemas.openxmlformats.org/drawingml/2006/picture">
                <pic:pic>
                  <pic:nvPicPr>
                    <pic:cNvPr descr="figures/fig9_timing.png" id="68" name="Picture"/>
                    <pic:cNvPicPr>
                      <a:picLocks noChangeArrowheads="1" noChangeAspect="1"/>
                    </pic:cNvPicPr>
                  </pic:nvPicPr>
                  <pic:blipFill>
                    <a:blip r:embed="rId66"/>
                    <a:stretch>
                      <a:fillRect/>
                    </a:stretch>
                  </pic:blipFill>
                  <pic:spPr bwMode="auto">
                    <a:xfrm>
                      <a:off x="0" y="0"/>
                      <a:ext cx="5753100" cy="3318645"/>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Wall-clock time per test batch (single CPU core, median of 20 runs, logarithmic scale).</w:t>
      </w:r>
    </w:p>
    <w:bookmarkEnd w:id="69"/>
    <w:bookmarkStart w:id="70"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70"/>
    <w:bookmarkStart w:id="71" w:name="practical-recommendations"/>
    <w:p>
      <w:pPr>
        <w:pStyle w:val="Heading2"/>
      </w:pPr>
      <w:r>
        <w:t xml:space="preserve">4.12. Practical recommendations</w:t>
      </w:r>
    </w:p>
    <w:p>
      <w:pPr>
        <w:numPr>
          <w:ilvl w:val="0"/>
          <w:numId w:val="1024"/>
        </w:numPr>
      </w:pPr>
      <w:r>
        <w:t xml:space="preserve">Do not reuse source-domain interval formulas after transfer without checking them on target data.</w:t>
      </w:r>
    </w:p>
    <w:p>
      <w:pPr>
        <w:numPr>
          <w:ilvl w:val="0"/>
          <w:numId w:val="1024"/>
        </w:numPr>
      </w:pPr>
      <w:r>
        <w:t xml:space="preserve">Draw at least part of the transfer standards at random from the routine target population, and obtain their reference values.</w:t>
      </w:r>
    </w:p>
    <w:p>
      <w:pPr>
        <w:numPr>
          <w:ilvl w:val="0"/>
          <w:numId w:val="1024"/>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4"/>
        </w:numPr>
      </w:pPr>
      <w:r>
        <w:t xml:space="preserve">Report the leave-one-standard-out RMSE as well. Gaussian intervals built from it are a reasonable approximation at 90% but can under-cover at 95%.</w:t>
      </w:r>
    </w:p>
    <w:p>
      <w:pPr>
        <w:numPr>
          <w:ilvl w:val="0"/>
          <w:numId w:val="1024"/>
        </w:numPr>
      </w:pPr>
      <w:r>
        <w:t xml:space="preserve">Flag predictions with large Q residuals after transfer.</w:t>
      </w:r>
    </w:p>
    <w:bookmarkEnd w:id="71"/>
    <w:bookmarkEnd w:id="72"/>
    <w:bookmarkStart w:id="73" w:name="limitations"/>
    <w:p>
      <w:pPr>
        <w:pStyle w:val="Heading1"/>
      </w:pPr>
      <w:r>
        <w:t xml:space="preserve">5. Limitations</w:t>
      </w:r>
    </w:p>
    <w:p>
      <w:pPr>
        <w:numPr>
          <w:ilvl w:val="0"/>
          <w:numId w:val="1025"/>
        </w:numPr>
      </w:pPr>
      <w:r>
        <w:rPr>
          <w:bCs/>
          <w:b/>
        </w:rPr>
        <w:t xml:space="preserve">Reference values for the standards.</w:t>
      </w:r>
    </w:p>
    <w:p>
      <w:pPr>
        <w:numPr>
          <w:ilvl w:val="1"/>
          <w:numId w:val="1026"/>
        </w:numPr>
      </w:pPr>
      <w:r>
        <w:t xml:space="preserve">TJ+ needs the reference values of the transfer standards.</w:t>
      </w:r>
    </w:p>
    <w:p>
      <w:pPr>
        <w:numPr>
          <w:ilvl w:val="1"/>
          <w:numId w:val="1026"/>
        </w:numPr>
      </w:pPr>
      <w:r>
        <w:t xml:space="preserve">SBC needs them anyway, and PDS/DS standards are usually calibration samples with known values.</w:t>
      </w:r>
    </w:p>
    <w:p>
      <w:pPr>
        <w:numPr>
          <w:ilvl w:val="1"/>
          <w:numId w:val="1026"/>
        </w:numPr>
      </w:pPr>
      <w:r>
        <w:t xml:space="preserve">When reference values are unavailable, only the exploratory label-free variant applies, and it carries no guarantee and under-covered in our tests (§4.7).</w:t>
      </w:r>
    </w:p>
    <w:p>
      <w:pPr>
        <w:numPr>
          <w:ilvl w:val="0"/>
          <w:numId w:val="1025"/>
        </w:numPr>
      </w:pPr>
      <w:r>
        <w:rPr>
          <w:bCs/>
          <w:b/>
        </w:rPr>
        <w:t xml:space="preserve">How the standards are selected.</w:t>
      </w:r>
    </w:p>
    <w:p>
      <w:pPr>
        <w:numPr>
          <w:ilvl w:val="1"/>
          <w:numId w:val="1027"/>
        </w:numPr>
      </w:pPr>
      <w:r>
        <w:t xml:space="preserve">The guarantee assumes the standards are a random sample of the target population, exchangeable with future samples.</w:t>
      </w:r>
    </w:p>
    <w:p>
      <w:pPr>
        <w:numPr>
          <w:ilvl w:val="1"/>
          <w:numId w:val="1027"/>
        </w:numPr>
      </w:pPr>
      <w:r>
        <w:t xml:space="preserve">Kennard–Stone and other representative designs violate this assumption. Kennard–Stone selection made TJ+N conservative in our tests (§4.5), but it is not covered by Proposition 1.</w:t>
      </w:r>
    </w:p>
    <w:p>
      <w:pPr>
        <w:numPr>
          <w:ilvl w:val="1"/>
          <w:numId w:val="1027"/>
        </w:numPr>
      </w:pPr>
      <w:r>
        <w:t xml:space="preserve">In practice, a random subset of standards can be reserved for interval calibration.</w:t>
      </w:r>
    </w:p>
    <w:p>
      <w:pPr>
        <w:numPr>
          <w:ilvl w:val="0"/>
          <w:numId w:val="1025"/>
        </w:numPr>
      </w:pPr>
      <w:r>
        <w:rPr>
          <w:bCs/>
          <w:b/>
        </w:rPr>
        <w:t xml:space="preserve">Marginal, not conditional, guarantee.</w:t>
      </w:r>
    </w:p>
    <w:p>
      <w:pPr>
        <w:numPr>
          <w:ilvl w:val="1"/>
          <w:numId w:val="1028"/>
        </w:numPr>
      </w:pPr>
      <w:r>
        <w:t xml:space="preserve">Coverage holds on average over the draw of standards and future samples.</w:t>
      </w:r>
    </w:p>
    <w:p>
      <w:pPr>
        <w:numPr>
          <w:ilvl w:val="1"/>
          <w:numId w:val="1028"/>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8"/>
        </w:numPr>
      </w:pPr>
      <w:r>
        <w:t xml:space="preserve">The worst-case bound is 1−2α, although the observed coverage was close to or above 1−α.</w:t>
      </w:r>
    </w:p>
    <w:p>
      <w:pPr>
        <w:numPr>
          <w:ilvl w:val="0"/>
          <w:numId w:val="1025"/>
        </w:numPr>
      </w:pPr>
      <w:r>
        <w:rPr>
          <w:bCs/>
          <w:b/>
        </w:rPr>
        <w:t xml:space="preserve">Scope of the evidence.</w:t>
      </w:r>
    </w:p>
    <w:p>
      <w:pPr>
        <w:numPr>
          <w:ilvl w:val="1"/>
          <w:numId w:val="1029"/>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29"/>
        </w:numPr>
      </w:pPr>
      <w:r>
        <w:t xml:space="preserve">Coverage refers to the samples in these data sets. Test samples recur across repetitions, so the results characterise the procedure on these populations, not on all possible samples.</w:t>
      </w:r>
    </w:p>
    <w:p>
      <w:pPr>
        <w:numPr>
          <w:ilvl w:val="1"/>
          <w:numId w:val="1029"/>
        </w:numPr>
      </w:pPr>
      <w:r>
        <w:t xml:space="preserve">The noise, wavelength-shift and source-size perturbations are simulated.</w:t>
      </w:r>
    </w:p>
    <w:p>
      <w:pPr>
        <w:numPr>
          <w:ilvl w:val="1"/>
          <w:numId w:val="1029"/>
        </w:numPr>
      </w:pPr>
      <w:r>
        <w:t xml:space="preserve">Other techniques (Raman, MIR), non-linear or deep domain-adaptation transfers, and process data streams with drift were not tested.</w:t>
      </w:r>
    </w:p>
    <w:p>
      <w:pPr>
        <w:numPr>
          <w:ilvl w:val="0"/>
          <w:numId w:val="1025"/>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5"/>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5"/>
        </w:numPr>
      </w:pPr>
      <w:r>
        <w:rPr>
          <w:bCs/>
          <w:b/>
        </w:rPr>
        <w:t xml:space="preserve">Drift after standardisation.</w:t>
      </w:r>
      <w:r>
        <w:t xml:space="preserve"> </w:t>
      </w:r>
      <w:r>
        <w:t xml:space="preserve">A shift of the routine spectra after the transfer has been fitted (simulated as a one-channel wavelength shift) invalidated all intervals, including TJ+N (§4.5). The guarantee presupposes a stable target instrument between standardisation and use.</w:t>
      </w:r>
    </w:p>
    <w:bookmarkEnd w:id="73"/>
    <w:bookmarkStart w:id="74"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w:t>
      </w:r>
    </w:p>
    <w:p>
      <w:pPr>
        <w:pStyle w:val="BodyText"/>
      </w:pPr>
      <w:r>
        <w:t xml:space="preserve">We recommend:</w:t>
      </w:r>
    </w:p>
    <w:p>
      <w:pPr>
        <w:numPr>
          <w:ilvl w:val="0"/>
          <w:numId w:val="1030"/>
        </w:numPr>
      </w:pPr>
      <w:r>
        <w:t xml:space="preserve">drawing at least a random subset of transfer standards from the target population;</w:t>
      </w:r>
    </w:p>
    <w:p>
      <w:pPr>
        <w:numPr>
          <w:ilvl w:val="0"/>
          <w:numId w:val="1030"/>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30"/>
        </w:numPr>
      </w:pPr>
      <w:r>
        <w:t xml:space="preserve">reporting TJ+-type intervals, or at least Gaussian leave-one-standard-out intervals, alongside RMSEP whenever a calibration is transferred.</w:t>
      </w:r>
    </w:p>
    <w:bookmarkEnd w:id="74"/>
    <w:bookmarkStart w:id="75"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5"/>
    <w:bookmarkStart w:id="76"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31"/>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31"/>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2"/>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2"/>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2"/>
        </w:numPr>
      </w:pPr>
      <w:r>
        <w:t xml:space="preserve">Ties between scores have probability zero for continuous data; with ties, the strict inequalities in Step 2 make the interval only more conservative.</w:t>
      </w:r>
    </w:p>
    <w:p>
      <w:pPr>
        <w:numPr>
          <w:ilvl w:val="0"/>
          <w:numId w:val="1032"/>
        </w:numPr>
      </w:pPr>
      <w:r>
        <w:t xml:space="preserve">If the standards are chosen by a data-dependent design such as Kennard–Stone, they are no longer exchangeable with a random future sample, and Step 4 does not apply.</w:t>
      </w:r>
    </w:p>
    <w:bookmarkEnd w:id="76"/>
    <w:bookmarkStart w:id="164" w:name="bibliography"/>
    <w:p>
      <w:r>
        <w:br w:type="page"/>
      </w:r>
    </w:p>
    <w:p>
      <w:pPr>
        <w:pStyle w:val="Heading1"/>
      </w:pPr>
      <w:r>
        <w:t xml:space="preserve">References</w:t>
      </w:r>
    </w:p>
    <w:bookmarkStart w:id="163" w:name="refs"/>
    <w:bookmarkStart w:id="78"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7">
        <w:r>
          <w:rPr>
            <w:rStyle w:val="Hyperlink"/>
          </w:rPr>
          <w:t xml:space="preserve">10.1016/j.aca.2018.04.004</w:t>
        </w:r>
      </w:hyperlink>
      <w:r>
        <w:t xml:space="preserve">.</w:t>
      </w:r>
    </w:p>
    <w:bookmarkEnd w:id="78"/>
    <w:bookmarkStart w:id="80"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9">
        <w:r>
          <w:rPr>
            <w:rStyle w:val="Hyperlink"/>
          </w:rPr>
          <w:t xml:space="preserve">10.1016/S0169-7439(02)00085-0</w:t>
        </w:r>
      </w:hyperlink>
      <w:r>
        <w:t xml:space="preserve">.</w:t>
      </w:r>
    </w:p>
    <w:bookmarkEnd w:id="80"/>
    <w:bookmarkStart w:id="82"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81">
        <w:r>
          <w:rPr>
            <w:rStyle w:val="Hyperlink"/>
          </w:rPr>
          <w:t xml:space="preserve">10.1177/0003702817736064</w:t>
        </w:r>
      </w:hyperlink>
      <w:r>
        <w:t xml:space="preserve">.</w:t>
      </w:r>
    </w:p>
    <w:bookmarkEnd w:id="82"/>
    <w:bookmarkStart w:id="84"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3">
        <w:r>
          <w:rPr>
            <w:rStyle w:val="Hyperlink"/>
          </w:rPr>
          <w:t xml:space="preserve">10.1016/j.postharvbio.2020.111202</w:t>
        </w:r>
      </w:hyperlink>
      <w:r>
        <w:t xml:space="preserve">.</w:t>
      </w:r>
    </w:p>
    <w:bookmarkEnd w:id="84"/>
    <w:bookmarkStart w:id="86"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5">
        <w:r>
          <w:rPr>
            <w:rStyle w:val="Hyperlink"/>
          </w:rPr>
          <w:t xml:space="preserve">10.1021/ac00023a016</w:t>
        </w:r>
      </w:hyperlink>
      <w:r>
        <w:t xml:space="preserve">.</w:t>
      </w:r>
    </w:p>
    <w:bookmarkEnd w:id="86"/>
    <w:bookmarkStart w:id="88"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7">
        <w:r>
          <w:rPr>
            <w:rStyle w:val="Hyperlink"/>
          </w:rPr>
          <w:t xml:space="preserve">10.1016/0169-7439(95)00074-7</w:t>
        </w:r>
      </w:hyperlink>
      <w:r>
        <w:t xml:space="preserve">.</w:t>
      </w:r>
    </w:p>
    <w:bookmarkEnd w:id="88"/>
    <w:bookmarkStart w:id="90"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9">
        <w:r>
          <w:rPr>
            <w:rStyle w:val="Hyperlink"/>
          </w:rPr>
          <w:t xml:space="preserve">10.1021/acs.analchem.8b00498</w:t>
        </w:r>
      </w:hyperlink>
      <w:r>
        <w:t xml:space="preserve">.</w:t>
      </w:r>
    </w:p>
    <w:bookmarkEnd w:id="90"/>
    <w:bookmarkStart w:id="92"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91">
        <w:r>
          <w:rPr>
            <w:rStyle w:val="Hyperlink"/>
          </w:rPr>
          <w:t xml:space="preserve">10.1016/j.infrared.2020.103547</w:t>
        </w:r>
      </w:hyperlink>
      <w:r>
        <w:t xml:space="preserve">.</w:t>
      </w:r>
    </w:p>
    <w:bookmarkEnd w:id="92"/>
    <w:bookmarkStart w:id="94"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3">
        <w:r>
          <w:rPr>
            <w:rStyle w:val="Hyperlink"/>
          </w:rPr>
          <w:t xml:space="preserve">10.1016/j.aca.2022.340154</w:t>
        </w:r>
      </w:hyperlink>
      <w:r>
        <w:t xml:space="preserve">.</w:t>
      </w:r>
    </w:p>
    <w:bookmarkEnd w:id="94"/>
    <w:bookmarkStart w:id="96"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5">
        <w:r>
          <w:rPr>
            <w:rStyle w:val="Hyperlink"/>
          </w:rPr>
          <w:t xml:space="preserve">10.1016/j.aca.2024.342404</w:t>
        </w:r>
      </w:hyperlink>
      <w:r>
        <w:t xml:space="preserve">.</w:t>
      </w:r>
    </w:p>
    <w:bookmarkEnd w:id="96"/>
    <w:bookmarkStart w:id="98"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7">
        <w:r>
          <w:rPr>
            <w:rStyle w:val="Hyperlink"/>
          </w:rPr>
          <w:t xml:space="preserve">10.1016/j.aca.2025.344151</w:t>
        </w:r>
      </w:hyperlink>
      <w:r>
        <w:t xml:space="preserve">.</w:t>
      </w:r>
    </w:p>
    <w:bookmarkEnd w:id="98"/>
    <w:bookmarkStart w:id="100"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9">
        <w:r>
          <w:rPr>
            <w:rStyle w:val="Hyperlink"/>
          </w:rPr>
          <w:t xml:space="preserve">10.1016/j.aca.2026.346104</w:t>
        </w:r>
      </w:hyperlink>
      <w:r>
        <w:t xml:space="preserve">.</w:t>
      </w:r>
    </w:p>
    <w:bookmarkEnd w:id="100"/>
    <w:bookmarkStart w:id="102"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101">
        <w:r>
          <w:rPr>
            <w:rStyle w:val="Hyperlink"/>
          </w:rPr>
          <w:t xml:space="preserve">10.1002/(SICI)1099-128X(199705)11:3&lt;181::AID-CEM459&gt;3.0.CO;2-7</w:t>
        </w:r>
      </w:hyperlink>
      <w:r>
        <w:t xml:space="preserve">.</w:t>
      </w:r>
    </w:p>
    <w:bookmarkEnd w:id="102"/>
    <w:bookmarkStart w:id="104"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3">
        <w:r>
          <w:rPr>
            <w:rStyle w:val="Hyperlink"/>
          </w:rPr>
          <w:t xml:space="preserve">10.1351/pac200678030633</w:t>
        </w:r>
      </w:hyperlink>
      <w:r>
        <w:t xml:space="preserve">.</w:t>
      </w:r>
    </w:p>
    <w:bookmarkEnd w:id="104"/>
    <w:bookmarkStart w:id="106"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5">
        <w:r>
          <w:rPr>
            <w:rStyle w:val="Hyperlink"/>
          </w:rPr>
          <w:t xml:space="preserve">10.1016/j.aca.2015.11.028</w:t>
        </w:r>
      </w:hyperlink>
      <w:r>
        <w:t xml:space="preserve">.</w:t>
      </w:r>
    </w:p>
    <w:bookmarkEnd w:id="106"/>
    <w:bookmarkStart w:id="108"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7">
        <w:r>
          <w:rPr>
            <w:rStyle w:val="Hyperlink"/>
          </w:rPr>
          <w:t xml:space="preserve">10.1520/E1655-17</w:t>
        </w:r>
      </w:hyperlink>
      <w:r>
        <w:t xml:space="preserve">.</w:t>
      </w:r>
    </w:p>
    <w:bookmarkEnd w:id="108"/>
    <w:bookmarkStart w:id="110"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9">
        <w:r>
          <w:rPr>
            <w:rStyle w:val="Hyperlink"/>
          </w:rPr>
          <w:t xml:space="preserve">10.1007/b106715</w:t>
        </w:r>
      </w:hyperlink>
      <w:r>
        <w:t xml:space="preserve">.</w:t>
      </w:r>
    </w:p>
    <w:bookmarkEnd w:id="110"/>
    <w:bookmarkStart w:id="112"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11">
        <w:r>
          <w:rPr>
            <w:rStyle w:val="Hyperlink"/>
          </w:rPr>
          <w:t xml:space="preserve">10.1080/01621459.2017.1307116</w:t>
        </w:r>
      </w:hyperlink>
      <w:r>
        <w:t xml:space="preserve">.</w:t>
      </w:r>
    </w:p>
    <w:bookmarkEnd w:id="112"/>
    <w:bookmarkStart w:id="114"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3">
        <w:r>
          <w:rPr>
            <w:rStyle w:val="Hyperlink"/>
          </w:rPr>
          <w:t xml:space="preserve">10.1561/2200000101</w:t>
        </w:r>
      </w:hyperlink>
      <w:r>
        <w:t xml:space="preserve">.</w:t>
      </w:r>
    </w:p>
    <w:bookmarkEnd w:id="114"/>
    <w:bookmarkStart w:id="116"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5">
        <w:r>
          <w:rPr>
            <w:rStyle w:val="Hyperlink"/>
          </w:rPr>
          <w:t xml:space="preserve">10.3150/21-BEJ1447</w:t>
        </w:r>
      </w:hyperlink>
      <w:r>
        <w:t xml:space="preserve">.</w:t>
      </w:r>
    </w:p>
    <w:bookmarkEnd w:id="116"/>
    <w:bookmarkStart w:id="118"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7">
        <w:r>
          <w:rPr>
            <w:rStyle w:val="Hyperlink"/>
          </w:rPr>
          <w:t xml:space="preserve">10.1177/0003702819831017</w:t>
        </w:r>
      </w:hyperlink>
      <w:r>
        <w:t xml:space="preserve">.</w:t>
      </w:r>
    </w:p>
    <w:bookmarkEnd w:id="118"/>
    <w:bookmarkStart w:id="120"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9">
        <w:r>
          <w:rPr>
            <w:rStyle w:val="Hyperlink"/>
          </w:rPr>
          <w:t xml:space="preserve">10.1002/cem.3639</w:t>
        </w:r>
      </w:hyperlink>
      <w:r>
        <w:t xml:space="preserve">.</w:t>
      </w:r>
    </w:p>
    <w:bookmarkEnd w:id="120"/>
    <w:bookmarkStart w:id="122"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21">
        <w:r>
          <w:rPr>
            <w:rStyle w:val="Hyperlink"/>
          </w:rPr>
          <w:t xml:space="preserve">10.1016/j.chemolab.2024.105225</w:t>
        </w:r>
      </w:hyperlink>
      <w:r>
        <w:t xml:space="preserve">.</w:t>
      </w:r>
    </w:p>
    <w:bookmarkEnd w:id="122"/>
    <w:bookmarkStart w:id="124"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3">
        <w:r>
          <w:rPr>
            <w:rStyle w:val="Hyperlink"/>
          </w:rPr>
          <w:t xml:space="preserve">10.1002/cem.70017</w:t>
        </w:r>
      </w:hyperlink>
      <w:r>
        <w:t xml:space="preserve">.</w:t>
      </w:r>
    </w:p>
    <w:bookmarkEnd w:id="124"/>
    <w:bookmarkStart w:id="126"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5">
        <w:r>
          <w:rPr>
            <w:rStyle w:val="Hyperlink"/>
          </w:rPr>
          <w:t xml:space="preserve">10.1016/j.foodchem.2025.145387</w:t>
        </w:r>
      </w:hyperlink>
      <w:r>
        <w:t xml:space="preserve">.</w:t>
      </w:r>
    </w:p>
    <w:bookmarkEnd w:id="126"/>
    <w:bookmarkStart w:id="128"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7">
        <w:r>
          <w:rPr>
            <w:rStyle w:val="Hyperlink"/>
          </w:rPr>
          <w:t xml:space="preserve">https://arxiv.org/abs/2512.23444</w:t>
        </w:r>
      </w:hyperlink>
      <w:r>
        <w:t xml:space="preserve">.</w:t>
      </w:r>
    </w:p>
    <w:bookmarkEnd w:id="128"/>
    <w:bookmarkStart w:id="130"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9">
        <w:r>
          <w:rPr>
            <w:rStyle w:val="Hyperlink"/>
          </w:rPr>
          <w:t xml:space="preserve">10.1021/ci5001168</w:t>
        </w:r>
      </w:hyperlink>
      <w:r>
        <w:t xml:space="preserve">.</w:t>
      </w:r>
    </w:p>
    <w:bookmarkEnd w:id="130"/>
    <w:bookmarkStart w:id="131"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31"/>
    <w:bookmarkStart w:id="132"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32"/>
    <w:bookmarkStart w:id="134"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3">
        <w:r>
          <w:rPr>
            <w:rStyle w:val="Hyperlink"/>
          </w:rPr>
          <w:t xml:space="preserve">10.3390/atmos17040335</w:t>
        </w:r>
      </w:hyperlink>
      <w:r>
        <w:t xml:space="preserve">.</w:t>
      </w:r>
    </w:p>
    <w:bookmarkEnd w:id="134"/>
    <w:bookmarkStart w:id="136"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5">
        <w:r>
          <w:rPr>
            <w:rStyle w:val="Hyperlink"/>
          </w:rPr>
          <w:t xml:space="preserve">https://arxiv.org/abs/2609.10737</w:t>
        </w:r>
      </w:hyperlink>
      <w:r>
        <w:t xml:space="preserve">.</w:t>
      </w:r>
    </w:p>
    <w:bookmarkEnd w:id="136"/>
    <w:bookmarkStart w:id="138"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7">
        <w:r>
          <w:rPr>
            <w:rStyle w:val="Hyperlink"/>
          </w:rPr>
          <w:t xml:space="preserve">10.1214/20-aos1965</w:t>
        </w:r>
      </w:hyperlink>
      <w:r>
        <w:t xml:space="preserve">.</w:t>
      </w:r>
    </w:p>
    <w:bookmarkEnd w:id="138"/>
    <w:bookmarkStart w:id="140"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9">
        <w:r>
          <w:rPr>
            <w:rStyle w:val="Hyperlink"/>
          </w:rPr>
          <w:t xml:space="preserve">10.1613/jair.3198</w:t>
        </w:r>
      </w:hyperlink>
      <w:r>
        <w:t xml:space="preserve">.</w:t>
      </w:r>
    </w:p>
    <w:bookmarkEnd w:id="140"/>
    <w:bookmarkStart w:id="142"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41">
        <w:r>
          <w:rPr>
            <w:rStyle w:val="Hyperlink"/>
          </w:rPr>
          <w:t xml:space="preserve">10.1080/00401706.1969.10490666</w:t>
        </w:r>
      </w:hyperlink>
      <w:r>
        <w:t xml:space="preserve">.</w:t>
      </w:r>
    </w:p>
    <w:bookmarkEnd w:id="142"/>
    <w:bookmarkStart w:id="143"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3"/>
    <w:bookmarkStart w:id="145"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4">
        <w:r>
          <w:rPr>
            <w:rStyle w:val="Hyperlink"/>
          </w:rPr>
          <w:t xml:space="preserve">https://eigenvector.com/resources/data-sets/</w:t>
        </w:r>
      </w:hyperlink>
      <w:r>
        <w:t xml:space="preserve"> </w:t>
      </w:r>
      <w:r>
        <w:t xml:space="preserve">(accessed October 13, 2026).</w:t>
      </w:r>
    </w:p>
    <w:bookmarkEnd w:id="145"/>
    <w:bookmarkStart w:id="147" w:name="ref-mango_data"/>
    <w:p>
      <w:pPr>
        <w:pStyle w:val="Bibliography"/>
      </w:pPr>
      <w:r>
        <w:t xml:space="preserve">[37]</w:t>
      </w:r>
      <w:r>
        <w:t xml:space="preserve"> </w:t>
      </w:r>
      <w:r>
        <w:t xml:space="preserve">	</w:t>
      </w:r>
      <w:r>
        <w:t xml:space="preserve">N. Anderson, Mango DMC and spectra Anderson et al. 2020 (Version 1), (2020). https://doi.org/</w:t>
      </w:r>
      <w:hyperlink r:id="rId146">
        <w:r>
          <w:rPr>
            <w:rStyle w:val="Hyperlink"/>
          </w:rPr>
          <w:t xml:space="preserve">10.17632/46htwnp833.1</w:t>
        </w:r>
      </w:hyperlink>
      <w:r>
        <w:t xml:space="preserve">.</w:t>
      </w:r>
    </w:p>
    <w:bookmarkEnd w:id="147"/>
    <w:bookmarkStart w:id="149"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8">
        <w:r>
          <w:rPr>
            <w:rStyle w:val="Hyperlink"/>
          </w:rPr>
          <w:t xml:space="preserve">10.1366/0003702894202201</w:t>
        </w:r>
      </w:hyperlink>
      <w:r>
        <w:t xml:space="preserve">.</w:t>
      </w:r>
    </w:p>
    <w:bookmarkEnd w:id="149"/>
    <w:bookmarkStart w:id="151"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50">
        <w:r>
          <w:rPr>
            <w:rStyle w:val="Hyperlink"/>
          </w:rPr>
          <w:t xml:space="preserve">10.1021/ac60214a047</w:t>
        </w:r>
      </w:hyperlink>
      <w:r>
        <w:t xml:space="preserve">.</w:t>
      </w:r>
    </w:p>
    <w:bookmarkEnd w:id="151"/>
    <w:bookmarkStart w:id="153"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52">
        <w:r>
          <w:rPr>
            <w:rStyle w:val="Hyperlink"/>
          </w:rPr>
          <w:t xml:space="preserve">10.1016/S0169-7439(01)00155-1</w:t>
        </w:r>
      </w:hyperlink>
      <w:r>
        <w:t xml:space="preserve">.</w:t>
      </w:r>
    </w:p>
    <w:bookmarkEnd w:id="153"/>
    <w:bookmarkStart w:id="155"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4">
        <w:r>
          <w:rPr>
            <w:rStyle w:val="Hyperlink"/>
          </w:rPr>
          <w:t xml:space="preserve">10.1198/016214506000001437</w:t>
        </w:r>
      </w:hyperlink>
      <w:r>
        <w:t xml:space="preserve">.</w:t>
      </w:r>
    </w:p>
    <w:bookmarkEnd w:id="155"/>
    <w:bookmarkStart w:id="157"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6">
        <w:r>
          <w:rPr>
            <w:rStyle w:val="Hyperlink"/>
          </w:rPr>
          <w:t xml:space="preserve">10.2307/4615733</w:t>
        </w:r>
      </w:hyperlink>
      <w:r>
        <w:t xml:space="preserve">.</w:t>
      </w:r>
    </w:p>
    <w:bookmarkEnd w:id="157"/>
    <w:bookmarkStart w:id="158"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8"/>
    <w:bookmarkStart w:id="160"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9">
        <w:r>
          <w:rPr>
            <w:rStyle w:val="Hyperlink"/>
          </w:rPr>
          <w:t xml:space="preserve">10.1016/j.chemolab.2025.105532</w:t>
        </w:r>
      </w:hyperlink>
      <w:r>
        <w:t xml:space="preserve">.</w:t>
      </w:r>
    </w:p>
    <w:bookmarkEnd w:id="160"/>
    <w:bookmarkStart w:id="162"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61">
        <w:r>
          <w:rPr>
            <w:rStyle w:val="Hyperlink"/>
          </w:rPr>
          <w:t xml:space="preserve">10.17632/46htwnp833.6</w:t>
        </w:r>
      </w:hyperlink>
      <w:r>
        <w:t xml:space="preserve">.</w:t>
      </w:r>
    </w:p>
    <w:bookmarkEnd w:id="162"/>
    <w:bookmarkEnd w:id="163"/>
    <w:bookmarkEnd w:id="164"/>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66" Type="http://schemas.openxmlformats.org/officeDocument/2006/relationships/image" Target="media/rId66.png"/><Relationship Id="rId127" Type="http://schemas.openxmlformats.org/officeDocument/2006/relationships/hyperlink" Target="https://arxiv.org/abs/2512.23444" TargetMode="External"/><Relationship Id="rId135"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52"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9"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50"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41"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54" Type="http://schemas.openxmlformats.org/officeDocument/2006/relationships/hyperlink" Target="https://doi.org/10.1198/016214506000001437" TargetMode="External"/><Relationship Id="rId137"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8"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39" Type="http://schemas.openxmlformats.org/officeDocument/2006/relationships/hyperlink" Target="https://doi.org/10.1613/jair.3198" TargetMode="External"/><Relationship Id="rId146" Type="http://schemas.openxmlformats.org/officeDocument/2006/relationships/hyperlink" Target="https://doi.org/10.17632/46htwnp833.1" TargetMode="External"/><Relationship Id="rId161" Type="http://schemas.openxmlformats.org/officeDocument/2006/relationships/hyperlink" Target="https://doi.org/10.17632/46htwnp833.6" TargetMode="External"/><Relationship Id="rId156"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3" Type="http://schemas.openxmlformats.org/officeDocument/2006/relationships/hyperlink" Target="https://doi.org/10.3390/atmos17040335" TargetMode="External"/><Relationship Id="rId144"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https://arxiv.org/abs/2512.23444" TargetMode="External"/><Relationship Id="rId135" Type="http://schemas.openxmlformats.org/officeDocument/2006/relationships/hyperlink" Target="https://arxiv.org/abs/2609.10737" TargetMode="External"/><Relationship Id="rId101" Type="http://schemas.openxmlformats.org/officeDocument/2006/relationships/hyperlink" Target="https://doi.org/10.1002/(SICI)1099-128X(199705)11:3&lt;181::AID-CEM459&gt;3.0.CO;2-7" TargetMode="External"/><Relationship Id="rId119" Type="http://schemas.openxmlformats.org/officeDocument/2006/relationships/hyperlink" Target="https://doi.org/10.1002/cem.3639" TargetMode="External"/><Relationship Id="rId123" Type="http://schemas.openxmlformats.org/officeDocument/2006/relationships/hyperlink" Target="https://doi.org/10.1002/cem.70017" TargetMode="External"/><Relationship Id="rId109" Type="http://schemas.openxmlformats.org/officeDocument/2006/relationships/hyperlink" Target="https://doi.org/10.1007/b106715" TargetMode="External"/><Relationship Id="rId87" Type="http://schemas.openxmlformats.org/officeDocument/2006/relationships/hyperlink" Target="https://doi.org/10.1016/0169-7439(95)00074-7" TargetMode="External"/><Relationship Id="rId152" Type="http://schemas.openxmlformats.org/officeDocument/2006/relationships/hyperlink" Target="https://doi.org/10.1016/S0169-7439(01)00155-1" TargetMode="External"/><Relationship Id="rId79" Type="http://schemas.openxmlformats.org/officeDocument/2006/relationships/hyperlink" Target="https://doi.org/10.1016/S0169-7439(02)00085-0" TargetMode="External"/><Relationship Id="rId105" Type="http://schemas.openxmlformats.org/officeDocument/2006/relationships/hyperlink" Target="https://doi.org/10.1016/j.aca.2015.11.028" TargetMode="External"/><Relationship Id="rId77" Type="http://schemas.openxmlformats.org/officeDocument/2006/relationships/hyperlink" Target="https://doi.org/10.1016/j.aca.2018.04.004" TargetMode="External"/><Relationship Id="rId93" Type="http://schemas.openxmlformats.org/officeDocument/2006/relationships/hyperlink" Target="https://doi.org/10.1016/j.aca.2022.340154" TargetMode="External"/><Relationship Id="rId95" Type="http://schemas.openxmlformats.org/officeDocument/2006/relationships/hyperlink" Target="https://doi.org/10.1016/j.aca.2024.342404" TargetMode="External"/><Relationship Id="rId97" Type="http://schemas.openxmlformats.org/officeDocument/2006/relationships/hyperlink" Target="https://doi.org/10.1016/j.aca.2025.344151" TargetMode="External"/><Relationship Id="rId99" Type="http://schemas.openxmlformats.org/officeDocument/2006/relationships/hyperlink" Target="https://doi.org/10.1016/j.aca.2026.346104" TargetMode="External"/><Relationship Id="rId121" Type="http://schemas.openxmlformats.org/officeDocument/2006/relationships/hyperlink" Target="https://doi.org/10.1016/j.chemolab.2024.105225" TargetMode="External"/><Relationship Id="rId159" Type="http://schemas.openxmlformats.org/officeDocument/2006/relationships/hyperlink" Target="https://doi.org/10.1016/j.chemolab.2025.105532" TargetMode="External"/><Relationship Id="rId125" Type="http://schemas.openxmlformats.org/officeDocument/2006/relationships/hyperlink" Target="https://doi.org/10.1016/j.foodchem.2025.145387" TargetMode="External"/><Relationship Id="rId91" Type="http://schemas.openxmlformats.org/officeDocument/2006/relationships/hyperlink" Target="https://doi.org/10.1016/j.infrared.2020.103547" TargetMode="External"/><Relationship Id="rId83" Type="http://schemas.openxmlformats.org/officeDocument/2006/relationships/hyperlink" Target="https://doi.org/10.1016/j.postharvbio.2020.111202" TargetMode="External"/><Relationship Id="rId85" Type="http://schemas.openxmlformats.org/officeDocument/2006/relationships/hyperlink" Target="https://doi.org/10.1021/ac00023a016" TargetMode="External"/><Relationship Id="rId150" Type="http://schemas.openxmlformats.org/officeDocument/2006/relationships/hyperlink" Target="https://doi.org/10.1021/ac60214a047" TargetMode="External"/><Relationship Id="rId89" Type="http://schemas.openxmlformats.org/officeDocument/2006/relationships/hyperlink" Target="https://doi.org/10.1021/acs.analchem.8b00498" TargetMode="External"/><Relationship Id="rId129" Type="http://schemas.openxmlformats.org/officeDocument/2006/relationships/hyperlink" Target="https://doi.org/10.1021/ci5001168" TargetMode="External"/><Relationship Id="rId141" Type="http://schemas.openxmlformats.org/officeDocument/2006/relationships/hyperlink" Target="https://doi.org/10.1080/00401706.1969.10490666" TargetMode="External"/><Relationship Id="rId111" Type="http://schemas.openxmlformats.org/officeDocument/2006/relationships/hyperlink" Target="https://doi.org/10.1080/01621459.2017.1307116" TargetMode="External"/><Relationship Id="rId81" Type="http://schemas.openxmlformats.org/officeDocument/2006/relationships/hyperlink" Target="https://doi.org/10.1177/0003702817736064" TargetMode="External"/><Relationship Id="rId117" Type="http://schemas.openxmlformats.org/officeDocument/2006/relationships/hyperlink" Target="https://doi.org/10.1177/0003702819831017" TargetMode="External"/><Relationship Id="rId154" Type="http://schemas.openxmlformats.org/officeDocument/2006/relationships/hyperlink" Target="https://doi.org/10.1198/016214506000001437" TargetMode="External"/><Relationship Id="rId137" Type="http://schemas.openxmlformats.org/officeDocument/2006/relationships/hyperlink" Target="https://doi.org/10.1214/20-aos1965" TargetMode="External"/><Relationship Id="rId103" Type="http://schemas.openxmlformats.org/officeDocument/2006/relationships/hyperlink" Target="https://doi.org/10.1351/pac200678030633" TargetMode="External"/><Relationship Id="rId148" Type="http://schemas.openxmlformats.org/officeDocument/2006/relationships/hyperlink" Target="https://doi.org/10.1366/0003702894202201" TargetMode="External"/><Relationship Id="rId107" Type="http://schemas.openxmlformats.org/officeDocument/2006/relationships/hyperlink" Target="https://doi.org/10.1520/E1655-17" TargetMode="External"/><Relationship Id="rId113" Type="http://schemas.openxmlformats.org/officeDocument/2006/relationships/hyperlink" Target="https://doi.org/10.1561/2200000101" TargetMode="External"/><Relationship Id="rId139" Type="http://schemas.openxmlformats.org/officeDocument/2006/relationships/hyperlink" Target="https://doi.org/10.1613/jair.3198" TargetMode="External"/><Relationship Id="rId146" Type="http://schemas.openxmlformats.org/officeDocument/2006/relationships/hyperlink" Target="https://doi.org/10.17632/46htwnp833.1" TargetMode="External"/><Relationship Id="rId161" Type="http://schemas.openxmlformats.org/officeDocument/2006/relationships/hyperlink" Target="https://doi.org/10.17632/46htwnp833.6" TargetMode="External"/><Relationship Id="rId156" Type="http://schemas.openxmlformats.org/officeDocument/2006/relationships/hyperlink" Target="https://doi.org/10.2307/4615733" TargetMode="External"/><Relationship Id="rId115" Type="http://schemas.openxmlformats.org/officeDocument/2006/relationships/hyperlink" Target="https://doi.org/10.3150/21-BEJ1447" TargetMode="External"/><Relationship Id="rId133" Type="http://schemas.openxmlformats.org/officeDocument/2006/relationships/hyperlink" Target="https://doi.org/10.3390/atmos17040335" TargetMode="External"/><Relationship Id="rId144"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2026-10-14T00:14:21Z</dcterms:created>
  <dcterms:modified xsi:type="dcterms:W3CDTF">2026-10-14T00:14:21Z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