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</w:t>
      </w:r>
      <w:r>
        <w:t xml:space="preserve"> </w:t>
      </w:r>
      <w:r>
        <w:t xml:space="preserve">Material</w:t>
      </w:r>
    </w:p>
    <w:p>
      <w:pPr>
        <w:pStyle w:val="Subtitle"/>
      </w:pPr>
      <w:r>
        <w:t xml:space="preserve">Valid</w:t>
      </w:r>
      <w:r>
        <w:t xml:space="preserve"> </w:t>
      </w:r>
      <w:r>
        <w:t xml:space="preserve">prediction</w:t>
      </w:r>
      <w:r>
        <w:t xml:space="preserve"> </w:t>
      </w:r>
      <w:r>
        <w:t xml:space="preserve">intervals</w:t>
      </w:r>
      <w:r>
        <w:t xml:space="preserve"> </w:t>
      </w:r>
      <w:r>
        <w:t xml:space="preserve">for</w:t>
      </w:r>
      <w:r>
        <w:t xml:space="preserve"> </w:t>
      </w:r>
      <w:r>
        <w:t xml:space="preserve">transferred</w:t>
      </w:r>
      <w:r>
        <w:t xml:space="preserve"> </w:t>
      </w:r>
      <w:r>
        <w:t xml:space="preserve">NIR</w:t>
      </w:r>
      <w:r>
        <w:t xml:space="preserve"> </w:t>
      </w:r>
      <w:r>
        <w:t xml:space="preserve">calibrations:</w:t>
      </w:r>
      <w:r>
        <w:t xml:space="preserve"> </w:t>
      </w:r>
      <w:r>
        <w:t xml:space="preserve">reusing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standards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leave-one-standard-out</w:t>
      </w:r>
      <w:r>
        <w:t xml:space="preserve"> </w:t>
      </w:r>
      <w:r>
        <w:t xml:space="preserve">jackknife+</w:t>
      </w:r>
    </w:p>
    <w:p>
      <w:pPr>
        <w:pStyle w:val="FirstParagraph"/>
      </w:pPr>
      <w:r>
        <w:t xml:space="preserve">All tables and figures in this document were generated automatically from the machine-readable result files of the study (</w:t>
      </w:r>
      <w:r>
        <w:rPr>
          <w:rStyle w:val="VerbatimChar"/>
        </w:rPr>
        <w:t xml:space="preserve">results/</w:t>
      </w:r>
      <w:r>
        <w:t xml:space="preserve">).</w:t>
      </w:r>
    </w:p>
    <w:bookmarkStart w:id="20" w:name="X9ca9b7f6fe8b8938436a3e9f1106361c475f765"/>
    <w:p>
      <w:pPr>
        <w:pStyle w:val="Heading1"/>
      </w:pPr>
      <w:r>
        <w:t xml:space="preserve">Table S1. Main results for every scenario</w:t>
      </w:r>
    </w:p>
    <w:p>
      <w:pPr>
        <w:pStyle w:val="TableCaption"/>
        <w:keepNext/>
      </w:pPr>
      <w:r>
        <w:rPr>
          <w:bCs/>
          <w:b/>
        </w:rPr>
        <w:t xml:space="preserve">Table S1.</w:t>
      </w:r>
      <w:r>
        <w:t xml:space="preserve"> </w:t>
      </w:r>
      <w:r>
        <w:t xml:space="preserve">Coverage of nominal 90% intervals and median interval score for every primary scenario (α = 0.10). CI: percentile bootstrap over repetitions.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S1. Coverage of nominal 90% intervals and median interval score for every primary scenario (α = 0.10). CI: percentile bootstrap over repetitions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Data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Response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Target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m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Method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Coverage [95% CI]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Median IS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Under-covering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0.035 [0.032, 0.039]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4.71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0.897 [0.888, 0.907]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0.063 [0.059, 0.068]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4.54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1.000 [1.000, 1.000]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0.919 [0.909, 0.927]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1.42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0.922 [0.912, 0.930]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1.48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0.386 [0.361, 0.410]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0.306 [0.292, 0.322]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0.037 [0.033, 0.042]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4.59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0.893 [0.883, 0.901]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0.064 [0.059, 0.070]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4.39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1.000 [1.000, 1.000]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0.942 [0.934, 0.949]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0.934 [0.926, 0.941]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1.41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0.332 [0.309, 0.354]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0.220 [0.208, 0.233]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0.035 [0.030, 0.040]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0.907 [0.896, 0.917]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0.068 [0.061, 0.076]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0.914 [0.903, 0.924]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1.41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0.915 [0.905, 0.925]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0.911 [0.902, 0.920]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0.307 [0.286, 0.327]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0.204 [0.190, 0.217]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0.026 [0.023, 0.029]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0.903 [0.893, 0.913]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0.051 [0.047, 0.055]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1.000 [1.000, 1.000]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0.919 [0.910, 0.929]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0.918 [0.909, 0.927]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1.61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0.366 [0.342, 0.392]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3.48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0.303 [0.288, 0.318]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0.032 [0.028, 0.036]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0.898 [0.888, 0.907]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1.38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0.056 [0.051, 0.061]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4.94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1.000 [1.000, 1.000]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0.941 [0.933, 0.949]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1.51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0.935 [0.927, 0.942]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1.53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0.313 [0.291, 0.335]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3.57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0.223 [0.210, 0.237]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0.033 [0.028, 0.038]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4.83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0.906 [0.896, 0.916]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1.28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0.058 [0.051, 0.065]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4.68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0.912 [0.902, 0.922]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1.53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0.910 [0.900, 0.920]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1.28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0.909 [0.899, 0.918]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1.38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0.288 [0.267, 0.310]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3.37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0.195 [0.181, 0.208]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0.184 [0.175, 0.195]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1.35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0.911 [0.903, 0.920]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0.597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0.453 [0.438, 0.467]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0.874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1.000 [1.000, 1.000]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0.951 [0.945, 0.958]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0.667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0.948 [0.941, 0.954]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0.637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0.884 [0.872, 0.895]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0.651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0.590 [0.573, 0.605]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0.211 [0.200, 0.222]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0.906 [0.898, 0.914]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0.482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0.500 [0.486, 0.514]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0.777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1.000 [1.000, 1.000]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0.957 [0.950, 0.963]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0.556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0.951 [0.944, 0.958]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0.523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0.876 [0.864, 0.889]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0.556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0.581 [0.565, 0.597]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0.208 [0.196, 0.221]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0.903 [0.894, 0.912]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0.476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0.519 [0.503, 0.535]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0.745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0.915 [0.905, 0.925]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0.917 [0.909, 0.926]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0.921 [0.913, 0.929]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0.447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0.881 [0.869, 0.894]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0.593 [0.577, 0.609]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0.201 [0.190, 0.211]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1.27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0.901 [0.890, 0.911]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0.596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0.473 [0.458, 0.488]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1.000 [1.000, 1.000]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0.946 [0.939, 0.953]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0.642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0.947 [0.940, 0.953]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0.921 [0.912, 0.930]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0.679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0.610 [0.595, 0.626]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0.215 [0.203, 0.226]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0.913 [0.904, 0.921]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0.517 [0.501, 0.533]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1.000 [1.000, 1.000]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0.961 [0.956, 0.967]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0.574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0.959 [0.954, 0.965]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0.551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0.920 [0.910, 0.930]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0.582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0.600 [0.583, 0.616]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3.27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0.229 [0.216, 0.243]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0.906 [0.897, 0.915]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0.461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0.538 [0.522, 0.554]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0.711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0.914 [0.904, 0.924]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0.924 [0.916, 0.932]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0.468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0.927 [0.919, 0.934]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0.444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0.924 [0.914, 0.934]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0.569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0.614 [0.597, 0.632]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0.381 [0.363, 0.399]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1.77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0.906 [0.897, 0.915]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0.618 [0.599, 0.636]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1.000 [1.000, 1.000]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0.933 [0.925, 0.940]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0.926 [0.919, 0.934]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0.883 [0.872, 0.894]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0.709 [0.693, 0.725]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0.413 [0.395, 0.432]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0.909 [0.900, 0.917]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0.811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0.667 [0.651, 0.684]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1.000 [1.000, 1.000]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0.951 [0.945, 0.958]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0.944 [0.938, 0.951]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0.897 [0.886, 0.908]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0.839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0.727 [0.709, 0.742]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1.71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0.419 [0.399, 0.440]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1.48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0.909 [0.900, 0.919]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0.745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0.670 [0.651, 0.689]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0.910 [0.899, 0.920]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0.915 [0.906, 0.925]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0.774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0.917 [0.908, 0.926]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0.793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0.898 [0.886, 0.910]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0.811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0.720 [0.702, 0.738]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1.28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0.393 [0.374, 0.411]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1.66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0.910 [0.901, 0.919]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0.886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0.626 [0.608, 0.644]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1.000 [1.000, 1.000]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0.942 [0.935, 0.948]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0.933 [0.926, 0.939]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0.913 [0.903, 0.924]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0.730 [0.714, 0.746]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0.427 [0.408, 0.446]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1.46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0.907 [0.899, 0.915]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0.670 [0.653, 0.686]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1.000 [1.000, 1.000]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0.955 [0.949, 0.960]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0.950 [0.943, 0.956]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0.913 [0.902, 0.923]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0.873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0.733 [0.717, 0.750]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1.77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0.421 [0.401, 0.442]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1.42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0.906 [0.897, 0.916]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0.746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0.682 [0.664, 0.700]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0.901 [0.890, 0.911]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0.920 [0.911, 0.929]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0.920 [0.911, 0.929]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0.783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 [0.897, 0.919]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0.849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0.738 [0.720, 0.755]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0.273 [0.259, 0.288]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4.88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0.900 [0.890, 0.910]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2.37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0.567 [0.551, 0.584]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1.000 [1.000, 1.000]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0.938 [0.930, 0.945]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2.64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0.932 [0.925, 0.940]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2.45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0.871 [0.860, 0.882]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2.55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0.708 [0.692, 0.724]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0.282 [0.266, 0.297]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4.61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0.904 [0.895, 0.913]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0.603 [0.587, 0.619]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2.79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1.000 [1.000, 1.000]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0.946 [0.939, 0.953]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2.53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0.948 [0.941, 0.954]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2.37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0.863 [0.850, 0.875]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0.705 [0.690, 0.720]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0.290 [0.274, 0.306]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4.44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0.907 [0.898, 0.917]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0.619 [0.601, 0.636]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2.55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 [0.897, 0.918]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2.28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0.910 [0.901, 0.919]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0.909 [0.899, 0.919]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1.95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0.862 [0.850, 0.874]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0.699 [0.683, 0.716]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5.04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0.269 [0.255, 0.283]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5.01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0.894 [0.883, 0.904]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2.41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0.559 [0.541, 0.576]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3.19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1.000 [1.000, 1.000]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0.928 [0.919, 0.936]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0.926 [0.918, 0.935]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2.47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0.893 [0.883, 0.903]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2.48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0.700 [0.685, 0.716]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0.292 [0.276, 0.307]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4.63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0.902 [0.894, 0.910]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0.606 [0.590, 0.622]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2.79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1.000 [1.000, 1.000]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0.953 [0.947, 0.958]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0.951 [0.944, 0.957]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2.41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0.893 [0.883, 0.903]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2.31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0.700 [0.684, 0.715]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0.294 [0.278, 0.310]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4.38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0.904 [0.894, 0.914]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1.95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0.616 [0.600, 0.633]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2.55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0.904 [0.894, 0.914]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 [0.898, 0.917]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2.02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 [0.898, 0.917]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1.93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0.881 [0.868, 0.893]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2.09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mp6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0.696 [0.680, 0.712]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dry_matter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0.726 [0.720, 0.731]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5.27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dry_matter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0.904 [0.892, 0.914]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5.02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dry_matter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0.707 [0.701, 0.712]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5.43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dry_matter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1.000 [1.000, 1.000]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dry_matter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0.910 [0.899, 0.921]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dry_matter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0.910 [0.899, 0.921]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dry_matter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0.715 [0.710, 0.720]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dry_matter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0.749 [0.746, 0.751]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4.94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dry_matter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0.903 [0.895, 0.911]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dry_matter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0.730 [0.727, 0.733]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5.09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dry_matter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0.905 [0.894, 0.915]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4.89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dry_matter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0.903 [0.894, 0.910]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4.54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dry_matter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0.902 [0.893, 0.909]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4.46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dry_matter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0.738 [0.735, 0.740]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dry_matter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0.755 [0.753, 0.757]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4.84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dry_matter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0.901 [0.895, 0.907]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4.39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dry_matter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0.736 [0.733, 0.738]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dry_matter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0.933 [0.925, 0.940]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4.73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dry_matter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0.900 [0.894, 0.906]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dry_matter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0.900 [0.894, 0.906]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4.34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dry_matter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0.743 [0.741, 0.745]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dry_matter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0.762 [0.761, 0.764]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dry_matter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 [0.904, 0.913]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dry_matter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0.743 [0.742, 0.744]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4.84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dry_matter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0.929 [0.923, 0.934]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4.38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dry_matter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0.903 [0.899, 0.908]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dry_matter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0.904 [0.899, 0.908]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dry_matter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0.750 [0.749, 0.751]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assay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0.846 [0.840, 0.852]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27.3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assay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0.912 [0.904, 0.919]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31.2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assay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0.814 [0.807, 0.819]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28.8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assay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1.000 [1.000, 1.000]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assay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0.945 [0.940, 0.951]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33.1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assay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0.946 [0.940, 0.950]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31.2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assay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0.975 [0.973, 0.977]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35.8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assay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0.853 [0.846, 0.859]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assay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0.927 [0.924, 0.930]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assay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0.915 [0.910, 0.920]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23.1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assay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0.909 [0.907, 0.912]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assay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0.914 [0.906, 0.920]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28.2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assay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0.917 [0.912, 0.922]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23.3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assay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0.918 [0.913, 0.923]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assay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0.950 [0.947, 0.952]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23.8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assay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0.926 [0.923, 0.929]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23.5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assay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0.941 [0.940, 0.943]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assay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0.914 [0.909, 0.919]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22.1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assay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0.926 [0.924, 0.928]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assay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0.933 [0.927, 0.939]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assay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0.905 [0.900, 0.910]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assay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0.904 [0.899, 0.909]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assay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0.947 [0.945, 0.949]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22.2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assay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0.939 [0.937, 0.941]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assay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0.952 [0.951, 0.953]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20.8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assay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0.926 [0.922, 0.929]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assay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0.938 [0.936, 0.939]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20.5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assay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0.922 [0.917, 0.927]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assay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0.906 [0.902, 0.910]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20.5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assay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0.905 [0.901, 0.909]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19.4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assay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0.950 [0.949, 0.952]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assay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0.949 [0.947, 0.950]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hardness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0.949 [0.949, 0.950]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hardness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0.895 [0.888, 0.902]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hardness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0.938 [0.937, 0.939]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4.66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hardness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1.000 [1.000, 1.000]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hardness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0.910 [0.903, 0.917]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4.86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hardness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0.911 [0.904, 0.918]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4.46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hardness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0.938 [0.938, 0.939]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4.67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hardness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0.938 [0.938, 0.939]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4.66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hardness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0.949 [0.949, 0.949]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4.77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hardness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0.906 [0.901, 0.911]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4.66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hardness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0.939 [0.938, 0.939]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4.68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hardness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0.910 [0.902, 0.918]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4.49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hardness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0.910 [0.904, 0.915]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4.74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hardness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0.910 [0.904, 0.916]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4.35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hardness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0.939 [0.939, 0.939]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4.69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hardness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0.939 [0.938, 0.939]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4.68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hardness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0.949 [0.948, 0.949]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4.77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hardness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0.906 [0.902, 0.910]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4.64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hardness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0.939 [0.938, 0.939]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4.68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hardness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0.934 [0.928, 0.940]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4.54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hardness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0.904 [0.899, 0.909]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4.68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hardness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0.904 [0.899, 0.908]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hardness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0.939 [0.939, 0.939]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hardness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0.939 [0.938, 0.939]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4.68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hardness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0.949 [0.948, 0.949]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4.78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hardness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0.907 [0.904, 0.911]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4.61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hardness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0.939 [0.938, 0.939]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4.69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hardness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0.919 [0.915, 0.924]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4.38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hardness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0.901 [0.897, 0.905]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4.64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hardness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0.900 [0.896, 0.903]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4.28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hardness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0.939 [0.939, 0.939]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hardness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0.939 [0.938, 0.939]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4.69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weight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0.911 [0.911, 0.912]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weight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0.907 [0.899, 0.914]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weight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0.895 [0.894, 0.896]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weight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1.000 [1.000, 1.000]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weight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0.914 [0.906, 0.921]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18.4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weight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0.919 [0.913, 0.926]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18.8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weight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0.887 [0.886, 0.888]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17.1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weight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0.895 [0.894, 0.896]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weight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0.910 [0.910, 0.911]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17.1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weight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0.905 [0.899, 0.910]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17.6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weight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0.895 [0.894, 0.895]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17.1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weight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0.914 [0.906, 0.921]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weight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0.910 [0.904, 0.915]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17.6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weight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0.906 [0.901, 0.912]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18.3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weight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0.885 [0.884, 0.886]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17.2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weight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0.895 [0.894, 0.895]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17.1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weight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0.909 [0.909, 0.910]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17.2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weight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0.896 [0.892, 0.901]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17.5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weight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0.894 [0.894, 0.895]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17.2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weight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0.932 [0.927, 0.938]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19.4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weight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0.900 [0.895, 0.905]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17.5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weight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0.898 [0.893, 0.903]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18.1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weight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0.884 [0.883, 0.885]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17.2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weight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0.894 [0.894, 0.895]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17.2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weight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0.909 [0.909, 0.910]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17.1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weight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0.907 [0.904, 0.911]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17.4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weight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0.895 [0.894, 0.895]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17.2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weight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0.926 [0.922, 0.930]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18.5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weight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0.906 [0.902, 0.909]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17.4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weight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0.905 [0.901, 0.908]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18.1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weight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0.883 [0.883, 0.884]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17.2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weight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0.895 [0.894, 0.895]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17.2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</w:tbl>
    <w:bookmarkEnd w:id="20"/>
    <w:bookmarkStart w:id="21" w:name="table-s2.-all-transfer-pipelines"/>
    <w:p>
      <w:pPr>
        <w:pStyle w:val="Heading1"/>
      </w:pPr>
      <w:r>
        <w:t xml:space="preserve">Table S2. All transfer pipelines</w:t>
      </w:r>
    </w:p>
    <w:p>
      <w:pPr>
        <w:pStyle w:val="TableCaption"/>
        <w:keepNext/>
      </w:pPr>
      <w:r>
        <w:rPr>
          <w:bCs/>
          <w:b/>
        </w:rPr>
        <w:t xml:space="preserve">Table S2.</w:t>
      </w:r>
      <w:r>
        <w:t xml:space="preserve"> </w:t>
      </w:r>
      <w:r>
        <w:t xml:space="preserve">Coverage (mean and minimum over scenarios), median interval score, RMSEP and under-covering scenarios for every transfer pipeline (α = 0.10).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S2. Coverage (mean and minimum over scenarios), median interval score, RMSEP and under-covering scenarios for every transfer pipeline (α = 0.10).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dataset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kind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method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coverage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coverage_min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IS_median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rmsep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n_under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n_scen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0.131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3.884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1.354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0.294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0.066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3.534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1.435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1.472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21.598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1.144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4.181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1.144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0.041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21.556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1.144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1.144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3.127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1.144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3.149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1.144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3.045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1.055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0.453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0.051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1.809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1.138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0.409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0.136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1.743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0.887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0.849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0.073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1.424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0.971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0.868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0.863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0.753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0.753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4.762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4.282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0.735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0.735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4.915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4.333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4.176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0.748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4.888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1.096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4.446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1.096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5.034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1.096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4.807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1.096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4.472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1.096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4.398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1.096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0.658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16.999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3.935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17.387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3.935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0.627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16.981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3.935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22.316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3.935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17.416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3.935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18.232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3.935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0.865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18.313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4.285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18.554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4.285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0.863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18.366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4.285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29.065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4.285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18.644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4.285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18.999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4.285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0.846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17.138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3.492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17.508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3.492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17.152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3.492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20.254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3.492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17.532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3.492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18.224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3.492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15.911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4.084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0.879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16.176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4.084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15.747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4.084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25.828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4.084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16.264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4.084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</w:t>
            </w:r>
          </w:p>
        </w:tc>
      </w:tr>
      <w:tr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0.906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0.9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16.462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4.084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12</w:t>
            </w:r>
          </w:p>
        </w:tc>
      </w:tr>
    </w:tbl>
    <w:bookmarkEnd w:id="21"/>
    <w:bookmarkStart w:id="22" w:name="Xad795a15bc41a66cf6fb5e961b7235c915b6357"/>
    <w:p>
      <w:pPr>
        <w:pStyle w:val="Heading1"/>
      </w:pPr>
      <w:r>
        <w:t xml:space="preserve">Table S3. Sensitivity to transfer and model settings</w:t>
      </w:r>
    </w:p>
    <w:p>
      <w:pPr>
        <w:pStyle w:val="TableCaption"/>
        <w:keepNext/>
      </w:pPr>
      <w:r>
        <w:rPr>
          <w:bCs/>
          <w:b/>
        </w:rPr>
        <w:t xml:space="preserve">Table S3.</w:t>
      </w:r>
      <w:r>
        <w:t xml:space="preserve"> </w:t>
      </w:r>
      <w:r>
        <w:t xml:space="preserve">Sensitivity to the PDS half-window (hw1 = 3 channels, hw3 = 7, hw5 = 11; the primary analysis used 5 channels) and to the number of latent variables (lv ±2).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S3. Sensitivity to the PDS half-window (hw1 = 3 channels, hw3 = 7, hw5 = 11; the primary analysis used 5 channels) and to the number of latent variables (lv ±2).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dataset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setting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method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coverage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coverage_min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IS_median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rmsep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n_under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n_scen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2.655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0.237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0.237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0.496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0.064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1.566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0.237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0.237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1.057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0.237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1.083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0.237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0.588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0.217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0.237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0.028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3.314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0.348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0.348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0.404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0.056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2.363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0.348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0.348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1.313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0.348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1.272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0.348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0.509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0.217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0.348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4.362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1.549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0.053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4.002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1.735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1.512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0.189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3.136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0.283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1.047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0.283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0.436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0.059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1.872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0.283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0.283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0.283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0.283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0.237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0.283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0.051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2.488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0.083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1.616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1.161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0.589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2.741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0.737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0.737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5.054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4.538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5.186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4.989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4.612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4.535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0.734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0.734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0.757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0.757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4.587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0.745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0.745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5.117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4.968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4.642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4.544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0.793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0.793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20.805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4.767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21.754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4.767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20.589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4.767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23.102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4.767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21.903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4.767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20.449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4.767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22.007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4.767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22.434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24.192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22.73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33.539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24.22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23.243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24.208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0.867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0.867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25.273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27.218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0.837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0.837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26.267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37.461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27.284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26.505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29.995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22.363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24.135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0.876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0.876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23.175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26.722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24.74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21.987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29.591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6.999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31.299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6.999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29.915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6.999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37.834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6.999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32.295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6.999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28.684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6.999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0.92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0.92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30.799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6.999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</w:tbl>
    <w:bookmarkEnd w:id="22"/>
    <w:bookmarkStart w:id="23" w:name="table-s4.-computational-cost"/>
    <w:p>
      <w:pPr>
        <w:pStyle w:val="Heading1"/>
      </w:pPr>
      <w:r>
        <w:t xml:space="preserve">Table S4. Computational cost</w:t>
      </w:r>
    </w:p>
    <w:p>
      <w:pPr>
        <w:pStyle w:val="TableCaption"/>
        <w:keepNext/>
      </w:pPr>
      <w:r>
        <w:rPr>
          <w:bCs/>
          <w:b/>
        </w:rPr>
        <w:t xml:space="preserve">Table S4.</w:t>
      </w:r>
      <w:r>
        <w:t xml:space="preserve"> </w:t>
      </w:r>
      <w:r>
        <w:t xml:space="preserve">Wall-clock time and peak memory (single CPU core, median of 20 runs).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S4. Wall-clock time and peak memory (single CPU core, median of 20 runs).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dataset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kind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m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n_test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n_channels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step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median_s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p90_s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peak_mem_MB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source_model_fit_s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point prediction only (1 transfer fit)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0.0046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0.0061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0.8785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0.1027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 (1 fit)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0.0047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0.0065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0.7389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0.1027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 incl. m LOO + 5 CV fits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0.1469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0.1572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1.2104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0.1027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point prediction only (1 transfer fit)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0.0243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0.0298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14.3825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0.2743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 (1 fit)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0.0259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0.0265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14.3831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0.2743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 incl. m LOO + 5 CV fits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2.7857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2.9018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15.2063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0.2743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point prediction only (1 transfer fit)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0.0004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0.0005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1.1246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1.4279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 (1 fit)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0.0004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0.0004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1.1246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1.4279</w:t>
            </w:r>
          </w:p>
        </w:tc>
      </w:tr>
      <w:tr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675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103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TJ+N incl. m LOO + 5 CV fits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0.0635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0.0742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3.1352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1.4279</w:t>
            </w:r>
          </w:p>
        </w:tc>
      </w:tr>
    </w:tbl>
    <w:bookmarkEnd w:id="23"/>
    <w:bookmarkStart w:id="24" w:name="table-s5.-paired-tests"/>
    <w:p>
      <w:pPr>
        <w:pStyle w:val="Heading1"/>
      </w:pPr>
      <w:r>
        <w:t xml:space="preserve">Table S5. Paired tests</w:t>
      </w:r>
    </w:p>
    <w:p>
      <w:pPr>
        <w:pStyle w:val="TableCaption"/>
        <w:keepNext/>
      </w:pPr>
      <w:r>
        <w:rPr>
          <w:bCs/>
          <w:b/>
        </w:rPr>
        <w:t xml:space="preserve">Table S5.</w:t>
      </w:r>
      <w:r>
        <w:t xml:space="preserve"> </w:t>
      </w:r>
      <w:r>
        <w:t xml:space="preserve">Paired Wilcoxon signed-rank tests of per-repetition interval score, TJ+N against each method: number of scenarios with a significantly lower (better) or higher (worse) score for TJ+N (Holm-adjusted p &lt; 0.05 within scenario) and median matched-pairs rank-biserial correlation (negative = TJ+N better).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S5. Paired Wilcoxon signed-rank tests of per-repetition interval score, TJ+N against each method: number of scenarios with a significantly lower (better) or higher (worse) score for TJ+N (Holm-adjusted p &lt; 0.05 within scenario) and median matched-pairs rank-biserial correlation (negative = TJ+N better)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dataset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other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n_scen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n_sig_TJ_better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median_rank_biserial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n_sig_TJ_worse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-0.978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0.143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LF-conv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0.056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-0.681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-1.0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-1.0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TCV+N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-0.417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-0.157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TJ+N[Q]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-0.335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TJ+N[T2]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0.172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TJ-insample-N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0.559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TJ-naive-N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-0.33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-0.918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-0.929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-0.26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-0.965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-0.861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-0.771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TCV+N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-0.186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-0.54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TJ+N[Q]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-0.5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TJ+N[T2]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-0.132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TJ-insample-N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0.065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TJ-naive-N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-1.0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-0.18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-0.55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LF-conv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-0.111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-0.144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-0.977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-0.799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TCV+N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0.038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-0.816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TJ+N[Q]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-0.636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TJ+N[T2]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0.127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TJ-insample-N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-0.246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TJ-naive-N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0.172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-0.535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12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7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-0.624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5</w:t>
            </w:r>
          </w:p>
        </w:tc>
      </w:tr>
    </w:tbl>
    <w:bookmarkEnd w:id="24"/>
    <w:bookmarkStart w:id="25" w:name="Xb8e99d54518c2b6e275719d37849715cc5e1887"/>
    <w:p>
      <w:pPr>
        <w:pStyle w:val="Heading1"/>
      </w:pPr>
      <w:r>
        <w:t xml:space="preserve">Table S6. Independent instrument shift (mango, E8)</w:t>
      </w:r>
    </w:p>
    <w:p>
      <w:pPr>
        <w:pStyle w:val="TableCaption"/>
        <w:keepNext/>
      </w:pPr>
      <w:r>
        <w:rPr>
          <w:bCs/>
          <w:b/>
        </w:rPr>
        <w:t xml:space="preserve">Table S6.</w:t>
      </w:r>
      <w:r>
        <w:t xml:space="preserve"> </w:t>
      </w:r>
      <w:r>
        <w:t xml:space="preserve">Mango instrument transfer (source instrument 15006; α = 0.10; 200 repetitions).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S6. Mango instrument transfer (source instrument 15006; α = 0.10; 200 repetitions)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Pipeline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Target instrument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m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Method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Coverage [95% CI]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Median IS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RMSEP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Under-covering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0.295 [0.270, 0.318]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44.2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5.594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0.928 [0.916, 0.940]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5.594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LF-conv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0.878 [0.861, 0.894]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23.6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5.594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0.280 [0.256, 0.304]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5.594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1.000 [1.000, 1.000]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5.594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0.972 [0.965, 0.979]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27.7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5.594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0.973 [0.968, 0.978]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23.6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5.594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0.974 [0.964, 0.983]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37.6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5.594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0.277 [0.254, 0.300]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5.594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0.738 [0.732, 0.744]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5.79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0.899 [0.887, 0.910]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0.726 [0.720, 0.732]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1.000 [1.000, 1.000]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0.915 [0.905, 0.926]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0.918 [0.906, 0.929]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5.55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0.999 [0.999, 0.999]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0.357 [0.334, 0.382]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4.017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0.914 [0.903, 0.925]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14.8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4.017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LF-conv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0.894 [0.883, 0.905]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4.017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0.345 [0.322, 0.370]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4.017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0.913 [0.900, 0.924]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14.6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4.017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0.933 [0.925, 0.940]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14.8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4.017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0.941 [0.934, 0.947]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11.9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4.017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0.958 [0.947, 0.968]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4.017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0.309 [0.286, 0.331]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52.2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4.017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0.762 [0.759, 0.765]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1.141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0.901 [0.893, 0.909]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5.01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1.141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0.751 [0.748, 0.754]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1.141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0.912 [0.901, 0.923]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5.42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1.141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0.910 [0.900, 0.919]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1.141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0.912 [0.903, 0.921]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1.141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1.000 [0.999, 1.000]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1.141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0.400 [0.375, 0.426]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23.8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3.421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0.912 [0.904, 0.920]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3.421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LF-conv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0.888 [0.879, 0.897]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3.421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0.389 [0.362, 0.416]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3.421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0.939 [0.930, 0.946]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3.421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0.922 [0.915, 0.928]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11.9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3.421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0.924 [0.918, 0.929]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3.421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0.955 [0.943, 0.965]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3.421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0.356 [0.332, 0.380]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35.3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3.421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0.768 [0.765, 0.770]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1.127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0.903 [0.897, 0.910]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4.88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1.127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0.756 [0.753, 0.759]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5.42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1.127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0.938 [0.929, 0.945]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1.127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0.906 [0.898, 0.913]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4.93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1.127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0.906 [0.898, 0.913]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1.127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1.000 [0.999, 1.000]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1.127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0.408 [0.380, 0.436]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18.9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3.43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0.904 [0.897, 0.911]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9.91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3.43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LF-conv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0.885 [0.877, 0.892]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3.43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0.397 [0.371, 0.425]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19.4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3.43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0.920 [0.912, 0.927]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10.7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3.43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0.907 [0.901, 0.912]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3.43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0.909 [0.904, 0.915]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8.42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3.43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0.945 [0.932, 0.958]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3.43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0.356 [0.331, 0.381]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3.43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0.773 [0.772, 0.774]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5.28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0.896 [0.891, 0.902]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0.762 [0.760, 0.763]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0.924 [0.917, 0.931]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0.899 [0.893, 0.905]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4.84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0.899 [0.893, 0.905]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4.77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1.000 [1.000, 1.000]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0.219 [0.203, 0.236]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66.2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7.401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0.922 [0.907, 0.935]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29.5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7.401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LF-conv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0.859 [0.840, 0.878]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31.5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7.401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0.204 [0.188, 0.220]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68.9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7.401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1.000 [1.000, 1.000]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7.401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0.956 [0.945, 0.966]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36.5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7.401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0.965 [0.956, 0.973]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27.6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7.401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0.989 [0.984, 0.994]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69.2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7.401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0.151 [0.139, 0.164]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176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7.401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0.767 [0.761, 0.772]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5.55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1.224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0.894 [0.881, 0.907]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1.224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0.729 [0.723, 0.735]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5.88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1.224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1.000 [1.000, 1.000]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1.224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0.902 [0.888, 0.917]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5.64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1.224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0.905 [0.891, 0.919]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6.34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1.224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1.000 [1.000, 1.000]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1.224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0.262 [0.246, 0.279]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5.086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0.921 [0.912, 0.930]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5.086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LF-conv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0.906 [0.895, 0.915]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5.086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0.248 [0.233, 0.263]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51.8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5.086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0.923 [0.913, 0.933]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5.086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0.929 [0.922, 0.937]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5.086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0.942 [0.935, 0.948]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17.1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5.086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0.991 [0.986, 0.995]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44.1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5.086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0.159 [0.148, 0.170]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74.3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5.086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0.790 [0.786, 0.793]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1.173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0.900 [0.891, 0.908]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1.173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0.753 [0.750, 0.756]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5.49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1.173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0.905 [0.894, 0.916]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6.09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1.173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0.905 [0.895, 0.914]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1.173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0.905 [0.896, 0.914]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5.55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1.173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1.000 [1.000, 1.000]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1.173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0.293 [0.279, 0.308]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43.1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 [0.908, 0.923]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LF-conv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0.897 [0.889, 0.905]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18.5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0.280 [0.266, 0.294]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44.5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0.938 [0.930, 0.946]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17.9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0.918 [0.912, 0.925]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18.1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0.915 [0.909, 0.922]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14.2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0.984 [0.977, 0.989]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32.7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0.168 [0.158, 0.178]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54.4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0.797 [0.794, 0.800]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1.155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0.902 [0.895, 0.909]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4.89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1.155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0.761 [0.758, 0.763]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1.155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0.937 [0.928, 0.945]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6.08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1.155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0.900 [0.893, 0.908]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4.93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1.155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0.901 [0.894, 0.909]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1.155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1.000 [1.000, 1.000]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1.155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0.317 [0.304, 0.331]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36.9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3.924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0.911 [0.905, 0.916]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16.5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3.924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LF-conv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0.896 [0.890, 0.902]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16.4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3.924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0.304 [0.291, 0.317]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3.924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0.921 [0.914, 0.928]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14.6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3.924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0.903 [0.898, 0.909]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16.2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3.924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0.907 [0.902, 0.913]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12.6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3.924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0.984 [0.980, 0.988]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26.4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3.924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0.175 [0.167, 0.184]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46.1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3.924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0.803 [0.801, 0.805]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1.141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0.905 [0.900, 0.910]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4.79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1.141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0.766 [0.763, 0.767]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5.28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1.141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 [0.908, 0.923]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5.41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1.141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0.902 [0.897, 0.908]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4.83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1.141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0.903 [0.897, 0.908]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5.17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1.141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1.000 [1.000, 1.000]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1.141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0.332 [0.311, 0.352]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30.8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3.95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0.923 [0.907, 0.937]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16.6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3.95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LF-conv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0.866 [0.847, 0.884]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16.9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3.95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0.320 [0.299, 0.340]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31.6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3.95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1.000 [1.000, 1.000]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3.95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0.961 [0.953, 0.968]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19.6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3.95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0.960 [0.953, 0.965]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17.6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3.95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0.992 [0.988, 0.996]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42.5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3.95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0.308 [0.286, 0.329]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3.95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0.773 [0.765, 0.780]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1.155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0.893 [0.880, 0.905]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1.155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0.763 [0.756, 0.770]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5.42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1.155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1.000 [1.000, 1.000]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1.155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0.910 [0.898, 0.922]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5.51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1.155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0.910 [0.898, 0.922]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5.66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1.155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0.999 [0.999, 0.999]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1.155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0.408 [0.390, 0.426]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2.779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0.920 [0.910, 0.929]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2.779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LF-conv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0.900 [0.889, 0.911]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10.8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2.779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0.397 [0.379, 0.415]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2.779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0.909 [0.898, 0.920]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2.779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0.924 [0.915, 0.932]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2.779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0.922 [0.914, 0.930]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10.6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2.779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0.989 [0.984, 0.993]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24.5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2.779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0.364 [0.344, 0.385]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27.9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2.779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0.796 [0.792, 0.799]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0.898 [0.889, 0.906]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0.787 [0.783, 0.790]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5.11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0.899 [0.887, 0.911]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5.41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0.905 [0.895, 0.913]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0.906 [0.897, 0.915]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0.999 [0.999, 0.999]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0.458 [0.437, 0.479]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16.1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2.398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 [0.908, 0.923]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8.73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2.398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LF-conv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0.892 [0.883, 0.900]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8.77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2.398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0.448 [0.428, 0.469]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16.5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2.398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0.934 [0.925, 0.943]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11.6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2.398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0.915 [0.908, 0.922]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9.24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2.398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0.910 [0.904, 0.917]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8.94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2.398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0.989 [0.985, 0.993]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16.6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2.398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0.413 [0.392, 0.433]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19.3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2.398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0.802 [0.800, 0.805]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0.897 [0.891, 0.903]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0.793 [0.790, 0.795]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4.97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0.935 [0.927, 0.943]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5.23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0.902 [0.895, 0.909]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0.902 [0.895, 0.909]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4.84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0.999 [0.999, 0.999]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0.507 [0.488, 0.525]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2.032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0.905 [0.900, 0.910]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7.55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2.032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LF-conv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0.881 [0.876, 0.886]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7.66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2.032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0.497 [0.479, 0.514]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12.7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2.032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0.917 [0.909, 0.925]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9.22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2.032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0.903 [0.898, 0.908]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7.6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2.032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0.907 [0.901, 0.912]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7.6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2.032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0.983 [0.978, 0.988]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13.3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2.032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0.469 [0.449, 0.488]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13.5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2.032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0.806 [0.804, 0.808]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4.84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1.057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0.906 [0.901, 0.911]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4.58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1.057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0.796 [0.794, 0.798]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1.057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0.923 [0.915, 0.930]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4.93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1.057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0.911 [0.906, 0.916]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4.63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1.057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0.910 [0.905, 0.915]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4.69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1.057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  <w:tr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15029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0.999 [0.999, 0.999]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∞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1.057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False</w:t>
            </w:r>
          </w:p>
        </w:tc>
      </w:tr>
    </w:tbl>
    <w:bookmarkEnd w:id="25"/>
    <w:bookmarkStart w:id="26" w:name="Xbccf9b4fce8d6139d553f384675666321165c4e"/>
    <w:p>
      <w:pPr>
        <w:pStyle w:val="Heading1"/>
      </w:pPr>
      <w:r>
        <w:t xml:space="preserve">Table S7. Scaling of computational cost with m</w:t>
      </w:r>
    </w:p>
    <w:p>
      <w:pPr>
        <w:pStyle w:val="TableCaption"/>
        <w:keepNext/>
      </w:pPr>
      <w:r>
        <w:rPr>
          <w:bCs/>
          <w:b/>
        </w:rPr>
        <w:t xml:space="preserve">Table S7.</w:t>
      </w:r>
      <w:r>
        <w:t xml:space="preserve"> </w:t>
      </w:r>
      <w:r>
        <w:t xml:space="preserve">Wall-clock time of a single transfer fit with prediction and of TJ+N (including five CV+ refits) versus the number of standards m (single CPU core, median of 10 runs).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Caption w:val="Table S7. Wall-clock time of a single transfer fit with prediction and of TJ+N (including five CV+ refits) versus the number of standards m (single CPU core, median of 10 runs)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dataset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kind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m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n_test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step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median_s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single transfer fit + prediction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0.0047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 (m LOO + 5 CV fits)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0.101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single transfer fit + prediction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0.0044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 (m LOO + 5 CV fits)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single transfer fit + prediction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0.0349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 (m LOO + 5 CV fits)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0.8028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440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single transfer fit + prediction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0.0239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440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 (m LOO + 5 CV fits)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1.2477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single transfer fit + prediction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0.0248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 (m LOO + 5 CV fits)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1.7399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single transfer fit + prediction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0.0227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 (m LOO + 5 CV fits)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2.56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single transfer fit + prediction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0.0004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 (m LOO + 5 CV fits)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0.0226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single transfer fit + prediction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0.0005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 (m LOO + 5 CV fits)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0.033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695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single transfer fit + prediction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0.0004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695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 (m LOO + 5 CV fits)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0.0425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single transfer fit + prediction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0.0004</w:t>
            </w:r>
          </w:p>
        </w:tc>
      </w:tr>
      <w:tr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675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TJ+N (m LOO + 5 CV fits)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0.0634</w:t>
            </w:r>
          </w:p>
        </w:tc>
      </w:tr>
    </w:tbl>
    <w:bookmarkEnd w:id="26"/>
    <w:bookmarkStart w:id="27" w:name="X670035dc26ac0b56b96452156942080fc74e09f"/>
    <w:p>
      <w:pPr>
        <w:pStyle w:val="Heading1"/>
      </w:pPr>
      <w:r>
        <w:t xml:space="preserve">Table S8. Normalised Gaussian competitor (E9)</w:t>
      </w:r>
    </w:p>
    <w:p>
      <w:pPr>
        <w:pStyle w:val="TableCaption"/>
        <w:keepNext/>
      </w:pPr>
      <w:r>
        <w:rPr>
          <w:bCs/>
          <w:b/>
        </w:rPr>
        <w:t xml:space="preserve">Table S8.</w:t>
      </w:r>
      <w:r>
        <w:t xml:space="preserve"> </w:t>
      </w:r>
      <w:r>
        <w:t xml:space="preserve">TJ+N versus Gaussian leave-one-out intervals without (Gauss-LOO) and with (Gauss-LOO-N) difficulty normalisation (200 repetitions; corn and tablets PDS, mango SBC, mango instruments PDS and SBC).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S8. TJ+N versus Gaussian leave-one-out intervals without (Gauss-LOO) and with (Gauss-LOO-N) difficulty normalisation (200 repetitions; corn and tablets PDS, mango SBC, mango instruments PDS and SBC)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Set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Method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α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Mean coverage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Under-covering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Median IS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Median width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1.27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0.863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0.818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0.878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0.658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0.811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0.683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0.986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0.996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0.835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0.732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4.33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4.45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3.59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1/4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3.76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2.76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4.29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4.38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3.55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0.790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2/4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3.72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2.74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4.41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2.83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mango_inst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7.48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6.35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mango_inst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6.46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mango_inst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4.01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mango_inst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7.88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6.67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mango_inst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6.64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mango_inst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5.44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4.22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mango_inst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0.974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11.9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7.73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mango_inst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6.97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5.74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mango_inst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0.827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5.48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4.22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16.5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17.5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13.7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14.9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10.6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18.1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13.3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0.819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14.8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10.3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0.971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24.7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18.4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18.2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13</w:t>
            </w:r>
          </w:p>
        </w:tc>
      </w:tr>
      <w:tr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0.2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0.820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14.8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</w:tr>
    </w:tbl>
    <w:bookmarkEnd w:id="27"/>
    <w:bookmarkStart w:id="28" w:name="table-s9.-robustness"/>
    <w:p>
      <w:pPr>
        <w:pStyle w:val="Heading1"/>
      </w:pPr>
      <w:r>
        <w:t xml:space="preserve">Table S9. Robustness</w:t>
      </w:r>
    </w:p>
    <w:p>
      <w:pPr>
        <w:pStyle w:val="TableCaption"/>
        <w:keepNext/>
      </w:pPr>
      <w:r>
        <w:rPr>
          <w:bCs/>
          <w:b/>
        </w:rPr>
        <w:t xml:space="preserve">Table S9.</w:t>
      </w:r>
      <w:r>
        <w:t xml:space="preserve"> </w:t>
      </w:r>
      <w:r>
        <w:t xml:space="preserve">Robustness experiment E4 (α = 0.10; corn m = 15, tablets assay and mango m = 20; 200 repetitions): mean and minimum coverage over scenarios, median interval score and under-covering scenarios.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S9. Robustness experiment E4 (α = 0.10; corn m = 15, tablets assay and mango m = 20; 200 repetitions): mean and minimum coverage over scenarios, median interval score and under-covering scenarios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dataset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variant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method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coverage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coverage_min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IS_median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n_under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n_scen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0.335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0.071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2.841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0.157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1.627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1.183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0.355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2.929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1.048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0.067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1.813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1.185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0.554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0.181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3.558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1.167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0.327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0.058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3.197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1.306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1.261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0.473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0.238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0.234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0.037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2.983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1.044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0.456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0.066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1.794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0.554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0.036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3.006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1.054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0.446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0.065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1.97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1.168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0.548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0.086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18.75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13.629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0.074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19.4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0.286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0.058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9.399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0.843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0.679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5.656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0.361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30.404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0.079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19.718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0.151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14.643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0.067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20.582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0.262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10.341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0.823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5.795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0.497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0.755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0.755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4.864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4.46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4.887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4.857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4.51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4.479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0.785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0.785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4.888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4.994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5.028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5.337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5.005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4.958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0.739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0.739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13.075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7.863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13.545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8.261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7.968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7.627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0.744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0.744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5.038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4.554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5.186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4.957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4.63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4.54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0.693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0.693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6.271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5.235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6.478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5.722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5.328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5.149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0.685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0.685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0.023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0.023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50.584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42.187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0.018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0.018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52.878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0.789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0.789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13.758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0.081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0.081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41.036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13.493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0.109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0.109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30.41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25.282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0.069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0.069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34.439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15.736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24.705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0.974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0.974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14.14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0.971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0.971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21.998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20.21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20.65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22.635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20.01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19.729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21.402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21.237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23.123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21.252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25.461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23.808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20.831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21.95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21.563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23.167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21.729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28.094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23.109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22.03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23.533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21.591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23.064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21.695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27.687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23.01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22.036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23.478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21.568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23.077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21.718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27.932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23.032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22.011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23.397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304.33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300.236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314.736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0.253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0.253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226.108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0.034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0.034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286.928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0.069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0.069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259.707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0.022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0.022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340.682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350.126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0.018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0.018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347.84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360.886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245.495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341.348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299.11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0.015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0.015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444.978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</w:tbl>
    <w:bookmarkEnd w:id="28"/>
    <w:bookmarkStart w:id="29" w:name="table-s10.-sub-channel-drift"/>
    <w:p>
      <w:pPr>
        <w:pStyle w:val="Heading1"/>
      </w:pPr>
      <w:r>
        <w:t xml:space="preserve">Table S10. Sub-channel drift</w:t>
      </w:r>
    </w:p>
    <w:p>
      <w:pPr>
        <w:pStyle w:val="TableCaption"/>
        <w:keepNext/>
      </w:pPr>
      <w:r>
        <w:rPr>
          <w:bCs/>
          <w:b/>
        </w:rPr>
        <w:t xml:space="preserve">Table S10.</w:t>
      </w:r>
      <w:r>
        <w:t xml:space="preserve"> </w:t>
      </w:r>
      <w:r>
        <w:t xml:space="preserve">Coverage under a ±0.25-channel wavelength shift of the test spectra after standardisation (α = 0.10; 200 repetitions).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Caption w:val="Table S10. Coverage under a ±0.25-channel wavelength shift of the test spectra after standardisation (α = 0.10; 200 repetitions)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dataset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shift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method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coverage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coverage_min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under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0.672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0.259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0.781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0.879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0.459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0.281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0.665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0.251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0.781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0.746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0.839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0.501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0.781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0.781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0.885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0.885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0.786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0.786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0.861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0.861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0.619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0.619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0.682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0.682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0.659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0.659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0.682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0.682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0.663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0.663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0.659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0.659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0.697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0.697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0.668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0.668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0.661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0.661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0.658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0.658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0.671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0.671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</w:tbl>
    <w:bookmarkEnd w:id="29"/>
    <w:bookmarkStart w:id="33" w:name="fig.-s1.-cnn-training"/>
    <w:p>
      <w:pPr>
        <w:pStyle w:val="Heading1"/>
      </w:pPr>
      <w:r>
        <w:t xml:space="preserve">Fig. S1. CNN training</w:t>
      </w:r>
    </w:p>
    <w:p>
      <w:pPr>
        <w:pStyle w:val="CaptionedFigure"/>
        <w:keepNext/>
        <w:jc w:val="center"/>
      </w:pPr>
      <w:r>
        <w:drawing>
          <wp:inline>
            <wp:extent cx="4319999" cy="2821734"/>
            <wp:effectExtent b="0" l="0" r="0" t="0"/>
            <wp:docPr descr="Fig. S1. Training and validation loss of the 1D-CNN (mango, seasons 1–3)." title="" id="31" name="Picture"/>
            <a:graphic>
              <a:graphicData uri="http://schemas.openxmlformats.org/drawingml/2006/picture">
                <pic:pic>
                  <pic:nvPicPr>
                    <pic:cNvPr descr="figures/figS1_cnn_training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2821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Fig. S1.</w:t>
      </w:r>
      <w:r>
        <w:t xml:space="preserve"> </w:t>
      </w:r>
      <w:r>
        <w:t xml:space="preserve">Training and validation loss of the 1D-CNN (mango, seasons 1–3).</w:t>
      </w:r>
    </w:p>
    <w:bookmarkEnd w:id="33"/>
    <w:bookmarkStart w:id="37" w:name="fig.-s2.-friedman-ranks"/>
    <w:p>
      <w:pPr>
        <w:pStyle w:val="Heading1"/>
      </w:pPr>
      <w:r>
        <w:t xml:space="preserve">Fig. S2. Friedman ranks</w:t>
      </w:r>
    </w:p>
    <w:p>
      <w:pPr>
        <w:pStyle w:val="CaptionedFigure"/>
        <w:keepNext/>
        <w:jc w:val="center"/>
      </w:pPr>
      <w:r>
        <w:drawing>
          <wp:inline>
            <wp:extent cx="4319999" cy="2795415"/>
            <wp:effectExtent b="0" l="0" r="0" t="0"/>
            <wp:docPr descr="Fig. S2. Mean Friedman ranks of the scenario median interval score over the 40 primary scenarios (1 = best)." title="" id="35" name="Picture"/>
            <a:graphic>
              <a:graphicData uri="http://schemas.openxmlformats.org/drawingml/2006/picture">
                <pic:pic>
                  <pic:nvPicPr>
                    <pic:cNvPr descr="figures/figS2_friedman_rank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2795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Fig. S2.</w:t>
      </w:r>
      <w:r>
        <w:t xml:space="preserve"> </w:t>
      </w:r>
      <w:r>
        <w:t xml:space="preserve">Mean Friedman ranks of the scenario median interval score over the 40 primary scenarios (1 = best).</w:t>
      </w:r>
    </w:p>
    <w:bookmarkEnd w:id="37"/>
    <w:bookmarkStart w:id="41" w:name="fig.-s3.-computational-cost"/>
    <w:p>
      <w:pPr>
        <w:pStyle w:val="Heading1"/>
      </w:pPr>
      <w:r>
        <w:t xml:space="preserve">Fig. S3. Computational cost</w:t>
      </w:r>
    </w:p>
    <w:p>
      <w:pPr>
        <w:pStyle w:val="CaptionedFigure"/>
        <w:keepNext/>
        <w:jc w:val="center"/>
      </w:pPr>
      <w:r>
        <w:drawing>
          <wp:inline>
            <wp:extent cx="4319999" cy="2491969"/>
            <wp:effectExtent b="0" l="0" r="0" t="0"/>
            <wp:docPr descr="Fig. S3. Wall-clock time per test batch (single CPU core, median of 20 runs, logarithmic scale)." title="" id="39" name="Picture"/>
            <a:graphic>
              <a:graphicData uri="http://schemas.openxmlformats.org/drawingml/2006/picture">
                <pic:pic>
                  <pic:nvPicPr>
                    <pic:cNvPr descr="figures/fig9_timing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2491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Fig. S3.</w:t>
      </w:r>
      <w:r>
        <w:t xml:space="preserve"> </w:t>
      </w:r>
      <w:r>
        <w:t xml:space="preserve">Wall-clock time per test batch (single CPU core, median of 20 runs, logarithmic scale).</w:t>
      </w:r>
    </w:p>
    <w:bookmarkEnd w:id="41"/>
    <w:sectPr>
      <w:footerReference r:id="rId9" w:type="default"/>
      <w:pgSz w:h="16838" w:w="11906"/>
      <w:pgMar w:bottom="1417" w:left="1417" w:right="1417" w:top="1417"/>
      <w:lnNumType w:countBy="1" w:distance="283" w:restart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480" w:lineRule="auto"/>
    </w:pPr>
    <w:rPr>
      <w:rFonts w:ascii="Times New Roman" w:cs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20" w:before="0" w:line="480" w:lineRule="auto"/>
    </w:pPr>
    <w:qFormat/>
    <w:rPr>
      <w:rFonts w:ascii="Times New Roman" w:cs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480" w:lineRule="auto"/>
    </w:pPr>
    <w:rPr>
      <w:rFonts w:ascii="Times New Roman" w:cs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0" w:before="0" w:line="240" w:lineRule="auto"/>
    </w:pPr>
    <w:rPr>
      <w:rFonts w:ascii="Times New Roman" w:cs="Times New Roman" w:eastAsia="Times New Roman" w:hAnsi="Times New Roman"/>
      <w:color w:val="000000"/>
      <w:sz w:val="19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0" w:line="360" w:lineRule="auto"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Times New Roman" w:cs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120" w:before="0" w:line="480" w:lineRule="auto"/>
    </w:pPr>
    <w:rPr>
      <w:rFonts w:ascii="Times New Roman" w:cs="Times New Roman" w:eastAsia="Times New Roman" w:hAnsi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 w:line="360" w:lineRule="auto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360" w:lineRule="auto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 w:line="360" w:lineRule="auto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asciiTheme="majorHAnsi" w:cs="Times New Roman" w:cstheme="majorBidi" w:eastAsia="Times New Roman" w:eastAsiaTheme="majorEastAsia" w:hAnsi="Times New Roman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asciiTheme="majorHAnsi" w:cs="Times New Roman" w:cstheme="majorBidi" w:eastAsia="Times New Roman" w:eastAsiaTheme="majorEastAsia" w:hAnsi="Times New Roman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asciiTheme="majorHAnsi" w:cs="Times New Roman" w:cstheme="majorBidi" w:eastAsia="Times New Roman" w:eastAsiaTheme="majorEastAsia" w:hAnsi="Times New Roman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asciiTheme="majorHAnsi" w:cs="Times New Roman" w:cstheme="majorBidi" w:eastAsia="Times New Roman" w:eastAsiaTheme="majorEastAsia" w:hAnsi="Times New Roman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asciiTheme="majorHAnsi" w:cs="Times New Roman" w:cstheme="majorBidi" w:eastAsia="Times New Roman" w:eastAsiaTheme="majorEastAsia" w:hAnsi="Times New Roman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asciiTheme="majorHAnsi" w:cs="Times New Roman" w:cstheme="majorBidi" w:eastAsia="Times New Roman" w:eastAsiaTheme="majorEastAsia" w:hAnsi="Times New Roman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  <w:color w:val="000000"/>
    </w:rPr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  <w:color w:val="000000"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  <w:color w:val="000000"/>
    </w:rPr>
  </w:style>
  <w:style w:styleId="Caption" w:type="paragraph">
    <w:name w:val="Caption"/>
    <w:basedOn w:val="Normal"/>
    <w:link w:val="BodyTextChar"/>
    <w:pPr>
      <w:spacing w:after="200" w:before="0" w:line="276" w:lineRule="auto"/>
    </w:pPr>
    <w:rPr>
      <w:rFonts w:ascii="Times New Roman" w:cs="Times New Roman" w:eastAsia="Times New Roman" w:hAnsi="Times New Roman"/>
      <w:i w:val="0"/>
      <w:color w:val="000000"/>
      <w:sz w:val="20"/>
    </w:rPr>
  </w:style>
  <w:style w:customStyle="1" w:styleId="TableCaption" w:type="paragraph">
    <w:name w:val="Table Caption"/>
    <w:basedOn w:val="Caption"/>
    <w:pPr>
      <w:keepNext/>
      <w:spacing w:after="200" w:before="0" w:line="276" w:lineRule="auto"/>
    </w:pPr>
    <w:rPr>
      <w:rFonts w:ascii="Times New Roman" w:cs="Times New Roman" w:eastAsia="Times New Roman" w:hAnsi="Times New Roman"/>
      <w:i w:val="0"/>
      <w:color w:val="000000"/>
      <w:sz w:val="20"/>
    </w:rPr>
  </w:style>
  <w:style w:customStyle="1" w:styleId="ImageCaption" w:type="paragraph">
    <w:name w:val="Image Caption"/>
    <w:basedOn w:val="Caption"/>
    <w:pPr>
      <w:spacing w:after="200" w:before="0" w:line="276" w:lineRule="auto"/>
    </w:pPr>
    <w:rPr>
      <w:rFonts w:ascii="Times New Roman" w:cs="Times New Roman" w:eastAsia="Times New Roman" w:hAnsi="Times New Roman"/>
      <w:i w:val="0"/>
      <w:color w:val="000000"/>
      <w:sz w:val="20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  <w:color w:val="000000"/>
    </w:rPr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  <w:color w:val="000000"/>
    </w:rPr>
  </w:style>
  <w:style w:styleId="FootnoteReference" w:type="character">
    <w:name w:val="Footnote Reference"/>
    <w:basedOn w:val="BodyTextChar"/>
    <w:rPr>
      <w:rFonts w:ascii="Times New Roman" w:cs="Times New Roman" w:eastAsia="Times New Roman" w:hAnsi="Times New Roma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="Times New Roman" w:cstheme="majorBidi" w:eastAsia="Times New Roman" w:eastAsiaTheme="majorEastAsia" w:hAnsi="Times New Roman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38" Type="http://schemas.openxmlformats.org/officeDocument/2006/relationships/image" Target="media/rId38.png"/><Relationship Id="rId30" Type="http://schemas.openxmlformats.org/officeDocument/2006/relationships/image" Target="media/rId30.png"/><Relationship Id="rId34" Type="http://schemas.openxmlformats.org/officeDocument/2006/relationships/image" Target="media/rId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</dc:title>
  <dc:creator/>
  <cp:keywords/>
  <dcterms:created xsi:type="dcterms:W3CDTF">2026-10-14T00:26:00Z</dcterms:created>
  <dcterms:modified xsi:type="dcterms:W3CDTF">2026-10-14T00:26:00Z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Valid prediction intervals for transferred NIR calibrations: reusing the transfer standards with a leave-one-standard-out jackknife+</vt:lpwstr>
  </property>
</Properties>
</file>