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multivariate</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the transfer step (e.g., piecewise direct standardisation) is re-fitted on the others, and the leave-one-out residuals, normalised by a difficulty function of Hotelling T² and Q residuals learned from source data,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All methods failed under wavelength drift occurring after standardisation.</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 corrects for covariate shift</w:t>
      </w:r>
      <w:r>
        <w:t xml:space="preserve"> </w:t>
      </w:r>
      <w:r>
        <w:t xml:space="preserve">[28]</w:t>
      </w:r>
      <w:r>
        <w:t xml:space="preserve">, but an instrument change alters the relation between spectrum and property, not only the spectral distribution. Transporting calibration data between paired domains has very recently been proposed for classification</w:t>
      </w:r>
      <w:r>
        <w:t xml:space="preserve"> </w:t>
      </w:r>
      <w:r>
        <w:t xml:space="preserve">[29]</w:t>
      </w:r>
      <w:r>
        <w:t xml:space="preserve">.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[30]</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t xml:space="preserve">The contributions of this work are:</w:t>
      </w:r>
    </w:p>
    <w:p>
      <w:pPr>
        <w:numPr>
          <w:ilvl w:val="0"/>
          <w:numId w:val="1001"/>
        </w:numPr>
      </w:pPr>
      <w:r>
        <w:t xml:space="preserve">A transfer jackknife+ (TJ+) for transferred multivariate calibrations, with a coverage statement under explicit, checkable conditions on how the standards are selected.</w:t>
      </w:r>
    </w:p>
    <w:p>
      <w:pPr>
        <w:numPr>
          <w:ilvl w:val="0"/>
          <w:numId w:val="1001"/>
        </w:numPr>
      </w:pPr>
      <w:r>
        <w:t xml:space="preserve">A chemometric normalisation (TJ+N), using a source-learned difficulty function of Hotelling T² and Q residuals of the</w:t>
      </w:r>
      <w:r>
        <w:t xml:space="preserve"> </w:t>
      </w:r>
      <w:r>
        <w:rPr>
          <w:iCs/>
          <w:i/>
        </w:rPr>
        <w:t xml:space="preserve">transferred</w:t>
      </w:r>
      <w:r>
        <w:t xml:space="preserve"> </w:t>
      </w:r>
      <w:r>
        <w:t xml:space="preserve">spectrum, so that interval width adapts to the sample.</w:t>
      </w:r>
    </w:p>
    <w:p>
      <w:pPr>
        <w:numPr>
          <w:ilvl w:val="0"/>
          <w:numId w:val="1001"/>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1"/>
        </w:numPr>
      </w:pPr>
      <w:r>
        <w:t xml:space="preserve">An exploratory label-free variant for the case in which the transfer standards have no reference values.</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2"/>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2"/>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2"/>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The tournament argument of Barber et al.</w:t>
      </w:r>
      <w:r>
        <w:t xml:space="preserve"> </w:t>
      </w:r>
      <w:r>
        <w:t xml:space="preserve">[30, Thm. 1]</w:t>
      </w:r>
      <w:r>
        <w:t xml:space="preserve"> </w:t>
      </w:r>
      <w:r>
        <w:t xml:space="preserve">uses only the exchangeability of the matrix</w:t>
      </w:r>
      <w:r>
        <w:t xml:space="preserve"> </w:t>
      </w:r>
      <m:oMath>
        <m:d>
          <m:dPr>
            <m:begChr m:val="("/>
            <m:endChr m:val=")"/>
            <m:sepChr m:val=""/>
            <m:grow/>
          </m:dPr>
          <m:e>
            <m:sSub>
              <m:e>
                <m:r>
                  <m:t>R</m:t>
                </m:r>
              </m:e>
              <m:sub>
                <m:r>
                  <m:t>i</m:t>
                </m:r>
                <m:r>
                  <m:t>j</m:t>
                </m:r>
              </m:sub>
            </m:sSub>
          </m:e>
        </m:d>
      </m:oMath>
      <w:r>
        <w:t xml:space="preserve">, which follows from exchangeability of the</w:t>
      </w:r>
      <w:r>
        <w:t xml:space="preserve"> </w:t>
      </w:r>
      <m:oMath>
        <m:sSub>
          <m:e>
            <m:r>
              <m:t>Z</m:t>
            </m:r>
          </m:e>
          <m:sub>
            <m:r>
              <m:t>i</m:t>
            </m:r>
          </m:sub>
        </m:sSub>
      </m:oMath>
      <w:r>
        <w:t xml:space="preserve"> </w:t>
      </w:r>
      <w:r>
        <w:t xml:space="preserve">and the symmetry of</w:t>
      </w:r>
      <w:r>
        <w:t xml:space="preserve"> </w:t>
      </w:r>
      <m:oMath>
        <m:r>
          <m:rPr>
            <m:sty m:val="p"/>
            <m:scr m:val="script"/>
          </m:rPr>
          <m:t>A</m:t>
        </m:r>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By that argument this event has probability at most</w:t>
      </w:r>
      <w:r>
        <w:t xml:space="preserve"> </w:t>
      </w:r>
      <m:oMath>
        <m:r>
          <m:t>2</m:t>
        </m:r>
        <m:r>
          <m:t>α</m:t>
        </m:r>
      </m:oMath>
      <w:r>
        <w:t xml:space="preserve">. Normalisation by a scale fitted together with</w:t>
      </w:r>
      <w:r>
        <w:t xml:space="preserve"> </w:t>
      </w:r>
      <m:oMath>
        <m:r>
          <m:t>μ</m:t>
        </m:r>
      </m:oMath>
      <w:r>
        <w:t xml:space="preserve"> </w:t>
      </w:r>
      <w:r>
        <w:t xml:space="preserve">does not alter the argument, because the score remains a fixed function of the point and of the fit that excludes it.</w:t>
      </w:r>
      <w:r>
        <w:t xml:space="preserve"> </w:t>
      </w:r>
      <m:oMath>
        <m:r>
          <m:rPr>
            <m:sty m:val="p"/>
          </m:rPr>
          <m:t>▫</m:t>
        </m:r>
      </m:oMath>
    </w:p>
    <w:p>
      <w:pPr>
        <w:pStyle w:val="BodyText"/>
      </w:pPr>
      <w:r>
        <w:t xml:space="preserve">Three remarks clarify the scope of the guarantee.</w:t>
      </w:r>
    </w:p>
    <w:p>
      <w:pPr>
        <w:numPr>
          <w:ilvl w:val="0"/>
          <w:numId w:val="1003"/>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3"/>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3"/>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[31]</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4"/>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w:t>
      </w:r>
    </w:p>
    <w:p>
      <w:pPr>
        <w:numPr>
          <w:ilvl w:val="0"/>
          <w:numId w:val="1004"/>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4"/>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w:t>
      </w:r>
    </w:p>
    <w:p>
      <w:pPr>
        <w:numPr>
          <w:ilvl w:val="0"/>
          <w:numId w:val="1004"/>
        </w:numPr>
      </w:pPr>
      <w:r>
        <w:rPr>
          <w:bCs/>
          <w:b/>
        </w:rPr>
        <w:t xml:space="preserve">Transport:</w:t>
      </w:r>
      <w:r>
        <w:t xml:space="preserve"> </w:t>
      </w:r>
      <w:r>
        <w:t xml:space="preserve">a regression analogue of transported conformal calibration</w:t>
      </w:r>
      <w:r>
        <w:t xml:space="preserve"> </w:t>
      </w:r>
      <w:r>
        <w:t xml:space="preserve">[29]</w:t>
      </w:r>
      <w:r>
        <w:t xml:space="preserve">. Source-calibration spectra are mapped into the target space by a master→secondary PDS fitted on the standards, passed through the deployed pipeline, and their residuals calibrate a split-conformal quantile. It applies to paired transfers only.</w:t>
      </w:r>
    </w:p>
    <w:p>
      <w:pPr>
        <w:numPr>
          <w:ilvl w:val="0"/>
          <w:numId w:val="1004"/>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recomputing the RMSEP on the standards.</w:t>
      </w:r>
    </w:p>
    <w:p>
      <w:pPr>
        <w:numPr>
          <w:ilvl w:val="0"/>
          <w:numId w:val="1004"/>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4"/>
        </w:numPr>
      </w:pPr>
      <w:r>
        <w:rPr>
          <w:bCs/>
          <w:b/>
        </w:rPr>
        <w:t xml:space="preserve">MC-dropout</w:t>
      </w:r>
      <w:r>
        <w:t xml:space="preserve"> </w:t>
      </w:r>
      <w:r>
        <w:t xml:space="preserve">(CNN only): Gaussian intervals from 100 stochastic forward passes plus the source residual variance</w:t>
      </w:r>
      <w:r>
        <w:t xml:space="preserve"> </w:t>
      </w:r>
      <w:r>
        <w:t xml:space="preserve">[32]</w:t>
      </w:r>
      <w:r>
        <w:t xml:space="preserve">, followed by SBC.</w:t>
      </w:r>
    </w:p>
    <w:p>
      <w:pPr>
        <w:pStyle w:val="FirstParagraph"/>
      </w:pPr>
      <w:r>
        <w:rPr>
          <w:bCs/>
          <w:b/>
        </w:rPr>
        <w:t xml:space="preserve">Ablations:</w:t>
      </w:r>
    </w:p>
    <w:p>
      <w:pPr>
        <w:numPr>
          <w:ilvl w:val="0"/>
          <w:numId w:val="1005"/>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5"/>
        </w:numPr>
      </w:pPr>
      <w:r>
        <w:t xml:space="preserve">TJ-insample-N: residuals from the transfer fitted on all standards, without leave-one-out.</w:t>
      </w:r>
    </w:p>
    <w:p>
      <w:pPr>
        <w:numPr>
          <w:ilvl w:val="0"/>
          <w:numId w:val="1005"/>
        </w:numPr>
      </w:pPr>
      <w:r>
        <w:t xml:space="preserve">TCV+N: five-fold CV+.</w:t>
      </w:r>
    </w:p>
    <w:p>
      <w:pPr>
        <w:numPr>
          <w:ilvl w:val="0"/>
          <w:numId w:val="1005"/>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[33]</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[33]</w:t>
      </w:r>
      <w:r>
        <w:t xml:space="preserve">. 655 tablets were measured on two spectrometers (600–1898 nm, 650 channels), with reference weight, hardness and active-ingredient assay. The distributed calibrate (155), validate (40) and test (460) partition was retained. Instrument 1 is the master.</w:t>
      </w:r>
    </w:p>
    <w:p>
      <w:pPr>
        <w:pStyle w:val="BodyText"/>
      </w:pPr>
      <w:r>
        <w:rPr>
          <w:bCs/>
          <w:b/>
        </w:rPr>
        <w:t xml:space="preserve">Mango dry matter</w:t>
      </w:r>
      <w:r>
        <w:t xml:space="preserve"> </w:t>
      </w:r>
      <w:r>
        <w:t xml:space="preserve">[4,34]</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giving 4,677 fruit.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[35]</w:t>
      </w:r>
      <w:r>
        <w:t xml:space="preserve">, Savitzky–Golay</w:t>
      </w:r>
      <w:r>
        <w:t xml:space="preserve"> </w:t>
      </w:r>
      <w:r>
        <w:t xml:space="preserve">[36]</w:t>
      </w:r>
      <w:r>
        <w:t xml:space="preserve"> </w:t>
      </w:r>
      <w:r>
        <w:t xml:space="preserve">first derivative (window 11, order 2) and second derivative (window 13, order 2). The number of PLS latent variables</w:t>
      </w:r>
      <w:r>
        <w:t xml:space="preserve"> </w:t>
      </w:r>
      <w:r>
        <w:t xml:space="preserve">[37]</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has two convolutional layers and dropout 0.2, and was trained once on seasons 1–3 with early stopping on a 10% split of the source training data.</w:t>
      </w:r>
    </w:p>
    <w:p>
      <w:pPr>
        <w:pStyle w:val="BodyText"/>
      </w:pPr>
      <w:r>
        <w:rPr>
          <w:bCs/>
          <w:b/>
        </w:rPr>
        <w:t xml:space="preserve">Splits.</w:t>
      </w:r>
    </w:p>
    <w:p>
      <w:pPr>
        <w:numPr>
          <w:ilvl w:val="0"/>
          <w:numId w:val="1006"/>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6"/>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6"/>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7"/>
        </w:numPr>
      </w:pPr>
      <w:r>
        <w:t xml:space="preserve">empirical coverage on the test samples;</w:t>
      </w:r>
    </w:p>
    <w:p>
      <w:pPr>
        <w:numPr>
          <w:ilvl w:val="0"/>
          <w:numId w:val="1007"/>
        </w:numPr>
      </w:pPr>
      <w:r>
        <w:t xml:space="preserve">mean and median interval width;</w:t>
      </w:r>
    </w:p>
    <w:p>
      <w:pPr>
        <w:numPr>
          <w:ilvl w:val="0"/>
          <w:numId w:val="1007"/>
        </w:numPr>
      </w:pPr>
      <w:r>
        <w:t xml:space="preserve">the fraction of unbounded intervals;</w:t>
      </w:r>
    </w:p>
    <w:p>
      <w:pPr>
        <w:numPr>
          <w:ilvl w:val="0"/>
          <w:numId w:val="1007"/>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[38]</w:t>
      </w:r>
      <w:r>
        <w:t xml:space="preserve">;</w:t>
      </w:r>
    </w:p>
    <w:p>
      <w:pPr>
        <w:numPr>
          <w:ilvl w:val="0"/>
          <w:numId w:val="1007"/>
        </w:numPr>
      </w:pPr>
      <w:r>
        <w:t xml:space="preserve">RMSEP of the point prediction;</w:t>
      </w:r>
    </w:p>
    <w:p>
      <w:pPr>
        <w:numPr>
          <w:ilvl w:val="0"/>
          <w:numId w:val="1007"/>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[39]</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[40]</w:t>
      </w:r>
      <w:r>
        <w:t xml:space="preserve">. Repetitions are independent random draws of the splits from fixed data sets, so inferences are conditional on the data sets.</w:t>
      </w:r>
    </w:p>
    <w:p>
      <w:pPr>
        <w:pStyle w:val="BodyText"/>
      </w:pPr>
      <w:r>
        <w:rPr>
          <w:bCs/>
          <w:b/>
        </w:rPr>
        <w:t xml:space="preserve">Robustness and sensitivity.</w:t>
      </w:r>
      <w:r>
        <w:t xml:space="preserve"> </w:t>
      </w:r>
      <w:r>
        <w:t xml:space="preserve">Robustness conditions were:</w:t>
      </w:r>
    </w:p>
    <w:p>
      <w:pPr>
        <w:numPr>
          <w:ilvl w:val="0"/>
          <w:numId w:val="1008"/>
        </w:numPr>
      </w:pPr>
      <w:r>
        <w:t xml:space="preserve">Kennard–Stone selection of the standards from a random half of the target pool (non-exchangeable);</w:t>
      </w:r>
    </w:p>
    <w:p>
      <w:pPr>
        <w:numPr>
          <w:ilvl w:val="0"/>
          <w:numId w:val="1008"/>
        </w:numPr>
      </w:pPr>
      <w:r>
        <w:t xml:space="preserve">Gaussian noise added to all target spectra (SNR 1000, 300, 100);</w:t>
      </w:r>
    </w:p>
    <w:p>
      <w:pPr>
        <w:numPr>
          <w:ilvl w:val="0"/>
          <w:numId w:val="1008"/>
        </w:numPr>
      </w:pPr>
      <w:r>
        <w:t xml:space="preserve">a ±1-channel wavelength shift of the test spectra after the transfer was fitted (post-standardisation drift);</w:t>
      </w:r>
    </w:p>
    <w:p>
      <w:pPr>
        <w:numPr>
          <w:ilvl w:val="0"/>
          <w:numId w:val="1008"/>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71"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09"/>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09"/>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09"/>
        </w:numPr>
      </w:pPr>
      <w:r>
        <w:rPr>
          <w:bCs/>
          <w:b/>
        </w:rPr>
        <w:t xml:space="preserve">Mango:</w:t>
      </w:r>
      <w:r>
        <w:t xml:space="preserve"> </w:t>
      </w:r>
      <w:r>
        <w:t xml:space="preserve">SBC did not improve on the uncorrected source model (RMSEP 1.06–1.15 vs 1.05 %), consistent with reports that models built over several seasons are already fairly robust</w:t>
      </w:r>
      <w:r>
        <w:t xml:space="preserve"> </w:t>
      </w:r>
      <w:r>
        <w:t xml:space="preserve">[4]</w:t>
      </w:r>
      <w:r>
        <w:t xml:space="preserve">.</w:t>
      </w:r>
    </w:p>
    <w:p>
      <w:pPr>
        <w:pStyle w:val="FirstParagraph"/>
      </w:pPr>
      <w:r>
        <w:t xml:space="preserve">All interval methods share the same point predictor within a pipeline, so the comparisons below isolate the interval construction.</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dry_matter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whenever the transfer added error that the source calibration had not seen (Fig. 3; Table 3).</w:t>
      </w:r>
    </w:p>
    <w:p>
      <w:pPr>
        <w:numPr>
          <w:ilvl w:val="0"/>
          <w:numId w:val="1010"/>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0"/>
        </w:numPr>
      </w:pPr>
      <w:r>
        <w:rPr>
          <w:bCs/>
          <w:b/>
        </w:rPr>
        <w:t xml:space="preserve">Mango:</w:t>
      </w:r>
      <w:r>
        <w:t xml:space="preserve"> </w:t>
      </w:r>
      <w:r>
        <w:t xml:space="preserve">coverage was 0.71–0.76 (12 of 12 cells under-covering).</w:t>
      </w:r>
    </w:p>
    <w:p>
      <w:pPr>
        <w:numPr>
          <w:ilvl w:val="0"/>
          <w:numId w:val="1010"/>
        </w:numPr>
      </w:pPr>
      <w:r>
        <w:rPr>
          <w:bCs/>
          <w:b/>
        </w:rPr>
        <w:t xml:space="preserve">Tablets:</w:t>
      </w:r>
      <w:r>
        <w:t xml:space="preserve"> </w:t>
      </w:r>
      <w:r>
        <w:t xml:space="preserve">the picture was mixed (0.81–0.95; 11 of 36 cells under-covering). Under-coverage occurred mainly for the assay with few standards, where a poorly determined PDS inflated the error, while weight and hardness were unaffected by the transfer.</w:t>
      </w:r>
    </w:p>
    <w:p>
      <w:pPr>
        <w:pStyle w:val="FirstParagraph"/>
      </w:pPr>
      <w:r>
        <w:t xml:space="preserve">Weighting the source residuals for covariate shift (WCP-S) did not repair coverage,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1"/>
        </w:numPr>
      </w:pPr>
      <w:r>
        <w:t xml:space="preserve">It was never flagged as under-covering at this level.</w:t>
      </w:r>
    </w:p>
    <w:p>
      <w:pPr>
        <w:numPr>
          <w:ilvl w:val="0"/>
          <w:numId w:val="1011"/>
        </w:numPr>
      </w:pPr>
      <w:r>
        <w:t xml:space="preserve">It had the best mean rank of interval score in the Friedman analysis (Fig. S2; χ² = 145.5,</w:t>
      </w:r>
      <w:r>
        <w:t xml:space="preserve"> </w:t>
      </w:r>
      <w:r>
        <w:rPr>
          <w:iCs/>
          <w:i/>
        </w:rPr>
        <w:t xml:space="preserve">p</w:t>
      </w:r>
      <w:r>
        <w:t xml:space="preserve"> </w:t>
      </w:r>
      <w:r>
        <w:t xml:space="preserve">= 3.6×10</w:t>
      </w:r>
      <w:r>
        <w:rPr>
          <w:vertAlign w:val="superscript"/>
        </w:rPr>
        <w:t xml:space="preserve">−</w:t>
      </w:r>
      <w:r>
        <w:t xml:space="preserve">28; mean ranks Gauss-LOO 2.17, TJ+N 2.52, TJ+ 3.12).</w:t>
      </w:r>
    </w:p>
    <w:p>
      <w:pPr>
        <w:numPr>
          <w:ilvl w:val="0"/>
          <w:numId w:val="1011"/>
        </w:numPr>
      </w:pPr>
      <w:r>
        <w:t xml:space="preserve">It did not differ significantly from TJ+N after Holm correction (</w:t>
      </w:r>
      <w:r>
        <w:rPr>
          <w:iCs/>
          <w:i/>
        </w:rPr>
        <w:t xml:space="preserve">p</w:t>
      </w:r>
      <w:r>
        <w:t xml:space="preserve"> </w:t>
      </w:r>
      <w:r>
        <w:t xml:space="preserve">= 0.11).</w:t>
      </w:r>
    </w:p>
    <w:p>
      <w:pPr>
        <w:numPr>
          <w:ilvl w:val="0"/>
          <w:numId w:val="1011"/>
        </w:numPr>
      </w:pPr>
      <w:r>
        <w:t xml:space="preserve">Per scenario, Gauss-LOO had the lower score more often on corn (14 of 24 scenarios), while TJ+N was better more often on tablets and mango (9 of 16).</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 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2"/>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2"/>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2"/>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was not flagged as under-covering here, but it carries no finite-sample guarantee.</w:t>
      </w:r>
    </w:p>
    <w:p>
      <w:pPr>
        <w:numPr>
          <w:ilvl w:val="0"/>
          <w:numId w:val="1012"/>
        </w:numPr>
      </w:pPr>
      <w:r>
        <w:rPr>
          <w:bCs/>
          <w:b/>
        </w:rPr>
        <w:t xml:space="preserve">Difficulty normalisation.</w:t>
      </w:r>
      <w:r>
        <w:t xml:space="preserve"> </w:t>
      </w:r>
      <w:r>
        <w:t xml:space="preserve">Normalisation improved efficiency in most scenarios.</w:t>
      </w:r>
    </w:p>
    <w:p>
      <w:pPr>
        <w:numPr>
          <w:ilvl w:val="1"/>
          <w:numId w:val="1013"/>
        </w:numPr>
      </w:pPr>
      <w:r>
        <w:t xml:space="preserve">TJ+N had a significantly lower interval score than unnormalised TJ+ in 24 of 40 scenarios, and a higher one in 5.</w:t>
      </w:r>
    </w:p>
    <w:p>
      <w:pPr>
        <w:numPr>
          <w:ilvl w:val="1"/>
          <w:numId w:val="1013"/>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3"/>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3"/>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TJ+N was not flagged as under-covering in any of the 30 robustness scenarios that preserve the joint distribution of standards and test samples (Table 6; Fig. 7). These were Kennard–Stone selection,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4"/>
        </w:numPr>
      </w:pPr>
      <w:r>
        <w:t xml:space="preserve">Tablets: TJ+N coverage was 0.04–0.07; Gauss-LOO 0.02–0.04.</w:t>
      </w:r>
    </w:p>
    <w:p>
      <w:pPr>
        <w:numPr>
          <w:ilvl w:val="0"/>
          <w:numId w:val="1014"/>
        </w:numPr>
      </w:pPr>
      <w:r>
        <w:t xml:space="preserve">Corn: TJ+N 0.60–0.94, against 0.05–0.45 for unnormalised TJ+ and 0.02–0.29 for Gauss-LOO.</w:t>
      </w:r>
    </w:p>
    <w:p>
      <w:pPr>
        <w:numPr>
          <w:ilvl w:val="0"/>
          <w:numId w:val="1014"/>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Drift after standardisation must therefore be detected (for example by monitoring Q) and corrected by re-standardisation. No interval method compensates for it reliably.</w:t>
      </w:r>
    </w:p>
    <w:p>
      <w:pPr>
        <w:pStyle w:val="TableCaption"/>
        <w:keepNext/>
      </w:pPr>
      <w:r>
        <w:rPr>
          <w:bCs/>
          <w:b/>
        </w:rPr>
        <w:t xml:space="preserve">Table 6.</w:t>
      </w:r>
      <w:r>
        <w:t xml:space="preserve"> </w:t>
      </w:r>
      <w:r>
        <w:t xml:space="preserve">Robustness (E4; α = 0.10; corn m = 15, tablets assay and mango m = 20; 200 repetitions). Mean coverage with under-covering scenarios / scenarios in parentheses.</w:t>
      </w:r>
    </w:p>
    <w:tbl>
      <w:tblPr>
        <w:tblStyle w:val="Table"/>
        <w:tblW w:type="pct" w:w="5000"/>
        <w:jc w:val="center"/>
        <w:tblLook w:firstRow="1" w:lastRow="0" w:firstColumn="0" w:lastColumn="0" w:noHBand="0" w:noVBand="0" w:val="0020"/>
        <w:tblCaption w:val="Table 6. Robustness (E4; α = 0.10; corn m = 15, tablets assay and mango m = 20; 200 repetitions). Mean coverage with under-covering scenarios / scenarios in parentheses."/>
      </w:tblPr>
      <w:tblGrid>
        <w:gridCol w:w="990"/>
        <w:gridCol w:w="990"/>
        <w:gridCol w:w="990"/>
        <w:gridCol w:w="990"/>
        <w:gridCol w:w="990"/>
        <w:gridCol w:w="990"/>
        <w:gridCol w:w="990"/>
        <w:gridCol w:w="990"/>
      </w:tblGrid>
      <w:tr>
        <w:trPr>
          <w:tblHeader w:val="true"/>
        </w:trPr>
        <w:tc>
          <w:tcPr>
            <w:tcBorders>
              <w:top w:val="single" w:sz="8" w:color="000000"/>
              <w:bottom w:val="single" w:sz="8" w:color="000000"/>
            </w:tcBorders>
          </w:tcPr>
          <w:p>
            <w:pPr>
              <w:pStyle w:val="Compact"/>
              <w:spacing w:after="0"/>
              <w:jc w:val="left"/>
            </w:pPr>
            <w:r>
              <w:t xml:space="preserve">Condition</w:t>
            </w:r>
          </w:p>
        </w:tc>
        <w:tc>
          <w:tcPr>
            <w:tcBorders>
              <w:top w:val="single" w:sz="8" w:color="000000"/>
              <w:bottom w:val="single" w:sz="8" w:color="000000"/>
            </w:tcBorders>
          </w:tcPr>
          <w:p>
            <w:pPr>
              <w:pStyle w:val="Compact"/>
              <w:spacing w:after="0"/>
              <w:jc w:val="right"/>
            </w:pPr>
            <w:r>
              <w:t xml:space="preserve">Data</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r>
      <w:tr>
        <w:tc>
          <w:tcPr/>
          <w:p>
            <w:pPr>
              <w:pStyle w:val="Compact"/>
              <w:spacing w:after="0"/>
              <w:jc w:val="left"/>
            </w:pPr>
            <w:r>
              <w:t xml:space="preserve">Kennard–Stone standards</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Kennard–Stone standards</w:t>
            </w:r>
          </w:p>
        </w:tc>
        <w:tc>
          <w:tcPr/>
          <w:p>
            <w:pPr>
              <w:pStyle w:val="Compact"/>
              <w:spacing w:after="0"/>
              <w:jc w:val="right"/>
            </w:pPr>
            <w:r>
              <w:t xml:space="preserve">Tablets</w:t>
            </w:r>
          </w:p>
        </w:tc>
        <w:tc>
          <w:tcPr/>
          <w:p>
            <w:pPr>
              <w:pStyle w:val="Compact"/>
              <w:spacing w:after="0"/>
              <w:jc w:val="right"/>
            </w:pPr>
            <w:r>
              <w:t xml:space="preserve">0.93 (0/1)</w:t>
            </w:r>
          </w:p>
        </w:tc>
        <w:tc>
          <w:tcPr/>
          <w:p>
            <w:pPr>
              <w:pStyle w:val="Compact"/>
              <w:spacing w:after="0"/>
              <w:jc w:val="right"/>
            </w:pPr>
            <w:r>
              <w:t xml:space="preserve">0.96 (0/1)</w:t>
            </w:r>
          </w:p>
        </w:tc>
        <w:tc>
          <w:tcPr/>
          <w:p>
            <w:pPr>
              <w:pStyle w:val="Compact"/>
              <w:spacing w:after="0"/>
              <w:jc w:val="right"/>
            </w:pPr>
            <w:r>
              <w:t xml:space="preserve">0.95 (0/1)</w:t>
            </w:r>
          </w:p>
        </w:tc>
        <w:tc>
          <w:tcPr/>
          <w:p>
            <w:pPr>
              <w:pStyle w:val="Compact"/>
              <w:spacing w:after="0"/>
              <w:jc w:val="right"/>
            </w:pPr>
            <w:r>
              <w:t xml:space="preserve">0.92 (0/1)</w:t>
            </w:r>
          </w:p>
        </w:tc>
        <w:tc>
          <w:tcPr/>
          <w:p>
            <w:pPr>
              <w:pStyle w:val="Compact"/>
              <w:spacing w:after="0"/>
              <w:jc w:val="right"/>
            </w:pPr>
            <w:r>
              <w:t xml:space="preserve">0.94 (0/1)</w:t>
            </w:r>
          </w:p>
        </w:tc>
        <w:tc>
          <w:tcPr/>
          <w:p>
            <w:pPr>
              <w:pStyle w:val="Compact"/>
              <w:spacing w:after="0"/>
              <w:jc w:val="right"/>
            </w:pPr>
            <w:r>
              <w:t xml:space="preserve">0.92 (0/1)</w:t>
            </w:r>
          </w:p>
        </w:tc>
      </w:tr>
      <w:tr>
        <w:tc>
          <w:tcPr/>
          <w:p>
            <w:pPr>
              <w:pStyle w:val="Compact"/>
              <w:spacing w:after="0"/>
              <w:jc w:val="left"/>
            </w:pPr>
            <w:r>
              <w:t xml:space="preserve">Kennard–Stone standards</w:t>
            </w:r>
          </w:p>
        </w:tc>
        <w:tc>
          <w:tcPr/>
          <w:p>
            <w:pPr>
              <w:pStyle w:val="Compact"/>
              <w:spacing w:after="0"/>
              <w:jc w:val="right"/>
            </w:pPr>
            <w:r>
              <w:t xml:space="preserve">Mango</w:t>
            </w:r>
          </w:p>
        </w:tc>
        <w:tc>
          <w:tcPr/>
          <w:p>
            <w:pPr>
              <w:pStyle w:val="Compact"/>
              <w:spacing w:after="0"/>
              <w:jc w:val="right"/>
            </w:pPr>
            <w:r>
              <w:t xml:space="preserve">0.96 (0/1)</w:t>
            </w:r>
          </w:p>
        </w:tc>
        <w:tc>
          <w:tcPr/>
          <w:p>
            <w:pPr>
              <w:pStyle w:val="Compact"/>
              <w:spacing w:after="0"/>
              <w:jc w:val="right"/>
            </w:pPr>
            <w:r>
              <w:t xml:space="preserve">0.97 (0/1)</w:t>
            </w:r>
          </w:p>
        </w:tc>
        <w:tc>
          <w:tcPr/>
          <w:p>
            <w:pPr>
              <w:pStyle w:val="Compact"/>
              <w:spacing w:after="0"/>
              <w:jc w:val="right"/>
            </w:pPr>
            <w:r>
              <w:t xml:space="preserve">0.97 (0/1)</w:t>
            </w:r>
          </w:p>
        </w:tc>
        <w:tc>
          <w:tcPr/>
          <w:p>
            <w:pPr>
              <w:pStyle w:val="Compact"/>
              <w:spacing w:after="0"/>
              <w:jc w:val="right"/>
            </w:pPr>
            <w:r>
              <w:t xml:space="preserve">0.96 (0/1)</w:t>
            </w:r>
          </w:p>
        </w:tc>
        <w:tc>
          <w:tcPr/>
          <w:p>
            <w:pPr>
              <w:pStyle w:val="Compact"/>
              <w:spacing w:after="0"/>
              <w:jc w:val="right"/>
            </w:pPr>
            <w:r>
              <w:t xml:space="preserve">0.75 (1/1)</w:t>
            </w:r>
          </w:p>
        </w:tc>
        <w:tc>
          <w:tcPr/>
          <w:p>
            <w:pPr>
              <w:pStyle w:val="Compact"/>
              <w:spacing w:after="0"/>
              <w:jc w:val="right"/>
            </w:pPr>
            <w:r>
              <w:t xml:space="preserve">0.73 (1/1)</w:t>
            </w:r>
          </w:p>
        </w:tc>
      </w:tr>
      <w:tr>
        <w:tc>
          <w:tcPr/>
          <w:p>
            <w:pPr>
              <w:pStyle w:val="Compact"/>
              <w:spacing w:after="0"/>
              <w:jc w:val="left"/>
            </w:pPr>
            <w:r>
              <w:t xml:space="preserve">Noise SNR 1000</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0.90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0.46 (4/4)</w:t>
            </w:r>
          </w:p>
        </w:tc>
      </w:tr>
      <w:tr>
        <w:tc>
          <w:tcPr/>
          <w:p>
            <w:pPr>
              <w:pStyle w:val="Compact"/>
              <w:spacing w:after="0"/>
              <w:jc w:val="left"/>
            </w:pPr>
            <w:r>
              <w:t xml:space="preserve">Noise SNR 1000</w:t>
            </w:r>
          </w:p>
        </w:tc>
        <w:tc>
          <w:tcPr/>
          <w:p>
            <w:pPr>
              <w:pStyle w:val="Compact"/>
              <w:spacing w:after="0"/>
              <w:jc w:val="right"/>
            </w:pPr>
            <w:r>
              <w:t xml:space="preserve">Tablets</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0.74 (1/1)</w:t>
            </w:r>
          </w:p>
        </w:tc>
        <w:tc>
          <w:tcPr/>
          <w:p>
            <w:pPr>
              <w:pStyle w:val="Compact"/>
              <w:spacing w:after="0"/>
              <w:jc w:val="right"/>
            </w:pPr>
            <w:r>
              <w:t xml:space="preserve">0.73 (1/1)</w:t>
            </w:r>
          </w:p>
        </w:tc>
      </w:tr>
      <w:tr>
        <w:tc>
          <w:tcPr/>
          <w:p>
            <w:pPr>
              <w:pStyle w:val="Compact"/>
              <w:spacing w:after="0"/>
              <w:jc w:val="left"/>
            </w:pPr>
            <w:r>
              <w:t xml:space="preserve">Noise SNR 300</w:t>
            </w:r>
          </w:p>
        </w:tc>
        <w:tc>
          <w:tcPr/>
          <w:p>
            <w:pPr>
              <w:pStyle w:val="Compact"/>
              <w:spacing w:after="0"/>
              <w:jc w:val="right"/>
            </w:pPr>
            <w:r>
              <w:t xml:space="preserve">Corn</w:t>
            </w:r>
          </w:p>
        </w:tc>
        <w:tc>
          <w:tcPr/>
          <w:p>
            <w:pPr>
              <w:pStyle w:val="Compact"/>
              <w:spacing w:after="0"/>
              <w:jc w:val="right"/>
            </w:pPr>
            <w:r>
              <w:t xml:space="preserve">0.94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Noise SNR 300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300</w:t>
            </w:r>
          </w:p>
        </w:tc>
        <w:tc>
          <w:tcPr/>
          <w:p>
            <w:pPr>
              <w:pStyle w:val="Compact"/>
              <w:spacing w:after="0"/>
              <w:jc w:val="right"/>
            </w:pPr>
            <w:r>
              <w:t xml:space="preserve">Mango</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0.69 (1/1)</w:t>
            </w:r>
          </w:p>
        </w:tc>
        <w:tc>
          <w:tcPr/>
          <w:p>
            <w:pPr>
              <w:pStyle w:val="Compact"/>
              <w:spacing w:after="0"/>
              <w:jc w:val="right"/>
            </w:pPr>
            <w:r>
              <w:t xml:space="preserve">0.67 (1/1)</w:t>
            </w:r>
          </w:p>
        </w:tc>
      </w:tr>
      <w:tr>
        <w:tc>
          <w:tcPr/>
          <w:p>
            <w:pPr>
              <w:pStyle w:val="Compact"/>
              <w:spacing w:after="0"/>
              <w:jc w:val="left"/>
            </w:pPr>
            <w:r>
              <w:t xml:space="preserve">Noise SNR 100</w:t>
            </w:r>
          </w:p>
        </w:tc>
        <w:tc>
          <w:tcPr/>
          <w:p>
            <w:pPr>
              <w:pStyle w:val="Compact"/>
              <w:spacing w:after="0"/>
              <w:jc w:val="right"/>
            </w:pPr>
            <w:r>
              <w:t xml:space="preserve">Corn</w:t>
            </w:r>
          </w:p>
        </w:tc>
        <w:tc>
          <w:tcPr/>
          <w:p>
            <w:pPr>
              <w:pStyle w:val="Compact"/>
              <w:spacing w:after="0"/>
              <w:jc w:val="right"/>
            </w:pPr>
            <w:r>
              <w:t xml:space="preserve">0.96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0.18 (4/4)</w:t>
            </w:r>
          </w:p>
        </w:tc>
        <w:tc>
          <w:tcPr/>
          <w:p>
            <w:pPr>
              <w:pStyle w:val="Compact"/>
              <w:spacing w:after="0"/>
              <w:jc w:val="right"/>
            </w:pPr>
            <w:r>
              <w:t xml:space="preserve">0.33 (4/4)</w:t>
            </w:r>
          </w:p>
        </w:tc>
      </w:tr>
      <w:tr>
        <w:tc>
          <w:tcPr/>
          <w:p>
            <w:pPr>
              <w:pStyle w:val="Compact"/>
              <w:spacing w:after="0"/>
              <w:jc w:val="left"/>
            </w:pPr>
            <w:r>
              <w:t xml:space="preserve">Noise SNR 100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0.89 (0/1)</w:t>
            </w:r>
          </w:p>
        </w:tc>
        <w:tc>
          <w:tcPr/>
          <w:p>
            <w:pPr>
              <w:pStyle w:val="Compact"/>
              <w:spacing w:after="0"/>
              <w:jc w:val="right"/>
            </w:pPr>
            <w:r>
              <w:t xml:space="preserve">0.91 (0/1)</w:t>
            </w:r>
          </w:p>
        </w:tc>
        <w:tc>
          <w:tcPr/>
          <w:p>
            <w:pPr>
              <w:pStyle w:val="Compact"/>
              <w:spacing w:after="0"/>
              <w:jc w:val="right"/>
            </w:pPr>
            <w:r>
              <w:t xml:space="preserve">0.51 (1/1)</w:t>
            </w:r>
          </w:p>
        </w:tc>
        <w:tc>
          <w:tcPr/>
          <w:p>
            <w:pPr>
              <w:pStyle w:val="Compact"/>
              <w:spacing w:after="0"/>
              <w:jc w:val="right"/>
            </w:pPr>
            <w:r>
              <w:t xml:space="preserve">0.49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0.82 (2/4)</w:t>
            </w:r>
          </w:p>
        </w:tc>
        <w:tc>
          <w:tcPr/>
          <w:p>
            <w:pPr>
              <w:pStyle w:val="Compact"/>
              <w:spacing w:after="0"/>
              <w:jc w:val="right"/>
            </w:pPr>
            <w:r>
              <w:t xml:space="preserve">0.26 (4/4)</w:t>
            </w:r>
          </w:p>
        </w:tc>
        <w:tc>
          <w:tcPr/>
          <w:p>
            <w:pPr>
              <w:pStyle w:val="Compact"/>
              <w:spacing w:after="0"/>
              <w:jc w:val="right"/>
            </w:pPr>
            <w:r>
              <w:t xml:space="preserve">0.15 (4/4)</w:t>
            </w:r>
          </w:p>
        </w:tc>
        <w:tc>
          <w:tcPr/>
          <w:p>
            <w:pPr>
              <w:pStyle w:val="Compact"/>
              <w:spacing w:after="0"/>
              <w:jc w:val="right"/>
            </w:pPr>
            <w:r>
              <w:t xml:space="preserve">1.00 (0/4)</w:t>
            </w:r>
          </w:p>
        </w:tc>
        <w:tc>
          <w:tcPr/>
          <w:p>
            <w:pPr>
              <w:pStyle w:val="Compact"/>
              <w:spacing w:after="0"/>
              <w:jc w:val="right"/>
            </w:pPr>
            <w:r>
              <w:t xml:space="preserve">0.08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0.04 (1/1)</w:t>
            </w:r>
          </w:p>
        </w:tc>
        <w:tc>
          <w:tcPr/>
          <w:p>
            <w:pPr>
              <w:pStyle w:val="Compact"/>
              <w:spacing w:after="0"/>
              <w:jc w:val="right"/>
            </w:pPr>
            <w:r>
              <w:t xml:space="preserve">0.01 (1/1)</w:t>
            </w:r>
          </w:p>
        </w:tc>
        <w:tc>
          <w:tcPr/>
          <w:p>
            <w:pPr>
              <w:pStyle w:val="Compact"/>
              <w:spacing w:after="0"/>
              <w:jc w:val="right"/>
            </w:pPr>
            <w:r>
              <w:t xml:space="preserve">0.02 (1/1)</w:t>
            </w:r>
          </w:p>
        </w:tc>
        <w:tc>
          <w:tcPr/>
          <w:p>
            <w:pPr>
              <w:pStyle w:val="Compact"/>
              <w:spacing w:after="0"/>
              <w:jc w:val="right"/>
            </w:pPr>
            <w:r>
              <w:t xml:space="preserve">0.22 (1/1)</w:t>
            </w:r>
          </w:p>
        </w:tc>
        <w:tc>
          <w:tcPr/>
          <w:p>
            <w:pPr>
              <w:pStyle w:val="Compact"/>
              <w:spacing w:after="0"/>
              <w:jc w:val="right"/>
            </w:pPr>
            <w:r>
              <w:t xml:space="preserve">0.01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0.97 (0/1)</w:t>
            </w:r>
          </w:p>
        </w:tc>
        <w:tc>
          <w:tcPr/>
          <w:p>
            <w:pPr>
              <w:pStyle w:val="Compact"/>
              <w:spacing w:after="0"/>
              <w:jc w:val="right"/>
            </w:pPr>
            <w:r>
              <w:t xml:space="preserve">0.22 (1/1)</w:t>
            </w:r>
          </w:p>
        </w:tc>
        <w:tc>
          <w:tcPr/>
          <w:p>
            <w:pPr>
              <w:pStyle w:val="Compact"/>
              <w:spacing w:after="0"/>
              <w:jc w:val="right"/>
            </w:pPr>
            <w:r>
              <w:t xml:space="preserve">0.21 (1/1)</w:t>
            </w:r>
          </w:p>
        </w:tc>
        <w:tc>
          <w:tcPr/>
          <w:p>
            <w:pPr>
              <w:pStyle w:val="Compact"/>
              <w:spacing w:after="0"/>
              <w:jc w:val="right"/>
            </w:pPr>
            <w:r>
              <w:t xml:space="preserve">0.97 (0/1)</w:t>
            </w:r>
          </w:p>
        </w:tc>
        <w:tc>
          <w:tcPr/>
          <w:p>
            <w:pPr>
              <w:pStyle w:val="Compact"/>
              <w:spacing w:after="0"/>
              <w:jc w:val="right"/>
            </w:pPr>
            <w:r>
              <w:t xml:space="preserve">0.11 (1/1)</w:t>
            </w:r>
          </w:p>
        </w:tc>
        <w:tc>
          <w:tcPr/>
          <w:p>
            <w:pPr>
              <w:pStyle w:val="Compact"/>
              <w:spacing w:after="0"/>
              <w:jc w:val="right"/>
            </w:pPr>
            <w:r>
              <w:t xml:space="preserve">0.07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0.84 (2/4)</w:t>
            </w:r>
          </w:p>
        </w:tc>
        <w:tc>
          <w:tcPr/>
          <w:p>
            <w:pPr>
              <w:pStyle w:val="Compact"/>
              <w:spacing w:after="0"/>
              <w:jc w:val="right"/>
            </w:pPr>
            <w:r>
              <w:t xml:space="preserve">0.29 (4/4)</w:t>
            </w:r>
          </w:p>
        </w:tc>
        <w:tc>
          <w:tcPr/>
          <w:p>
            <w:pPr>
              <w:pStyle w:val="Compact"/>
              <w:spacing w:after="0"/>
              <w:jc w:val="right"/>
            </w:pPr>
            <w:r>
              <w:t xml:space="preserve">0.17 (4/4)</w:t>
            </w:r>
          </w:p>
        </w:tc>
        <w:tc>
          <w:tcPr/>
          <w:p>
            <w:pPr>
              <w:pStyle w:val="Compact"/>
              <w:spacing w:after="0"/>
              <w:jc w:val="right"/>
            </w:pPr>
            <w:r>
              <w:t xml:space="preserve">1.00 (0/4)</w:t>
            </w:r>
          </w:p>
        </w:tc>
        <w:tc>
          <w:tcPr/>
          <w:p>
            <w:pPr>
              <w:pStyle w:val="Compact"/>
              <w:spacing w:after="0"/>
              <w:jc w:val="right"/>
            </w:pPr>
            <w:r>
              <w:t xml:space="preserve">0.09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0.07 (1/1)</w:t>
            </w:r>
          </w:p>
        </w:tc>
        <w:tc>
          <w:tcPr/>
          <w:p>
            <w:pPr>
              <w:pStyle w:val="Compact"/>
              <w:spacing w:after="0"/>
              <w:jc w:val="right"/>
            </w:pPr>
            <w:r>
              <w:t xml:space="preserve">0.03 (1/1)</w:t>
            </w:r>
          </w:p>
        </w:tc>
        <w:tc>
          <w:tcPr/>
          <w:p>
            <w:pPr>
              <w:pStyle w:val="Compact"/>
              <w:spacing w:after="0"/>
              <w:jc w:val="right"/>
            </w:pPr>
            <w:r>
              <w:t xml:space="preserve">0.04 (1/1)</w:t>
            </w:r>
          </w:p>
        </w:tc>
        <w:tc>
          <w:tcPr/>
          <w:p>
            <w:pPr>
              <w:pStyle w:val="Compact"/>
              <w:spacing w:after="0"/>
              <w:jc w:val="right"/>
            </w:pPr>
            <w:r>
              <w:t xml:space="preserve">0.25 (1/1)</w:t>
            </w:r>
          </w:p>
        </w:tc>
        <w:tc>
          <w:tcPr/>
          <w:p>
            <w:pPr>
              <w:pStyle w:val="Compact"/>
              <w:spacing w:after="0"/>
              <w:jc w:val="right"/>
            </w:pPr>
            <w:r>
              <w:t xml:space="preserve">0.02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0.73 (1/1)</w:t>
            </w:r>
          </w:p>
        </w:tc>
        <w:tc>
          <w:tcPr/>
          <w:p>
            <w:pPr>
              <w:pStyle w:val="Compact"/>
              <w:spacing w:after="0"/>
              <w:jc w:val="right"/>
            </w:pPr>
            <w:r>
              <w:t xml:space="preserve">0.08 (1/1)</w:t>
            </w:r>
          </w:p>
        </w:tc>
        <w:tc>
          <w:tcPr/>
          <w:p>
            <w:pPr>
              <w:pStyle w:val="Compact"/>
              <w:spacing w:after="0"/>
              <w:jc w:val="right"/>
            </w:pPr>
            <w:r>
              <w:t xml:space="preserve">0.07 (1/1)</w:t>
            </w:r>
          </w:p>
        </w:tc>
        <w:tc>
          <w:tcPr/>
          <w:p>
            <w:pPr>
              <w:pStyle w:val="Compact"/>
              <w:spacing w:after="0"/>
              <w:jc w:val="right"/>
            </w:pPr>
            <w:r>
              <w:t xml:space="preserve">0.79 (1/1)</w:t>
            </w:r>
          </w:p>
        </w:tc>
        <w:tc>
          <w:tcPr/>
          <w:p>
            <w:pPr>
              <w:pStyle w:val="Compact"/>
              <w:spacing w:after="0"/>
              <w:jc w:val="right"/>
            </w:pPr>
            <w:r>
              <w:t xml:space="preserve">0.02 (1/1)</w:t>
            </w:r>
          </w:p>
        </w:tc>
        <w:tc>
          <w:tcPr/>
          <w:p>
            <w:pPr>
              <w:pStyle w:val="Compact"/>
              <w:spacing w:after="0"/>
              <w:jc w:val="right"/>
            </w:pPr>
            <w:r>
              <w:t xml:space="preserve">0.02 (1/1)</w:t>
            </w:r>
          </w:p>
        </w:tc>
      </w:tr>
      <w:tr>
        <w:tc>
          <w:tcPr/>
          <w:p>
            <w:pPr>
              <w:pStyle w:val="Compact"/>
              <w:spacing w:after="0"/>
              <w:jc w:val="left"/>
            </w:pPr>
            <w:r>
              <w:t xml:space="preserve">Half source data</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0.33 (4/4)</w:t>
            </w:r>
          </w:p>
        </w:tc>
        <w:tc>
          <w:tcPr/>
          <w:p>
            <w:pPr>
              <w:pStyle w:val="Compact"/>
              <w:spacing w:after="0"/>
              <w:jc w:val="right"/>
            </w:pPr>
            <w:r>
              <w:t xml:space="preserve">0.61 (4/4)</w:t>
            </w:r>
          </w:p>
        </w:tc>
      </w:tr>
      <w:tr>
        <w:tc>
          <w:tcPr/>
          <w:p>
            <w:pPr>
              <w:pStyle w:val="Compact"/>
              <w:spacing w:after="0"/>
              <w:jc w:val="left"/>
            </w:pPr>
            <w:r>
              <w:t xml:space="preserve">Half source data</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0.97 (0/1)</w:t>
            </w:r>
          </w:p>
        </w:tc>
        <w:tc>
          <w:tcPr/>
          <w:p>
            <w:pPr>
              <w:pStyle w:val="Compact"/>
              <w:spacing w:after="0"/>
              <w:jc w:val="right"/>
            </w:pPr>
            <w:r>
              <w:t xml:space="preserve">0.96 (0/1)</w:t>
            </w:r>
          </w:p>
        </w:tc>
      </w:tr>
      <w:tr>
        <w:tc>
          <w:tcPr>
            <w:tcBorders>
              <w:bottom w:val="single" w:sz="8" w:color="000000"/>
            </w:tcBorders>
          </w:tcPr>
          <w:p>
            <w:pPr>
              <w:pStyle w:val="Compact"/>
              <w:spacing w:after="0"/>
              <w:jc w:val="left"/>
            </w:pPr>
            <w:r>
              <w:t xml:space="preserve">Half source data</w:t>
            </w:r>
          </w:p>
        </w:tc>
        <w:tc>
          <w:tcPr>
            <w:tcBorders>
              <w:bottom w:val="single" w:sz="8" w:color="000000"/>
            </w:tcBorders>
          </w:tcPr>
          <w:p>
            <w:pPr>
              <w:pStyle w:val="Compact"/>
              <w:spacing w:after="0"/>
              <w:jc w:val="right"/>
            </w:pPr>
            <w:r>
              <w:t xml:space="preserve">Mango</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0.75 (1/1)</w:t>
            </w:r>
          </w:p>
        </w:tc>
        <w:tc>
          <w:tcPr>
            <w:tcBorders>
              <w:bottom w:val="single" w:sz="8" w:color="000000"/>
            </w:tcBorders>
          </w:tcPr>
          <w:p>
            <w:pPr>
              <w:pStyle w:val="Compact"/>
              <w:spacing w:after="0"/>
              <w:jc w:val="right"/>
            </w:pPr>
            <w:r>
              <w:t xml:space="preserve">0.75 (1/1)</w:t>
            </w:r>
          </w:p>
        </w:tc>
      </w:tr>
    </w:tbl>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8e8ab3d411f7961fc5ed7c92101cf36cb68b707"/>
    <w:p>
      <w:pPr>
        <w:pStyle w:val="Heading2"/>
      </w:pPr>
      <w:r>
        <w:t xml:space="preserve">4.6. Generalisation across pipelines, directions and model classes (RQ5)</w:t>
      </w:r>
    </w:p>
    <w:p>
      <w:pPr>
        <w:pStyle w:val="FirstParagraph"/>
      </w:pPr>
      <w:r>
        <w:t xml:space="preserve">The conclusions did not depend on the primary pipeline, the transfer direction or the model class (Table 7).</w:t>
      </w:r>
    </w:p>
    <w:p>
      <w:pPr>
        <w:numPr>
          <w:ilvl w:val="0"/>
          <w:numId w:val="1015"/>
        </w:numPr>
      </w:pPr>
      <w:r>
        <w:rPr>
          <w:bCs/>
          <w:b/>
        </w:rPr>
        <w:t xml:space="preserve">Transfer pipelines.</w:t>
      </w:r>
      <w:r>
        <w:t xml:space="preserve"> </w:t>
      </w:r>
      <w:r>
        <w:t xml:space="preserve">With DS, SBC or no transfer instead of PDS, TJ+N and TJ+ were never flagged as under-covering (§4.3).</w:t>
      </w:r>
    </w:p>
    <w:p>
      <w:pPr>
        <w:numPr>
          <w:ilvl w:val="0"/>
          <w:numId w:val="1015"/>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15"/>
        </w:numPr>
      </w:pPr>
      <w:r>
        <w:rPr>
          <w:bCs/>
          <w:b/>
        </w:rPr>
        <w:t xml:space="preserve">Ridge regression.</w:t>
      </w:r>
      <w:r>
        <w:t xml:space="preserve"> </w:t>
      </w:r>
      <w:r>
        <w:t xml:space="preserve">With ridge source models, TJ+N was valid on all three data sets.</w:t>
      </w:r>
    </w:p>
    <w:p>
      <w:pPr>
        <w:numPr>
          <w:ilvl w:val="0"/>
          <w:numId w:val="1015"/>
        </w:numPr>
      </w:pPr>
      <w:r>
        <w:rPr>
          <w:bCs/>
          <w:b/>
        </w:rPr>
        <w:t xml:space="preserve">1D-CNN on mango.</w:t>
      </w:r>
      <w:r>
        <w:t xml:space="preserve"> </w:t>
      </w:r>
      <w:r>
        <w:t xml:space="preserve">The CNN (110,369 parameters, early stopping after 101 epochs, 36 s on a CPU) reached RMSEP 1.22 % after SBC. On top of it:</w:t>
      </w:r>
    </w:p>
    <w:p>
      <w:pPr>
        <w:numPr>
          <w:ilvl w:val="1"/>
          <w:numId w:val="1016"/>
        </w:numPr>
      </w:pPr>
      <w:r>
        <w:t xml:space="preserve">TJ+N gave coverage 0.910 with the lowest interval score (5.24).</w:t>
      </w:r>
    </w:p>
    <w:p>
      <w:pPr>
        <w:numPr>
          <w:ilvl w:val="1"/>
          <w:numId w:val="1016"/>
        </w:numPr>
      </w:pPr>
      <w:r>
        <w:t xml:space="preserve">Gauss-LOO under-covered in 2/4 scenarios (coverage 0.894; score 5.42).</w:t>
      </w:r>
    </w:p>
    <w:p>
      <w:pPr>
        <w:numPr>
          <w:ilvl w:val="1"/>
          <w:numId w:val="1016"/>
        </w:numPr>
      </w:pPr>
      <w:r>
        <w:t xml:space="preserve">MC-dropout intervals</w:t>
      </w:r>
      <w:r>
        <w:t xml:space="preserve"> </w:t>
      </w:r>
      <w:r>
        <w:t xml:space="preserve">[32]</w:t>
      </w:r>
      <w:r>
        <w:t xml:space="preserve">, a common deep-learning uncertainty estimate for spectra</w:t>
      </w:r>
      <w:r>
        <w:t xml:space="preserve"> </w:t>
      </w:r>
      <w:r>
        <w:t xml:space="preserve">[41]</w:t>
      </w:r>
      <w:r>
        <w:t xml:space="preserve">, under-covered in 4/4 scenarios (coverage 0.807). Their epistemic variance does not reflect the season shift.</w:t>
      </w:r>
    </w:p>
    <w:p>
      <w:pPr>
        <w:pStyle w:val="FirstParagraph"/>
      </w:pPr>
      <w:r>
        <w:t xml:space="preserve">Over all generalisation settings, TJ+N under-covered in 0 of 22 scenarios.</w:t>
      </w:r>
    </w:p>
    <w:p>
      <w:pPr>
        <w:pStyle w:val="TableCaption"/>
        <w:keepNext/>
      </w:pPr>
      <w:r>
        <w:rPr>
          <w:bCs/>
          <w:b/>
        </w:rPr>
        <w:t xml:space="preserve">Table 7.</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7.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(11/12);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corn RMSEP by window was 3: 0.237, 7: 0.348, 11: 0.503, which shows that the pre-registered window of 5 was not the most accurate choice for corn; it was nevertheless kept, since the window was not tuned on target data. Interval validity was unaffected: TJ+N under-covered in 0 of 27 sensitivity scenarios (coverage 0.899–0.972; Table S3). The source-calibrated intervals under-covered in 49 of 54 cases. Their validity also depended on the setting; for example, ASTM-PI coverage fell to 0.78 for the tablet assay with two latent variables fewer.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9"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10). The source model is never re-fitted. The added cost is therefore negligible for routine laboratory use, and it scales linearly with</w:t>
      </w:r>
      <w:r>
        <w:t xml:space="preserve"> </w:t>
      </w:r>
      <w:r>
        <w:rPr>
          <w:iCs/>
          <w:i/>
        </w:rPr>
        <w:t xml:space="preserve">m</w:t>
      </w:r>
      <w:r>
        <w:t xml:space="preserve"> </w:t>
      </w:r>
      <w:r>
        <w:t xml:space="preserve">and with the cost of one transfer fit.</w:t>
      </w:r>
    </w:p>
    <w:p>
      <w:pPr>
        <w:pStyle w:val="CaptionedFigure"/>
        <w:keepNext/>
        <w:jc w:val="center"/>
      </w:pPr>
      <w:r>
        <w:drawing>
          <wp:inline>
            <wp:extent cx="5753100" cy="3318645"/>
            <wp:effectExtent b="0" l="0" r="0" t="0"/>
            <wp:docPr descr="Fig. 10. Wall-clock time per test batch (single CPU core, median of 20 runs, logarithmic scale)." title="" id="67" name="Picture"/>
            <a:graphic>
              <a:graphicData uri="http://schemas.openxmlformats.org/drawingml/2006/picture">
                <pic:pic>
                  <pic:nvPicPr>
                    <pic:cNvPr descr="figures/fig9_timing.png" id="68" name="Picture"/>
                    <pic:cNvPicPr>
                      <a:picLocks noChangeArrowheads="1" noChangeAspect="1"/>
                    </pic:cNvPicPr>
                  </pic:nvPicPr>
                  <pic:blipFill>
                    <a:blip r:embed="rId66"/>
                    <a:stretch>
                      <a:fillRect/>
                    </a:stretch>
                  </pic:blipFill>
                  <pic:spPr bwMode="auto">
                    <a:xfrm>
                      <a:off x="0" y="0"/>
                      <a:ext cx="5753100" cy="3318645"/>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Wall-clock time per test batch (single CPU core, median of 20 runs, logarithmic scale).</w:t>
      </w:r>
    </w:p>
    <w:bookmarkEnd w:id="69"/>
    <w:bookmarkStart w:id="70" w:name="practical-recommendations"/>
    <w:p>
      <w:pPr>
        <w:pStyle w:val="Heading2"/>
      </w:pPr>
      <w:r>
        <w:t xml:space="preserve">4.11. Practical recommendations</w:t>
      </w:r>
    </w:p>
    <w:p>
      <w:pPr>
        <w:numPr>
          <w:ilvl w:val="0"/>
          <w:numId w:val="1017"/>
        </w:numPr>
      </w:pPr>
      <w:r>
        <w:t xml:space="preserve">Do not reuse source-domain interval formulas after transfer without checking them on target data.</w:t>
      </w:r>
    </w:p>
    <w:p>
      <w:pPr>
        <w:numPr>
          <w:ilvl w:val="0"/>
          <w:numId w:val="1017"/>
        </w:numPr>
      </w:pPr>
      <w:r>
        <w:t xml:space="preserve">Draw at least part of the transfer standards at random from the routine target population, and obtain their reference values.</w:t>
      </w:r>
    </w:p>
    <w:p>
      <w:pPr>
        <w:numPr>
          <w:ilvl w:val="0"/>
          <w:numId w:val="1017"/>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17"/>
        </w:numPr>
      </w:pPr>
      <w:r>
        <w:t xml:space="preserve">Report the leave-one-standard-out RMSE as well. Gaussian intervals built from it are a reasonable approximation at 90% but can under-cover at 95%.</w:t>
      </w:r>
    </w:p>
    <w:p>
      <w:pPr>
        <w:numPr>
          <w:ilvl w:val="0"/>
          <w:numId w:val="1017"/>
        </w:numPr>
      </w:pPr>
      <w:r>
        <w:t xml:space="preserve">Flag predictions with large Q residuals after transfer.</w:t>
      </w:r>
    </w:p>
    <w:bookmarkEnd w:id="70"/>
    <w:bookmarkEnd w:id="71"/>
    <w:bookmarkStart w:id="72" w:name="limitations"/>
    <w:p>
      <w:pPr>
        <w:pStyle w:val="Heading1"/>
      </w:pPr>
      <w:r>
        <w:t xml:space="preserve">5. Limitations</w:t>
      </w:r>
    </w:p>
    <w:p>
      <w:pPr>
        <w:numPr>
          <w:ilvl w:val="0"/>
          <w:numId w:val="1018"/>
        </w:numPr>
      </w:pPr>
      <w:r>
        <w:rPr>
          <w:bCs/>
          <w:b/>
        </w:rPr>
        <w:t xml:space="preserve">Reference values for the standards.</w:t>
      </w:r>
    </w:p>
    <w:p>
      <w:pPr>
        <w:numPr>
          <w:ilvl w:val="1"/>
          <w:numId w:val="1019"/>
        </w:numPr>
      </w:pPr>
      <w:r>
        <w:t xml:space="preserve">TJ+ needs the reference values of the transfer standards.</w:t>
      </w:r>
    </w:p>
    <w:p>
      <w:pPr>
        <w:numPr>
          <w:ilvl w:val="1"/>
          <w:numId w:val="1019"/>
        </w:numPr>
      </w:pPr>
      <w:r>
        <w:t xml:space="preserve">SBC needs them anyway, and PDS/DS standards are usually calibration samples with known values.</w:t>
      </w:r>
    </w:p>
    <w:p>
      <w:pPr>
        <w:numPr>
          <w:ilvl w:val="1"/>
          <w:numId w:val="1019"/>
        </w:numPr>
      </w:pPr>
      <w:r>
        <w:t xml:space="preserve">When reference values are unavailable, only the exploratory label-free variant applies, and it carries no guarantee and under-covered in our tests (§4.7).</w:t>
      </w:r>
    </w:p>
    <w:p>
      <w:pPr>
        <w:numPr>
          <w:ilvl w:val="0"/>
          <w:numId w:val="1018"/>
        </w:numPr>
      </w:pPr>
      <w:r>
        <w:rPr>
          <w:bCs/>
          <w:b/>
        </w:rPr>
        <w:t xml:space="preserve">How the standards are selected.</w:t>
      </w:r>
    </w:p>
    <w:p>
      <w:pPr>
        <w:numPr>
          <w:ilvl w:val="1"/>
          <w:numId w:val="1020"/>
        </w:numPr>
      </w:pPr>
      <w:r>
        <w:t xml:space="preserve">The guarantee assumes the standards are a random sample of the target population, exchangeable with future samples.</w:t>
      </w:r>
    </w:p>
    <w:p>
      <w:pPr>
        <w:numPr>
          <w:ilvl w:val="1"/>
          <w:numId w:val="1020"/>
        </w:numPr>
      </w:pPr>
      <w:r>
        <w:t xml:space="preserve">Kennard–Stone and other representative designs violate this assumption. Kennard–Stone selection made TJ+N conservative in our tests (§4.5), but it is not covered by Proposition 1.</w:t>
      </w:r>
    </w:p>
    <w:p>
      <w:pPr>
        <w:numPr>
          <w:ilvl w:val="1"/>
          <w:numId w:val="1020"/>
        </w:numPr>
      </w:pPr>
      <w:r>
        <w:t xml:space="preserve">In practice, a random subset of standards can be reserved for interval calibration.</w:t>
      </w:r>
    </w:p>
    <w:p>
      <w:pPr>
        <w:numPr>
          <w:ilvl w:val="0"/>
          <w:numId w:val="1018"/>
        </w:numPr>
      </w:pPr>
      <w:r>
        <w:rPr>
          <w:bCs/>
          <w:b/>
        </w:rPr>
        <w:t xml:space="preserve">Marginal, not conditional, guarantee.</w:t>
      </w:r>
    </w:p>
    <w:p>
      <w:pPr>
        <w:numPr>
          <w:ilvl w:val="1"/>
          <w:numId w:val="1021"/>
        </w:numPr>
      </w:pPr>
      <w:r>
        <w:t xml:space="preserve">Coverage holds on average over the draw of standards and future samples.</w:t>
      </w:r>
    </w:p>
    <w:p>
      <w:pPr>
        <w:numPr>
          <w:ilvl w:val="1"/>
          <w:numId w:val="1021"/>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1"/>
        </w:numPr>
      </w:pPr>
      <w:r>
        <w:t xml:space="preserve">The worst-case bound is 1−2α, although the observed coverage was close to or above 1−α.</w:t>
      </w:r>
    </w:p>
    <w:p>
      <w:pPr>
        <w:numPr>
          <w:ilvl w:val="0"/>
          <w:numId w:val="1018"/>
        </w:numPr>
      </w:pPr>
      <w:r>
        <w:rPr>
          <w:bCs/>
          <w:b/>
        </w:rPr>
        <w:t xml:space="preserve">Scope of the evidence.</w:t>
      </w:r>
    </w:p>
    <w:p>
      <w:pPr>
        <w:numPr>
          <w:ilvl w:val="1"/>
          <w:numId w:val="1022"/>
        </w:numPr>
      </w:pPr>
      <w:r>
        <w:t xml:space="preserve">Three public NIR data sets were used, one of them small (corn,</w:t>
      </w:r>
      <w:r>
        <w:t xml:space="preserve"> </w:t>
      </w:r>
      <w:r>
        <w:rPr>
          <w:iCs/>
          <w:i/>
        </w:rPr>
        <w:t xml:space="preserve">n</w:t>
      </w:r>
      <w:r>
        <w:t xml:space="preserve"> </w:t>
      </w:r>
      <w:r>
        <w:t xml:space="preserve">= 80), with two instrument pairs and one season shift.</w:t>
      </w:r>
    </w:p>
    <w:p>
      <w:pPr>
        <w:numPr>
          <w:ilvl w:val="1"/>
          <w:numId w:val="1022"/>
        </w:numPr>
      </w:pPr>
      <w:r>
        <w:t xml:space="preserve">The noise, wavelength-shift and source-size perturbations are simulated.</w:t>
      </w:r>
    </w:p>
    <w:p>
      <w:pPr>
        <w:numPr>
          <w:ilvl w:val="1"/>
          <w:numId w:val="1022"/>
        </w:numPr>
      </w:pPr>
      <w:r>
        <w:t xml:space="preserve">Other techniques (Raman, MIR), non-linear or deep domain-adaptation transfers, and process data streams with drift were not tested.</w:t>
      </w:r>
    </w:p>
    <w:p>
      <w:pPr>
        <w:numPr>
          <w:ilvl w:val="0"/>
          <w:numId w:val="1018"/>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18"/>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18"/>
        </w:numPr>
      </w:pPr>
      <w:r>
        <w:rPr>
          <w:bCs/>
          <w:b/>
        </w:rPr>
        <w:t xml:space="preserve">Drift after standardisation.</w:t>
      </w:r>
      <w:r>
        <w:t xml:space="preserve"> </w:t>
      </w:r>
      <w:r>
        <w:t xml:space="preserve">A shift of the routine spectra after the transfer has been fitted (simulated as a one-channel wavelength shift) invalidated all intervals, including TJ+N (§4.5). The guarantee presupposes a stable target instrument between standardisation and use.</w:t>
      </w:r>
    </w:p>
    <w:bookmarkEnd w:id="72"/>
    <w:bookmarkStart w:id="73"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w:t>
      </w:r>
    </w:p>
    <w:p>
      <w:pPr>
        <w:pStyle w:val="BodyText"/>
      </w:pPr>
      <w:r>
        <w:t xml:space="preserve">We recommend:</w:t>
      </w:r>
    </w:p>
    <w:p>
      <w:pPr>
        <w:numPr>
          <w:ilvl w:val="0"/>
          <w:numId w:val="1023"/>
        </w:numPr>
      </w:pPr>
      <w:r>
        <w:t xml:space="preserve">drawing at least a random subset of transfer standards from the target population;</w:t>
      </w:r>
    </w:p>
    <w:p>
      <w:pPr>
        <w:numPr>
          <w:ilvl w:val="0"/>
          <w:numId w:val="1023"/>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23"/>
        </w:numPr>
      </w:pPr>
      <w:r>
        <w:t xml:space="preserve">reporting TJ+-type intervals, or at least Gaussian leave-one-standard-out intervals, alongside RMSEP whenever a calibration is transferred.</w:t>
      </w:r>
    </w:p>
    <w:bookmarkEnd w:id="73"/>
    <w:bookmarkStart w:id="74"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[33]</w:t>
      </w:r>
      <w:r>
        <w:t xml:space="preserve">, and mango DMC from Mendeley Data (doi:10.17632/46htwnp833, CC BY 4.0)</w:t>
      </w:r>
      <w:r>
        <w:t xml:space="preserve"> </w:t>
      </w:r>
      <w:r>
        <w:t xml:space="preserve">[34]</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4"/>
    <w:bookmarkStart w:id="155" w:name="bibliography"/>
    <w:p>
      <w:r>
        <w:br w:type="page"/>
      </w:r>
    </w:p>
    <w:p>
      <w:pPr>
        <w:pStyle w:val="Heading1"/>
      </w:pPr>
      <w:r>
        <w:t xml:space="preserve">References</w:t>
      </w:r>
    </w:p>
    <w:bookmarkStart w:id="154" w:name="refs"/>
    <w:bookmarkStart w:id="76"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5">
        <w:r>
          <w:rPr>
            <w:rStyle w:val="Hyperlink"/>
          </w:rPr>
          <w:t xml:space="preserve">10.1016/j.aca.2018.04.004</w:t>
        </w:r>
      </w:hyperlink>
      <w:r>
        <w:t xml:space="preserve">.</w:t>
      </w:r>
    </w:p>
    <w:bookmarkEnd w:id="76"/>
    <w:bookmarkStart w:id="78"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7">
        <w:r>
          <w:rPr>
            <w:rStyle w:val="Hyperlink"/>
          </w:rPr>
          <w:t xml:space="preserve">10.1016/S0169-7439(02)00085-0</w:t>
        </w:r>
      </w:hyperlink>
      <w:r>
        <w:t xml:space="preserve">.</w:t>
      </w:r>
    </w:p>
    <w:bookmarkEnd w:id="78"/>
    <w:bookmarkStart w:id="80"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79">
        <w:r>
          <w:rPr>
            <w:rStyle w:val="Hyperlink"/>
          </w:rPr>
          <w:t xml:space="preserve">10.1177/0003702817736064</w:t>
        </w:r>
      </w:hyperlink>
      <w:r>
        <w:t xml:space="preserve">.</w:t>
      </w:r>
    </w:p>
    <w:bookmarkEnd w:id="80"/>
    <w:bookmarkStart w:id="82"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1">
        <w:r>
          <w:rPr>
            <w:rStyle w:val="Hyperlink"/>
          </w:rPr>
          <w:t xml:space="preserve">10.1016/j.postharvbio.2020.111202</w:t>
        </w:r>
      </w:hyperlink>
      <w:r>
        <w:t xml:space="preserve">.</w:t>
      </w:r>
    </w:p>
    <w:bookmarkEnd w:id="82"/>
    <w:bookmarkStart w:id="84"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3">
        <w:r>
          <w:rPr>
            <w:rStyle w:val="Hyperlink"/>
          </w:rPr>
          <w:t xml:space="preserve">10.1021/ac00023a016</w:t>
        </w:r>
      </w:hyperlink>
      <w:r>
        <w:t xml:space="preserve">.</w:t>
      </w:r>
    </w:p>
    <w:bookmarkEnd w:id="84"/>
    <w:bookmarkStart w:id="86"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5">
        <w:r>
          <w:rPr>
            <w:rStyle w:val="Hyperlink"/>
          </w:rPr>
          <w:t xml:space="preserve">10.1016/0169-7439(95)00074-7</w:t>
        </w:r>
      </w:hyperlink>
      <w:r>
        <w:t xml:space="preserve">.</w:t>
      </w:r>
    </w:p>
    <w:bookmarkEnd w:id="86"/>
    <w:bookmarkStart w:id="88"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7">
        <w:r>
          <w:rPr>
            <w:rStyle w:val="Hyperlink"/>
          </w:rPr>
          <w:t xml:space="preserve">10.1021/acs.analchem.8b00498</w:t>
        </w:r>
      </w:hyperlink>
      <w:r>
        <w:t xml:space="preserve">.</w:t>
      </w:r>
    </w:p>
    <w:bookmarkEnd w:id="88"/>
    <w:bookmarkStart w:id="90"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&amp;Amp; Technology 111 (2020) 103547. https://doi.org/</w:t>
      </w:r>
      <w:hyperlink r:id="rId89">
        <w:r>
          <w:rPr>
            <w:rStyle w:val="Hyperlink"/>
          </w:rPr>
          <w:t xml:space="preserve">10.1016/j.infrared.2020.103547</w:t>
        </w:r>
      </w:hyperlink>
      <w:r>
        <w:t xml:space="preserve">.</w:t>
      </w:r>
    </w:p>
    <w:bookmarkEnd w:id="90"/>
    <w:bookmarkStart w:id="92"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1">
        <w:r>
          <w:rPr>
            <w:rStyle w:val="Hyperlink"/>
          </w:rPr>
          <w:t xml:space="preserve">10.1016/j.aca.2022.340154</w:t>
        </w:r>
      </w:hyperlink>
      <w:r>
        <w:t xml:space="preserve">.</w:t>
      </w:r>
    </w:p>
    <w:bookmarkEnd w:id="92"/>
    <w:bookmarkStart w:id="94"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3">
        <w:r>
          <w:rPr>
            <w:rStyle w:val="Hyperlink"/>
          </w:rPr>
          <w:t xml:space="preserve">10.1016/j.aca.2024.342404</w:t>
        </w:r>
      </w:hyperlink>
      <w:r>
        <w:t xml:space="preserve">.</w:t>
      </w:r>
    </w:p>
    <w:bookmarkEnd w:id="94"/>
    <w:bookmarkStart w:id="96"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5">
        <w:r>
          <w:rPr>
            <w:rStyle w:val="Hyperlink"/>
          </w:rPr>
          <w:t xml:space="preserve">10.1016/j.aca.2025.344151</w:t>
        </w:r>
      </w:hyperlink>
      <w:r>
        <w:t xml:space="preserve">.</w:t>
      </w:r>
    </w:p>
    <w:bookmarkEnd w:id="96"/>
    <w:bookmarkStart w:id="98"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7">
        <w:r>
          <w:rPr>
            <w:rStyle w:val="Hyperlink"/>
          </w:rPr>
          <w:t xml:space="preserve">10.1016/j.aca.2026.346104</w:t>
        </w:r>
      </w:hyperlink>
      <w:r>
        <w:t xml:space="preserve">.</w:t>
      </w:r>
    </w:p>
    <w:bookmarkEnd w:id="98"/>
    <w:bookmarkStart w:id="100"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99">
        <w:r>
          <w:rPr>
            <w:rStyle w:val="Hyperlink"/>
          </w:rPr>
          <w:t xml:space="preserve">10.1002/(SICI)1099-128X(199705)11:3&lt;181::AID-CEM459&gt;3.0.CO;2-7</w:t>
        </w:r>
      </w:hyperlink>
      <w:r>
        <w:t xml:space="preserve">.</w:t>
      </w:r>
    </w:p>
    <w:bookmarkEnd w:id="100"/>
    <w:bookmarkStart w:id="102"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1">
        <w:r>
          <w:rPr>
            <w:rStyle w:val="Hyperlink"/>
          </w:rPr>
          <w:t xml:space="preserve">10.1351/pac200678030633</w:t>
        </w:r>
      </w:hyperlink>
      <w:r>
        <w:t xml:space="preserve">.</w:t>
      </w:r>
    </w:p>
    <w:bookmarkEnd w:id="102"/>
    <w:bookmarkStart w:id="104"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3">
        <w:r>
          <w:rPr>
            <w:rStyle w:val="Hyperlink"/>
          </w:rPr>
          <w:t xml:space="preserve">10.1016/j.aca.2015.11.028</w:t>
        </w:r>
      </w:hyperlink>
      <w:r>
        <w:t xml:space="preserve">.</w:t>
      </w:r>
    </w:p>
    <w:bookmarkEnd w:id="104"/>
    <w:bookmarkStart w:id="106"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5">
        <w:r>
          <w:rPr>
            <w:rStyle w:val="Hyperlink"/>
          </w:rPr>
          <w:t xml:space="preserve">10.1520/E1655-17</w:t>
        </w:r>
      </w:hyperlink>
      <w:r>
        <w:t xml:space="preserve">.</w:t>
      </w:r>
    </w:p>
    <w:bookmarkEnd w:id="106"/>
    <w:bookmarkStart w:id="108"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7">
        <w:r>
          <w:rPr>
            <w:rStyle w:val="Hyperlink"/>
          </w:rPr>
          <w:t xml:space="preserve">10.1007/b106715</w:t>
        </w:r>
      </w:hyperlink>
      <w:r>
        <w:t xml:space="preserve">.</w:t>
      </w:r>
    </w:p>
    <w:bookmarkEnd w:id="108"/>
    <w:bookmarkStart w:id="110"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9">
        <w:r>
          <w:rPr>
            <w:rStyle w:val="Hyperlink"/>
          </w:rPr>
          <w:t xml:space="preserve">10.1080/01621459.2017.1307116</w:t>
        </w:r>
      </w:hyperlink>
      <w:r>
        <w:t xml:space="preserve">.</w:t>
      </w:r>
    </w:p>
    <w:bookmarkEnd w:id="110"/>
    <w:bookmarkStart w:id="112"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1">
        <w:r>
          <w:rPr>
            <w:rStyle w:val="Hyperlink"/>
          </w:rPr>
          <w:t xml:space="preserve">10.1561/2200000101</w:t>
        </w:r>
      </w:hyperlink>
      <w:r>
        <w:t xml:space="preserve">.</w:t>
      </w:r>
    </w:p>
    <w:bookmarkEnd w:id="112"/>
    <w:bookmarkStart w:id="114"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3">
        <w:r>
          <w:rPr>
            <w:rStyle w:val="Hyperlink"/>
          </w:rPr>
          <w:t xml:space="preserve">10.3150/21-BEJ1447</w:t>
        </w:r>
      </w:hyperlink>
      <w:r>
        <w:t xml:space="preserve">.</w:t>
      </w:r>
    </w:p>
    <w:bookmarkEnd w:id="114"/>
    <w:bookmarkStart w:id="116"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5">
        <w:r>
          <w:rPr>
            <w:rStyle w:val="Hyperlink"/>
          </w:rPr>
          <w:t xml:space="preserve">10.1177/0003702819831017</w:t>
        </w:r>
      </w:hyperlink>
      <w:r>
        <w:t xml:space="preserve">.</w:t>
      </w:r>
    </w:p>
    <w:bookmarkEnd w:id="116"/>
    <w:bookmarkStart w:id="118"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7">
        <w:r>
          <w:rPr>
            <w:rStyle w:val="Hyperlink"/>
          </w:rPr>
          <w:t xml:space="preserve">10.1002/cem.3639</w:t>
        </w:r>
      </w:hyperlink>
      <w:r>
        <w:t xml:space="preserve">.</w:t>
      </w:r>
    </w:p>
    <w:bookmarkEnd w:id="118"/>
    <w:bookmarkStart w:id="120"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19">
        <w:r>
          <w:rPr>
            <w:rStyle w:val="Hyperlink"/>
          </w:rPr>
          <w:t xml:space="preserve">10.1016/j.chemolab.2024.105225</w:t>
        </w:r>
      </w:hyperlink>
      <w:r>
        <w:t xml:space="preserve">.</w:t>
      </w:r>
    </w:p>
    <w:bookmarkEnd w:id="120"/>
    <w:bookmarkStart w:id="122"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1">
        <w:r>
          <w:rPr>
            <w:rStyle w:val="Hyperlink"/>
          </w:rPr>
          <w:t xml:space="preserve">10.1002/cem.70017</w:t>
        </w:r>
      </w:hyperlink>
      <w:r>
        <w:t xml:space="preserve">.</w:t>
      </w:r>
    </w:p>
    <w:bookmarkEnd w:id="122"/>
    <w:bookmarkStart w:id="124"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3">
        <w:r>
          <w:rPr>
            <w:rStyle w:val="Hyperlink"/>
          </w:rPr>
          <w:t xml:space="preserve">10.1016/j.foodchem.2025.145387</w:t>
        </w:r>
      </w:hyperlink>
      <w:r>
        <w:t xml:space="preserve">.</w:t>
      </w:r>
    </w:p>
    <w:bookmarkEnd w:id="124"/>
    <w:bookmarkStart w:id="126"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5">
        <w:r>
          <w:rPr>
            <w:rStyle w:val="Hyperlink"/>
          </w:rPr>
          <w:t xml:space="preserve">https://arxiv.org/abs/2512.23444</w:t>
        </w:r>
      </w:hyperlink>
      <w:r>
        <w:t xml:space="preserve">.</w:t>
      </w:r>
    </w:p>
    <w:bookmarkEnd w:id="126"/>
    <w:bookmarkStart w:id="128"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7">
        <w:r>
          <w:rPr>
            <w:rStyle w:val="Hyperlink"/>
          </w:rPr>
          <w:t xml:space="preserve">10.1021/ci5001168</w:t>
        </w:r>
      </w:hyperlink>
      <w:r>
        <w:t xml:space="preserve">.</w:t>
      </w:r>
    </w:p>
    <w:bookmarkEnd w:id="128"/>
    <w:bookmarkStart w:id="129"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29"/>
    <w:bookmarkStart w:id="131" w:name="ref-doula2026"/>
    <w:p>
      <w:pPr>
        <w:pStyle w:val="Bibliography"/>
      </w:pPr>
      <w:r>
        <w:t xml:space="preserve">[29]</w:t>
      </w:r>
      <w:r>
        <w:t xml:space="preserve"> </w:t>
      </w:r>
      <w:r>
        <w:t xml:space="preserve">	</w:t>
      </w:r>
      <w:r>
        <w:t xml:space="preserve">A. Doula, Conformal calibration transfer, arXiv Preprint arXiv:2609.10737 (Accepted at ICML 2026) (2026).</w:t>
      </w:r>
      <w:r>
        <w:t xml:space="preserve"> </w:t>
      </w:r>
      <w:hyperlink r:id="rId130">
        <w:r>
          <w:rPr>
            <w:rStyle w:val="Hyperlink"/>
          </w:rPr>
          <w:t xml:space="preserve">https://arxiv.org/abs/2609.10737</w:t>
        </w:r>
      </w:hyperlink>
      <w:r>
        <w:t xml:space="preserve">.</w:t>
      </w:r>
    </w:p>
    <w:bookmarkEnd w:id="131"/>
    <w:bookmarkStart w:id="133" w:name="ref-barber2021"/>
    <w:p>
      <w:pPr>
        <w:pStyle w:val="Bibliography"/>
      </w:pPr>
      <w:r>
        <w:t xml:space="preserve">[30]</w:t>
      </w:r>
      <w:r>
        <w:t xml:space="preserve"> </w:t>
      </w:r>
      <w:r>
        <w:t xml:space="preserve">	</w:t>
      </w:r>
      <w:r>
        <w:t xml:space="preserve">R.F. Barber, E.J. Candès, A. Ramdas, R.J. Tibshirani, Predictive inference with the jackknife+, The Annals of Statistics 49 (2021) 486–507. https://doi.org/</w:t>
      </w:r>
      <w:hyperlink r:id="rId132">
        <w:r>
          <w:rPr>
            <w:rStyle w:val="Hyperlink"/>
          </w:rPr>
          <w:t xml:space="preserve">10.1214/20-aos1965</w:t>
        </w:r>
      </w:hyperlink>
      <w:r>
        <w:t xml:space="preserve">.</w:t>
      </w:r>
    </w:p>
    <w:bookmarkEnd w:id="133"/>
    <w:bookmarkStart w:id="135" w:name="ref-kennard1969"/>
    <w:p>
      <w:pPr>
        <w:pStyle w:val="Bibliography"/>
      </w:pPr>
      <w:r>
        <w:t xml:space="preserve">[31]</w:t>
      </w:r>
      <w:r>
        <w:t xml:space="preserve"> </w:t>
      </w:r>
      <w:r>
        <w:t xml:space="preserve">	</w:t>
      </w:r>
      <w:r>
        <w:t xml:space="preserve">R.W. Kennard, L.A. Stone, Computer Aided Design of Experiments, Technometrics 11 (1969) 137–148. https://doi.org/</w:t>
      </w:r>
      <w:hyperlink r:id="rId134">
        <w:r>
          <w:rPr>
            <w:rStyle w:val="Hyperlink"/>
          </w:rPr>
          <w:t xml:space="preserve">10.1080/00401706.1969.10490666</w:t>
        </w:r>
      </w:hyperlink>
      <w:r>
        <w:t xml:space="preserve">.</w:t>
      </w:r>
    </w:p>
    <w:bookmarkEnd w:id="135"/>
    <w:bookmarkStart w:id="136" w:name="ref-gal2016"/>
    <w:p>
      <w:pPr>
        <w:pStyle w:val="Bibliography"/>
      </w:pPr>
      <w:r>
        <w:t xml:space="preserve">[32]</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36"/>
    <w:bookmarkStart w:id="138" w:name="ref-eigenvector_data"/>
    <w:p>
      <w:pPr>
        <w:pStyle w:val="Bibliography"/>
      </w:pPr>
      <w:r>
        <w:t xml:space="preserve">[33]</w:t>
      </w:r>
      <w:r>
        <w:t xml:space="preserve"> </w:t>
      </w:r>
      <w:r>
        <w:t xml:space="preserve">	</w:t>
      </w:r>
      <w:r>
        <w:t xml:space="preserve">Eigenvector Research, Inc., Data sets: Corn and NIR Shootout 2002 (IDRC), (n.d.).</w:t>
      </w:r>
      <w:r>
        <w:t xml:space="preserve"> </w:t>
      </w:r>
      <w:hyperlink r:id="rId137">
        <w:r>
          <w:rPr>
            <w:rStyle w:val="Hyperlink"/>
          </w:rPr>
          <w:t xml:space="preserve">https://eigenvector.com/resources/data-sets/</w:t>
        </w:r>
      </w:hyperlink>
      <w:r>
        <w:t xml:space="preserve"> </w:t>
      </w:r>
      <w:r>
        <w:t xml:space="preserve">(accessed October 13, 2026).</w:t>
      </w:r>
    </w:p>
    <w:bookmarkEnd w:id="138"/>
    <w:bookmarkStart w:id="140" w:name="ref-mango_data"/>
    <w:p>
      <w:pPr>
        <w:pStyle w:val="Bibliography"/>
      </w:pPr>
      <w:r>
        <w:t xml:space="preserve">[34]</w:t>
      </w:r>
      <w:r>
        <w:t xml:space="preserve"> </w:t>
      </w:r>
      <w:r>
        <w:t xml:space="preserve">	</w:t>
      </w:r>
      <w:r>
        <w:t xml:space="preserve">N. Anderson, K. Walsh, P. Subedi, J. Walsh, Mango DMC and NIR spectra (Version 6), (2026). https://doi.org/</w:t>
      </w:r>
      <w:hyperlink r:id="rId139">
        <w:r>
          <w:rPr>
            <w:rStyle w:val="Hyperlink"/>
          </w:rPr>
          <w:t xml:space="preserve">10.17632/46htwnp833.6</w:t>
        </w:r>
      </w:hyperlink>
      <w:r>
        <w:t xml:space="preserve">.</w:t>
      </w:r>
    </w:p>
    <w:bookmarkEnd w:id="140"/>
    <w:bookmarkStart w:id="142" w:name="ref-barnes1989"/>
    <w:p>
      <w:pPr>
        <w:pStyle w:val="Bibliography"/>
      </w:pPr>
      <w:r>
        <w:t xml:space="preserve">[35]</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1">
        <w:r>
          <w:rPr>
            <w:rStyle w:val="Hyperlink"/>
          </w:rPr>
          <w:t xml:space="preserve">10.1366/0003702894202201</w:t>
        </w:r>
      </w:hyperlink>
      <w:r>
        <w:t xml:space="preserve">.</w:t>
      </w:r>
    </w:p>
    <w:bookmarkEnd w:id="142"/>
    <w:bookmarkStart w:id="144" w:name="ref-savitzky1964"/>
    <w:p>
      <w:pPr>
        <w:pStyle w:val="Bibliography"/>
      </w:pPr>
      <w:r>
        <w:t xml:space="preserve">[36]</w:t>
      </w:r>
      <w:r>
        <w:t xml:space="preserve"> </w:t>
      </w:r>
      <w:r>
        <w:t xml:space="preserve">	</w:t>
      </w:r>
      <w:r>
        <w:t xml:space="preserve">Abraham. Savitzky, M.J.E. Golay, Smoothing and Differentiation of Data by Simplified Least Squares Procedures., Analytical Chemistry 36 (1964) 1627–1639. https://doi.org/</w:t>
      </w:r>
      <w:hyperlink r:id="rId143">
        <w:r>
          <w:rPr>
            <w:rStyle w:val="Hyperlink"/>
          </w:rPr>
          <w:t xml:space="preserve">10.1021/ac60214a047</w:t>
        </w:r>
      </w:hyperlink>
      <w:r>
        <w:t xml:space="preserve">.</w:t>
      </w:r>
    </w:p>
    <w:bookmarkEnd w:id="144"/>
    <w:bookmarkStart w:id="146" w:name="ref-wold2001"/>
    <w:p>
      <w:pPr>
        <w:pStyle w:val="Bibliography"/>
      </w:pPr>
      <w:r>
        <w:t xml:space="preserve">[37]</w:t>
      </w:r>
      <w:r>
        <w:t xml:space="preserve"> </w:t>
      </w:r>
      <w:r>
        <w:t xml:space="preserve">	</w:t>
      </w:r>
      <w:r>
        <w:t xml:space="preserve">S. Wold, M. Sjöström, L. Eriksson, PLS-regression: a basic tool of chemometrics, Chemometrics and Intelligent Laboratory Systems 58 (2001) 109–130. https://doi.org/</w:t>
      </w:r>
      <w:hyperlink r:id="rId145">
        <w:r>
          <w:rPr>
            <w:rStyle w:val="Hyperlink"/>
          </w:rPr>
          <w:t xml:space="preserve">10.1016/S0169-7439(01)00155-1</w:t>
        </w:r>
      </w:hyperlink>
      <w:r>
        <w:t xml:space="preserve">.</w:t>
      </w:r>
    </w:p>
    <w:bookmarkEnd w:id="146"/>
    <w:bookmarkStart w:id="148" w:name="ref-gneiting2007"/>
    <w:p>
      <w:pPr>
        <w:pStyle w:val="Bibliography"/>
      </w:pPr>
      <w:r>
        <w:t xml:space="preserve">[38]</w:t>
      </w:r>
      <w:r>
        <w:t xml:space="preserve"> </w:t>
      </w:r>
      <w:r>
        <w:t xml:space="preserve">	</w:t>
      </w:r>
      <w:r>
        <w:t xml:space="preserve">T. Gneiting, A.E. Raftery, Strictly Proper Scoring Rules, Prediction, and Estimation, Journal of the American Statistical Association 102 (2007) 359–378. https://doi.org/</w:t>
      </w:r>
      <w:hyperlink r:id="rId147">
        <w:r>
          <w:rPr>
            <w:rStyle w:val="Hyperlink"/>
          </w:rPr>
          <w:t xml:space="preserve">10.1198/016214506000001437</w:t>
        </w:r>
      </w:hyperlink>
      <w:r>
        <w:t xml:space="preserve">.</w:t>
      </w:r>
    </w:p>
    <w:bookmarkEnd w:id="148"/>
    <w:bookmarkStart w:id="150" w:name="ref-holm1979"/>
    <w:p>
      <w:pPr>
        <w:pStyle w:val="Bibliography"/>
      </w:pPr>
      <w:r>
        <w:t xml:space="preserve">[39]</w:t>
      </w:r>
      <w:r>
        <w:t xml:space="preserve"> </w:t>
      </w:r>
      <w:r>
        <w:t xml:space="preserve">	</w:t>
      </w:r>
      <w:r>
        <w:t xml:space="preserve">S. Holm, A simple sequentially rejective multiple test procedure, Scandinavian Journal of Statistics 6 (1979) 65–70. https://doi.org/</w:t>
      </w:r>
      <w:hyperlink r:id="rId149">
        <w:r>
          <w:rPr>
            <w:rStyle w:val="Hyperlink"/>
          </w:rPr>
          <w:t xml:space="preserve">10.2307/4615733</w:t>
        </w:r>
      </w:hyperlink>
      <w:r>
        <w:t xml:space="preserve">.</w:t>
      </w:r>
    </w:p>
    <w:bookmarkEnd w:id="150"/>
    <w:bookmarkStart w:id="151" w:name="ref-demsar2006"/>
    <w:p>
      <w:pPr>
        <w:pStyle w:val="Bibliography"/>
      </w:pPr>
      <w:r>
        <w:t xml:space="preserve">[40]</w:t>
      </w:r>
      <w:r>
        <w:t xml:space="preserve"> </w:t>
      </w:r>
      <w:r>
        <w:t xml:space="preserve">	</w:t>
      </w:r>
      <w:r>
        <w:t xml:space="preserve">J. Demšar, Statistical comparisons of classifiers over multiple data sets, Journal of Machine Learning Research 7 (2006) 1–30.</w:t>
      </w:r>
    </w:p>
    <w:bookmarkEnd w:id="151"/>
    <w:bookmarkStart w:id="153" w:name="ref-maxime2025"/>
    <w:p>
      <w:pPr>
        <w:pStyle w:val="Bibliography"/>
      </w:pPr>
      <w:r>
        <w:t xml:space="preserve">[41]</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2">
        <w:r>
          <w:rPr>
            <w:rStyle w:val="Hyperlink"/>
          </w:rPr>
          <w:t xml:space="preserve">10.1016/j.chemolab.2025.105532</w:t>
        </w:r>
      </w:hyperlink>
      <w:r>
        <w:t xml:space="preserve">.</w:t>
      </w:r>
    </w:p>
    <w:bookmarkEnd w:id="153"/>
    <w:bookmarkEnd w:id="154"/>
    <w:bookmarkEnd w:id="155"/>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66" Type="http://schemas.openxmlformats.org/officeDocument/2006/relationships/image" Target="media/rId66.png"/><Relationship Id="rId125" Type="http://schemas.openxmlformats.org/officeDocument/2006/relationships/hyperlink" Target="https://arxiv.org/abs/2512.23444" TargetMode="External"/><Relationship Id="rId130" Type="http://schemas.openxmlformats.org/officeDocument/2006/relationships/hyperlink" Target="https://arxiv.org/abs/2609.10737" TargetMode="External"/><Relationship Id="rId99" Type="http://schemas.openxmlformats.org/officeDocument/2006/relationships/hyperlink" Target="https://doi.org/10.1002/(SICI)1099-128X(199705)11:3&lt;181::AID-CEM459&gt;3.0.CO;2-7" TargetMode="External"/><Relationship Id="rId117" Type="http://schemas.openxmlformats.org/officeDocument/2006/relationships/hyperlink" Target="https://doi.org/10.1002/cem.3639" TargetMode="External"/><Relationship Id="rId121" Type="http://schemas.openxmlformats.org/officeDocument/2006/relationships/hyperlink" Target="https://doi.org/10.1002/cem.70017" TargetMode="External"/><Relationship Id="rId107" Type="http://schemas.openxmlformats.org/officeDocument/2006/relationships/hyperlink" Target="https://doi.org/10.1007/b106715" TargetMode="External"/><Relationship Id="rId85" Type="http://schemas.openxmlformats.org/officeDocument/2006/relationships/hyperlink" Target="https://doi.org/10.1016/0169-7439(95)00074-7" TargetMode="External"/><Relationship Id="rId145" Type="http://schemas.openxmlformats.org/officeDocument/2006/relationships/hyperlink" Target="https://doi.org/10.1016/S0169-7439(01)00155-1" TargetMode="External"/><Relationship Id="rId77" Type="http://schemas.openxmlformats.org/officeDocument/2006/relationships/hyperlink" Target="https://doi.org/10.1016/S0169-7439(02)00085-0" TargetMode="External"/><Relationship Id="rId103" Type="http://schemas.openxmlformats.org/officeDocument/2006/relationships/hyperlink" Target="https://doi.org/10.1016/j.aca.2015.11.028" TargetMode="External"/><Relationship Id="rId75" Type="http://schemas.openxmlformats.org/officeDocument/2006/relationships/hyperlink" Target="https://doi.org/10.1016/j.aca.2018.04.004" TargetMode="External"/><Relationship Id="rId91" Type="http://schemas.openxmlformats.org/officeDocument/2006/relationships/hyperlink" Target="https://doi.org/10.1016/j.aca.2022.340154" TargetMode="External"/><Relationship Id="rId93" Type="http://schemas.openxmlformats.org/officeDocument/2006/relationships/hyperlink" Target="https://doi.org/10.1016/j.aca.2024.342404" TargetMode="External"/><Relationship Id="rId95" Type="http://schemas.openxmlformats.org/officeDocument/2006/relationships/hyperlink" Target="https://doi.org/10.1016/j.aca.2025.344151" TargetMode="External"/><Relationship Id="rId97" Type="http://schemas.openxmlformats.org/officeDocument/2006/relationships/hyperlink" Target="https://doi.org/10.1016/j.aca.2026.346104" TargetMode="External"/><Relationship Id="rId119" Type="http://schemas.openxmlformats.org/officeDocument/2006/relationships/hyperlink" Target="https://doi.org/10.1016/j.chemolab.2024.105225" TargetMode="External"/><Relationship Id="rId152" Type="http://schemas.openxmlformats.org/officeDocument/2006/relationships/hyperlink" Target="https://doi.org/10.1016/j.chemolab.2025.105532" TargetMode="External"/><Relationship Id="rId123" Type="http://schemas.openxmlformats.org/officeDocument/2006/relationships/hyperlink" Target="https://doi.org/10.1016/j.foodchem.2025.145387" TargetMode="External"/><Relationship Id="rId89" Type="http://schemas.openxmlformats.org/officeDocument/2006/relationships/hyperlink" Target="https://doi.org/10.1016/j.infrared.2020.103547" TargetMode="External"/><Relationship Id="rId81" Type="http://schemas.openxmlformats.org/officeDocument/2006/relationships/hyperlink" Target="https://doi.org/10.1016/j.postharvbio.2020.111202" TargetMode="External"/><Relationship Id="rId83" Type="http://schemas.openxmlformats.org/officeDocument/2006/relationships/hyperlink" Target="https://doi.org/10.1021/ac00023a016" TargetMode="External"/><Relationship Id="rId143" Type="http://schemas.openxmlformats.org/officeDocument/2006/relationships/hyperlink" Target="https://doi.org/10.1021/ac60214a047" TargetMode="External"/><Relationship Id="rId87" Type="http://schemas.openxmlformats.org/officeDocument/2006/relationships/hyperlink" Target="https://doi.org/10.1021/acs.analchem.8b00498" TargetMode="External"/><Relationship Id="rId127" Type="http://schemas.openxmlformats.org/officeDocument/2006/relationships/hyperlink" Target="https://doi.org/10.1021/ci5001168" TargetMode="External"/><Relationship Id="rId134" Type="http://schemas.openxmlformats.org/officeDocument/2006/relationships/hyperlink" Target="https://doi.org/10.1080/00401706.1969.10490666" TargetMode="External"/><Relationship Id="rId109" Type="http://schemas.openxmlformats.org/officeDocument/2006/relationships/hyperlink" Target="https://doi.org/10.1080/01621459.2017.1307116" TargetMode="External"/><Relationship Id="rId79" Type="http://schemas.openxmlformats.org/officeDocument/2006/relationships/hyperlink" Target="https://doi.org/10.1177/0003702817736064" TargetMode="External"/><Relationship Id="rId115" Type="http://schemas.openxmlformats.org/officeDocument/2006/relationships/hyperlink" Target="https://doi.org/10.1177/0003702819831017" TargetMode="External"/><Relationship Id="rId147" Type="http://schemas.openxmlformats.org/officeDocument/2006/relationships/hyperlink" Target="https://doi.org/10.1198/016214506000001437" TargetMode="External"/><Relationship Id="rId132" Type="http://schemas.openxmlformats.org/officeDocument/2006/relationships/hyperlink" Target="https://doi.org/10.1214/20-aos1965" TargetMode="External"/><Relationship Id="rId101" Type="http://schemas.openxmlformats.org/officeDocument/2006/relationships/hyperlink" Target="https://doi.org/10.1351/pac200678030633" TargetMode="External"/><Relationship Id="rId141" Type="http://schemas.openxmlformats.org/officeDocument/2006/relationships/hyperlink" Target="https://doi.org/10.1366/0003702894202201" TargetMode="External"/><Relationship Id="rId105" Type="http://schemas.openxmlformats.org/officeDocument/2006/relationships/hyperlink" Target="https://doi.org/10.1520/E1655-17" TargetMode="External"/><Relationship Id="rId111" Type="http://schemas.openxmlformats.org/officeDocument/2006/relationships/hyperlink" Target="https://doi.org/10.1561/2200000101" TargetMode="External"/><Relationship Id="rId139" Type="http://schemas.openxmlformats.org/officeDocument/2006/relationships/hyperlink" Target="https://doi.org/10.17632/46htwnp833.6" TargetMode="External"/><Relationship Id="rId149" Type="http://schemas.openxmlformats.org/officeDocument/2006/relationships/hyperlink" Target="https://doi.org/10.2307/4615733" TargetMode="External"/><Relationship Id="rId113" Type="http://schemas.openxmlformats.org/officeDocument/2006/relationships/hyperlink" Target="https://doi.org/10.3150/21-BEJ1447" TargetMode="External"/><Relationship Id="rId137"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arxiv.org/abs/2512.23444" TargetMode="External"/><Relationship Id="rId130" Type="http://schemas.openxmlformats.org/officeDocument/2006/relationships/hyperlink" Target="https://arxiv.org/abs/2609.10737" TargetMode="External"/><Relationship Id="rId99" Type="http://schemas.openxmlformats.org/officeDocument/2006/relationships/hyperlink" Target="https://doi.org/10.1002/(SICI)1099-128X(199705)11:3&lt;181::AID-CEM459&gt;3.0.CO;2-7" TargetMode="External"/><Relationship Id="rId117" Type="http://schemas.openxmlformats.org/officeDocument/2006/relationships/hyperlink" Target="https://doi.org/10.1002/cem.3639" TargetMode="External"/><Relationship Id="rId121" Type="http://schemas.openxmlformats.org/officeDocument/2006/relationships/hyperlink" Target="https://doi.org/10.1002/cem.70017" TargetMode="External"/><Relationship Id="rId107" Type="http://schemas.openxmlformats.org/officeDocument/2006/relationships/hyperlink" Target="https://doi.org/10.1007/b106715" TargetMode="External"/><Relationship Id="rId85" Type="http://schemas.openxmlformats.org/officeDocument/2006/relationships/hyperlink" Target="https://doi.org/10.1016/0169-7439(95)00074-7" TargetMode="External"/><Relationship Id="rId145" Type="http://schemas.openxmlformats.org/officeDocument/2006/relationships/hyperlink" Target="https://doi.org/10.1016/S0169-7439(01)00155-1" TargetMode="External"/><Relationship Id="rId77" Type="http://schemas.openxmlformats.org/officeDocument/2006/relationships/hyperlink" Target="https://doi.org/10.1016/S0169-7439(02)00085-0" TargetMode="External"/><Relationship Id="rId103" Type="http://schemas.openxmlformats.org/officeDocument/2006/relationships/hyperlink" Target="https://doi.org/10.1016/j.aca.2015.11.028" TargetMode="External"/><Relationship Id="rId75" Type="http://schemas.openxmlformats.org/officeDocument/2006/relationships/hyperlink" Target="https://doi.org/10.1016/j.aca.2018.04.004" TargetMode="External"/><Relationship Id="rId91" Type="http://schemas.openxmlformats.org/officeDocument/2006/relationships/hyperlink" Target="https://doi.org/10.1016/j.aca.2022.340154" TargetMode="External"/><Relationship Id="rId93" Type="http://schemas.openxmlformats.org/officeDocument/2006/relationships/hyperlink" Target="https://doi.org/10.1016/j.aca.2024.342404" TargetMode="External"/><Relationship Id="rId95" Type="http://schemas.openxmlformats.org/officeDocument/2006/relationships/hyperlink" Target="https://doi.org/10.1016/j.aca.2025.344151" TargetMode="External"/><Relationship Id="rId97" Type="http://schemas.openxmlformats.org/officeDocument/2006/relationships/hyperlink" Target="https://doi.org/10.1016/j.aca.2026.346104" TargetMode="External"/><Relationship Id="rId119" Type="http://schemas.openxmlformats.org/officeDocument/2006/relationships/hyperlink" Target="https://doi.org/10.1016/j.chemolab.2024.105225" TargetMode="External"/><Relationship Id="rId152" Type="http://schemas.openxmlformats.org/officeDocument/2006/relationships/hyperlink" Target="https://doi.org/10.1016/j.chemolab.2025.105532" TargetMode="External"/><Relationship Id="rId123" Type="http://schemas.openxmlformats.org/officeDocument/2006/relationships/hyperlink" Target="https://doi.org/10.1016/j.foodchem.2025.145387" TargetMode="External"/><Relationship Id="rId89" Type="http://schemas.openxmlformats.org/officeDocument/2006/relationships/hyperlink" Target="https://doi.org/10.1016/j.infrared.2020.103547" TargetMode="External"/><Relationship Id="rId81" Type="http://schemas.openxmlformats.org/officeDocument/2006/relationships/hyperlink" Target="https://doi.org/10.1016/j.postharvbio.2020.111202" TargetMode="External"/><Relationship Id="rId83" Type="http://schemas.openxmlformats.org/officeDocument/2006/relationships/hyperlink" Target="https://doi.org/10.1021/ac00023a016" TargetMode="External"/><Relationship Id="rId143" Type="http://schemas.openxmlformats.org/officeDocument/2006/relationships/hyperlink" Target="https://doi.org/10.1021/ac60214a047" TargetMode="External"/><Relationship Id="rId87" Type="http://schemas.openxmlformats.org/officeDocument/2006/relationships/hyperlink" Target="https://doi.org/10.1021/acs.analchem.8b00498" TargetMode="External"/><Relationship Id="rId127" Type="http://schemas.openxmlformats.org/officeDocument/2006/relationships/hyperlink" Target="https://doi.org/10.1021/ci5001168" TargetMode="External"/><Relationship Id="rId134" Type="http://schemas.openxmlformats.org/officeDocument/2006/relationships/hyperlink" Target="https://doi.org/10.1080/00401706.1969.10490666" TargetMode="External"/><Relationship Id="rId109" Type="http://schemas.openxmlformats.org/officeDocument/2006/relationships/hyperlink" Target="https://doi.org/10.1080/01621459.2017.1307116" TargetMode="External"/><Relationship Id="rId79" Type="http://schemas.openxmlformats.org/officeDocument/2006/relationships/hyperlink" Target="https://doi.org/10.1177/0003702817736064" TargetMode="External"/><Relationship Id="rId115" Type="http://schemas.openxmlformats.org/officeDocument/2006/relationships/hyperlink" Target="https://doi.org/10.1177/0003702819831017" TargetMode="External"/><Relationship Id="rId147" Type="http://schemas.openxmlformats.org/officeDocument/2006/relationships/hyperlink" Target="https://doi.org/10.1198/016214506000001437" TargetMode="External"/><Relationship Id="rId132" Type="http://schemas.openxmlformats.org/officeDocument/2006/relationships/hyperlink" Target="https://doi.org/10.1214/20-aos1965" TargetMode="External"/><Relationship Id="rId101" Type="http://schemas.openxmlformats.org/officeDocument/2006/relationships/hyperlink" Target="https://doi.org/10.1351/pac200678030633" TargetMode="External"/><Relationship Id="rId141" Type="http://schemas.openxmlformats.org/officeDocument/2006/relationships/hyperlink" Target="https://doi.org/10.1366/0003702894202201" TargetMode="External"/><Relationship Id="rId105" Type="http://schemas.openxmlformats.org/officeDocument/2006/relationships/hyperlink" Target="https://doi.org/10.1520/E1655-17" TargetMode="External"/><Relationship Id="rId111" Type="http://schemas.openxmlformats.org/officeDocument/2006/relationships/hyperlink" Target="https://doi.org/10.1561/2200000101" TargetMode="External"/><Relationship Id="rId139" Type="http://schemas.openxmlformats.org/officeDocument/2006/relationships/hyperlink" Target="https://doi.org/10.17632/46htwnp833.6" TargetMode="External"/><Relationship Id="rId149" Type="http://schemas.openxmlformats.org/officeDocument/2006/relationships/hyperlink" Target="https://doi.org/10.2307/4615733" TargetMode="External"/><Relationship Id="rId113" Type="http://schemas.openxmlformats.org/officeDocument/2006/relationships/hyperlink" Target="https://doi.org/10.3150/21-BEJ1447" TargetMode="External"/><Relationship Id="rId137"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multivariate calibrations: reusing the transfer standards with a leave-one-standard-out jackknife+</dc:title>
  <dc:creator/>
  <cp:keywords/>
  <dcterms:created xsi:type="dcterms:W3CDTF">2026-10-13T23:07:36Z</dcterms:created>
  <dcterms:modified xsi:type="dcterms:W3CDTF">2026-10-13T23:07:36Z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