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NIR</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and the transfer step (e.g., piecewise direct standardisation) is re-fitted on the others. The leave-one-out residuals, normalised by a source-learned function of Hotelling T² and Q residuals,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including an independent transfer between handheld fruit spectrometers.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Wavelength drift after standardisation, even by a quarter channel, compromised all methods.</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w:t>
      </w:r>
      <w:r>
        <w:t xml:space="preserve"> </w:t>
      </w:r>
      <w:r>
        <w:t xml:space="preserve">[28]</w:t>
      </w:r>
      <w:r>
        <w:t xml:space="preserve"> </w:t>
      </w:r>
      <w:r>
        <w:t xml:space="preserve">and its jackknife+ counterpart JAWS</w:t>
      </w:r>
      <w:r>
        <w:t xml:space="preserve"> </w:t>
      </w:r>
      <w:r>
        <w:t xml:space="preserve">[29]</w:t>
      </w:r>
      <w:r>
        <w:t xml:space="preserve"> </w:t>
      </w:r>
      <w:r>
        <w:t xml:space="preserve">correct for covariate shift using labelled source data. An instrument change, however, alters the relation between spectrum and property, not only the spectral distribution, which violates the covariate-shift assumption. Outside spectroscopy, the growth of uncertainty after calibration transfer has been characterised empirically for networks of low-cost air-quality sensors</w:t>
      </w:r>
      <w:r>
        <w:t xml:space="preserve"> </w:t>
      </w:r>
      <w:r>
        <w:t xml:space="preserve">[30]</w:t>
      </w:r>
      <w:r>
        <w:t xml:space="preserve">, without finite-sample guarantees. Transporting calibration data between paired domains has very recently been proposed for classification</w:t>
      </w:r>
      <w:r>
        <w:t xml:space="preserve"> </w:t>
      </w:r>
      <w:r>
        <w:t xml:space="preserve">[31]</w:t>
      </w:r>
      <w:r>
        <w:t xml:space="preserve">. In searches of Crossref, arXiv and the web (2015–2026; terms combining conformal prediction, jackknife+, prediction intervals and uncertainty with calibration transfer, model transfer, standardisation, near-infrared and spectroscopy),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[32]</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rPr>
          <w:bCs/>
          <w:b/>
        </w:rPr>
        <w:t xml:space="preserve">What is and is not new.</w:t>
      </w:r>
      <w:r>
        <w:t xml:space="preserve"> </w:t>
      </w:r>
      <w:r>
        <w:t xml:space="preserve">The inference engine is the jackknife+</w:t>
      </w:r>
      <w:r>
        <w:t xml:space="preserve"> </w:t>
      </w:r>
      <w:r>
        <w:t xml:space="preserve">[32]</w:t>
      </w:r>
      <w:r>
        <w:t xml:space="preserve">, and normalised nonconformity scores are established</w:t>
      </w:r>
      <w:r>
        <w:t xml:space="preserve"> </w:t>
      </w:r>
      <w:r>
        <w:t xml:space="preserve">[25,33]</w:t>
      </w:r>
      <w:r>
        <w:t xml:space="preserve">; we claim no new conformal theory. What we contribute is the instantiation of the method for calibration transfer, together with the evidence that it is needed:</w:t>
      </w:r>
    </w:p>
    <w:p>
      <w:pPr>
        <w:numPr>
          <w:ilvl w:val="0"/>
          <w:numId w:val="1001"/>
        </w:numPr>
      </w:pPr>
      <w:r>
        <w:rPr>
          <w:bCs/>
          <w:b/>
        </w:rPr>
        <w:t xml:space="preserve">Which step to re-fit.</w:t>
      </w:r>
      <w:r>
        <w:t xml:space="preserve"> </w:t>
      </w:r>
      <w:r>
        <w:t xml:space="preserve">Only the transfer step is placed inside the leave-one-out loop. The source model is kept fixed, and in practice it often cannot be re-fitted because it belongs to another instrument or season.</w:t>
      </w:r>
    </w:p>
    <w:p>
      <w:pPr>
        <w:numPr>
          <w:ilvl w:val="0"/>
          <w:numId w:val="1001"/>
        </w:numPr>
      </w:pPr>
      <w:r>
        <w:rPr>
          <w:bCs/>
          <w:b/>
        </w:rPr>
        <w:t xml:space="preserve">Why the obvious alternatives fall short.</w:t>
      </w:r>
      <w:r>
        <w:t xml:space="preserve"> </w:t>
      </w:r>
      <w:r>
        <w:t xml:space="preserve">The two natural practices are residuals of the fitted transfer and Gaussian intervals from the leave-one-standard-out RMSE. Neither carries a guarantee, and both are shown to fail in identifiable conditions.</w:t>
      </w:r>
    </w:p>
    <w:p>
      <w:pPr>
        <w:numPr>
          <w:ilvl w:val="0"/>
          <w:numId w:val="1001"/>
        </w:numPr>
      </w:pPr>
      <w:r>
        <w:rPr>
          <w:bCs/>
          <w:b/>
        </w:rPr>
        <w:t xml:space="preserve">Practical consequences</w:t>
      </w:r>
      <w:r>
        <w:t xml:space="preserve"> </w:t>
      </w:r>
      <w:r>
        <w:t xml:space="preserve">for analytical laboratories: the minimum number of standards, the requirement on how standards are selected, and the failure under drift after standardisation.</w:t>
      </w:r>
    </w:p>
    <w:p>
      <w:pPr>
        <w:pStyle w:val="FirstParagraph"/>
      </w:pPr>
      <w:r>
        <w:t xml:space="preserve">The contributions of this work are:</w:t>
      </w:r>
    </w:p>
    <w:p>
      <w:pPr>
        <w:numPr>
          <w:ilvl w:val="0"/>
          <w:numId w:val="1002"/>
        </w:numPr>
      </w:pPr>
      <w:r>
        <w:t xml:space="preserve">A transfer jackknife+ (TJ+) for transferred multivariate calibrations, with a finite-sample coverage statement under explicit conditions on how the standards are selected (Appendix A).</w:t>
      </w:r>
    </w:p>
    <w:p>
      <w:pPr>
        <w:numPr>
          <w:ilvl w:val="0"/>
          <w:numId w:val="1002"/>
        </w:numPr>
      </w:pPr>
      <w:r>
        <w:t xml:space="preserve">A chemometric normalisation (TJ+N). A source-learned difficulty function of Hotelling T² and Q residuals is evaluated on the</w:t>
      </w:r>
      <w:r>
        <w:t xml:space="preserve"> </w:t>
      </w:r>
      <w:r>
        <w:rPr>
          <w:iCs/>
          <w:i/>
        </w:rPr>
        <w:t xml:space="preserve">transferred</w:t>
      </w:r>
      <w:r>
        <w:t xml:space="preserve"> </w:t>
      </w:r>
      <w:r>
        <w:t xml:space="preserve">spectrum within each leave-one-out fit, so that interval width adapts to the sample and to spectra that the transfer maps poorly.</w:t>
      </w:r>
    </w:p>
    <w:p>
      <w:pPr>
        <w:numPr>
          <w:ilvl w:val="0"/>
          <w:numId w:val="1002"/>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2"/>
        </w:numPr>
      </w:pPr>
      <w:r>
        <w:t xml:space="preserve">An exploratory label-free variant for the case in which the transfer standards have no reference values.</w:t>
      </w:r>
    </w:p>
    <w:p>
      <w:pPr>
        <w:pStyle w:val="FirstParagraph"/>
      </w:pPr>
      <w:r>
        <w:t xml:space="preserve">The study addresses the following research questions:</w:t>
      </w:r>
    </w:p>
    <w:p>
      <w:pPr>
        <w:numPr>
          <w:ilvl w:val="0"/>
          <w:numId w:val="1003"/>
        </w:numPr>
      </w:pPr>
      <w:r>
        <w:rPr>
          <w:bCs/>
          <w:b/>
        </w:rPr>
        <w:t xml:space="preserve">RQ1.</w:t>
      </w:r>
      <w:r>
        <w:t xml:space="preserve"> </w:t>
      </w:r>
      <w:r>
        <w:t xml:space="preserve">Do conventional intervals remain valid after transfer?</w:t>
      </w:r>
    </w:p>
    <w:p>
      <w:pPr>
        <w:numPr>
          <w:ilvl w:val="0"/>
          <w:numId w:val="1003"/>
        </w:numPr>
      </w:pPr>
      <w:r>
        <w:rPr>
          <w:bCs/>
          <w:b/>
        </w:rPr>
        <w:t xml:space="preserve">RQ2.</w:t>
      </w:r>
      <w:r>
        <w:t xml:space="preserve"> </w:t>
      </w:r>
      <w:r>
        <w:t xml:space="preserve">Is TJ+N valid and efficient for realistic numbers of standards?</w:t>
      </w:r>
    </w:p>
    <w:p>
      <w:pPr>
        <w:numPr>
          <w:ilvl w:val="0"/>
          <w:numId w:val="1003"/>
        </w:numPr>
      </w:pPr>
      <w:r>
        <w:rPr>
          <w:bCs/>
          <w:b/>
        </w:rPr>
        <w:t xml:space="preserve">RQ3.</w:t>
      </w:r>
      <w:r>
        <w:t xml:space="preserve"> </w:t>
      </w:r>
      <w:r>
        <w:t xml:space="preserve">Which components of TJ+N matter?</w:t>
      </w:r>
    </w:p>
    <w:p>
      <w:pPr>
        <w:numPr>
          <w:ilvl w:val="0"/>
          <w:numId w:val="1003"/>
        </w:numPr>
      </w:pPr>
      <w:r>
        <w:rPr>
          <w:bCs/>
          <w:b/>
        </w:rPr>
        <w:t xml:space="preserve">RQ4.</w:t>
      </w:r>
      <w:r>
        <w:t xml:space="preserve"> </w:t>
      </w:r>
      <w:r>
        <w:t xml:space="preserve">How robust is it to standard selection, noise, drift and reduced source data?</w:t>
      </w:r>
    </w:p>
    <w:p>
      <w:pPr>
        <w:numPr>
          <w:ilvl w:val="0"/>
          <w:numId w:val="1003"/>
        </w:numPr>
      </w:pPr>
      <w:r>
        <w:rPr>
          <w:bCs/>
          <w:b/>
        </w:rPr>
        <w:t xml:space="preserve">RQ5.</w:t>
      </w:r>
      <w:r>
        <w:t xml:space="preserve"> </w:t>
      </w:r>
      <w:r>
        <w:t xml:space="preserve">Does it generalise across transfer pipelines, directions, model classes and instruments?</w:t>
      </w:r>
    </w:p>
    <w:p>
      <w:pPr>
        <w:numPr>
          <w:ilvl w:val="0"/>
          <w:numId w:val="1003"/>
        </w:numPr>
      </w:pPr>
      <w:r>
        <w:rPr>
          <w:bCs/>
          <w:b/>
        </w:rPr>
        <w:t xml:space="preserve">RQ6.</w:t>
      </w:r>
      <w:r>
        <w:t xml:space="preserve"> </w:t>
      </w:r>
      <w:r>
        <w:t xml:space="preserve">What does it cost?</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4"/>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4"/>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4"/>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both computed in the preprocessed, mean-centred spectral space of the source model.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Because the matrix</w:t>
      </w:r>
      <w:r>
        <w:t xml:space="preserve"> </w:t>
      </w:r>
      <m:oMath>
        <m:d>
          <m:dPr>
            <m:begChr m:val="("/>
            <m:endChr m:val=")"/>
            <m:sepChr m:val=""/>
            <m:grow/>
          </m:dPr>
          <m:e>
            <m:sSub>
              <m:e>
                <m:r>
                  <m:t>R</m:t>
                </m:r>
              </m:e>
              <m:sub>
                <m:r>
                  <m:t>i</m:t>
                </m:r>
                <m:r>
                  <m:t>j</m:t>
                </m:r>
              </m:sub>
            </m:sSub>
          </m:e>
        </m:d>
      </m:oMath>
      <w:r>
        <w:t xml:space="preserve"> </w:t>
      </w:r>
      <w:r>
        <w:t xml:space="preserve">is exchangeable under permutations of the</w:t>
      </w:r>
      <w:r>
        <w:t xml:space="preserve"> </w:t>
      </w:r>
      <m:oMath>
        <m:r>
          <m:t>m</m:t>
        </m:r>
        <m:r>
          <m:rPr>
            <m:sty m:val="p"/>
          </m:rPr>
          <m:t>+</m:t>
        </m:r>
        <m:r>
          <m:t>1</m:t>
        </m:r>
      </m:oMath>
      <w:r>
        <w:t xml:space="preserve"> </w:t>
      </w:r>
      <w:r>
        <w:t xml:space="preserve">points, the counting argument of Barber et al.</w:t>
      </w:r>
      <w:r>
        <w:t xml:space="preserve"> </w:t>
      </w:r>
      <w:r>
        <w:t xml:space="preserve">[32, Thm. 1]</w:t>
      </w:r>
      <w:r>
        <w:t xml:space="preserve"> </w:t>
      </w:r>
      <w:r>
        <w:t xml:space="preserve">bounds the probability of this event by</w:t>
      </w:r>
      <w:r>
        <w:t xml:space="preserve"> </w:t>
      </w:r>
      <m:oMath>
        <m:r>
          <m:t>2</m:t>
        </m:r>
        <m:r>
          <m:t>α</m:t>
        </m:r>
      </m:oMath>
      <w:r>
        <w:t xml:space="preserve">. A step-by-step proof, including the role of</w:t>
      </w:r>
      <w:r>
        <w:t xml:space="preserve"> </w:t>
      </w:r>
      <m:oMath>
        <m:r>
          <m:t>ε</m:t>
        </m:r>
        <m:r>
          <m:rPr>
            <m:sty m:val="p"/>
          </m:rPr>
          <m:t>&gt;</m:t>
        </m:r>
        <m:r>
          <m:t>0</m:t>
        </m:r>
      </m:oMath>
      <w:r>
        <w:t xml:space="preserve"> </w:t>
      </w:r>
      <w:r>
        <w:t xml:space="preserve">and of the paired master spectrum, is given in Appendix A.</w:t>
      </w:r>
      <w:r>
        <w:t xml:space="preserve"> </w:t>
      </w:r>
      <m:oMath>
        <m:r>
          <m:rPr>
            <m:sty m:val="p"/>
          </m:rPr>
          <m:t>▫</m:t>
        </m:r>
      </m:oMath>
    </w:p>
    <w:p>
      <w:pPr>
        <w:pStyle w:val="BodyText"/>
      </w:pPr>
      <w:r>
        <w:t xml:space="preserve">Three remarks clarify the scope of the guarantee.</w:t>
      </w:r>
    </w:p>
    <w:p>
      <w:pPr>
        <w:numPr>
          <w:ilvl w:val="0"/>
          <w:numId w:val="1005"/>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5"/>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5"/>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[34]</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6"/>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 For ridge models, the leverage and degrees of freedom of the companion PLS model are used (an approximation).</w:t>
      </w:r>
    </w:p>
    <w:p>
      <w:pPr>
        <w:numPr>
          <w:ilvl w:val="0"/>
          <w:numId w:val="1006"/>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6"/>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 the test spectra themselves are included (transductive use).</w:t>
      </w:r>
    </w:p>
    <w:p>
      <w:pPr>
        <w:numPr>
          <w:ilvl w:val="0"/>
          <w:numId w:val="1006"/>
        </w:numPr>
      </w:pPr>
      <w:r>
        <w:rPr>
          <w:bCs/>
          <w:b/>
        </w:rPr>
        <w:t xml:space="preserve">Transport:</w:t>
      </w:r>
      <w:r>
        <w:t xml:space="preserve"> </w:t>
      </w:r>
      <w:r>
        <w:t xml:space="preserve">a regression analogue of transported conformal calibration</w:t>
      </w:r>
      <w:r>
        <w:t xml:space="preserve"> </w:t>
      </w:r>
      <w:r>
        <w:t xml:space="preserve">[31]</w:t>
      </w:r>
      <w:r>
        <w:t xml:space="preserve">. Source-calibration spectra are mapped into the target space by a master→secondary PDS fitted on the standards, passed through the deployed pipeline, and their residuals calibrate a split-conformal quantile. It applies to paired transfers only. This baseline implements only the transport idea of</w:t>
      </w:r>
      <w:r>
        <w:t xml:space="preserve"> </w:t>
      </w:r>
      <w:r>
        <w:t xml:space="preserve">[31]</w:t>
      </w:r>
      <w:r>
        <w:t xml:space="preserve">; the mismatch correction (TCC-KS) and weighting proposed there for classification were not adapted to regression here.</w:t>
      </w:r>
    </w:p>
    <w:p>
      <w:pPr>
        <w:numPr>
          <w:ilvl w:val="0"/>
          <w:numId w:val="1006"/>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the common practice of validating a transfer by its prediction error on check samples.</w:t>
      </w:r>
    </w:p>
    <w:p>
      <w:pPr>
        <w:numPr>
          <w:ilvl w:val="0"/>
          <w:numId w:val="1006"/>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6"/>
        </w:numPr>
      </w:pPr>
      <w:r>
        <w:rPr>
          <w:bCs/>
          <w:b/>
        </w:rPr>
        <w:t xml:space="preserve">MC-dropout</w:t>
      </w:r>
      <w:r>
        <w:t xml:space="preserve"> </w:t>
      </w:r>
      <w:r>
        <w:t xml:space="preserve">(CNN only): Gaussian intervals from 100 stochastic forward passes plus the source residual variance</w:t>
      </w:r>
      <w:r>
        <w:t xml:space="preserve"> </w:t>
      </w:r>
      <w:r>
        <w:t xml:space="preserve">[35]</w:t>
      </w:r>
      <w:r>
        <w:t xml:space="preserve">, followed by SBC.</w:t>
      </w:r>
    </w:p>
    <w:p>
      <w:pPr>
        <w:pStyle w:val="FirstParagraph"/>
      </w:pPr>
      <w:r>
        <w:rPr>
          <w:bCs/>
          <w:b/>
        </w:rPr>
        <w:t xml:space="preserve">Ablations:</w:t>
      </w:r>
    </w:p>
    <w:p>
      <w:pPr>
        <w:numPr>
          <w:ilvl w:val="0"/>
          <w:numId w:val="1007"/>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7"/>
        </w:numPr>
      </w:pPr>
      <w:r>
        <w:t xml:space="preserve">TJ-insample-N: residuals from the transfer fitted on all standards, without leave-one-out.</w:t>
      </w:r>
    </w:p>
    <w:p>
      <w:pPr>
        <w:numPr>
          <w:ilvl w:val="0"/>
          <w:numId w:val="1007"/>
        </w:numPr>
      </w:pPr>
      <w:r>
        <w:t xml:space="preserve">TCV+N: five-fold CV+.</w:t>
      </w:r>
    </w:p>
    <w:p>
      <w:pPr>
        <w:numPr>
          <w:ilvl w:val="0"/>
          <w:numId w:val="1007"/>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[36]</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[36]</w:t>
      </w:r>
      <w:r>
        <w:t xml:space="preserve">. 655 tablets were measured on two spectrometers (600–1898 nm, 650 channels), with reference weight, hardness and active-ingredient assay. The distributed calibrate (155), validate (40) and test (460) partition was retained; the target pool is therefore the organisers’ test set. Instrument 1 is the master.</w:t>
      </w:r>
    </w:p>
    <w:p>
      <w:pPr>
        <w:pStyle w:val="BodyText"/>
      </w:pPr>
      <w:r>
        <w:rPr>
          <w:bCs/>
          <w:b/>
        </w:rPr>
        <w:t xml:space="preserve">Mango dry matter</w:t>
      </w:r>
      <w:r>
        <w:t xml:space="preserve"> </w:t>
      </w:r>
      <w:r>
        <w:t xml:space="preserve">[4,37]</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(fruit identified by season, region, harvest date, maturity type, cultivar, population and DM value), giving 4,677 fruit (file version 1 of the data record). For the additional instrument-shift test (§4.6), the providers’ extended file (record version 6) was used. Spectra flagged as outliers by the providers were excluded, and replicates were averaged per fruit and instrument.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[38]</w:t>
      </w:r>
      <w:r>
        <w:t xml:space="preserve">, Savitzky–Golay</w:t>
      </w:r>
      <w:r>
        <w:t xml:space="preserve"> </w:t>
      </w:r>
      <w:r>
        <w:t xml:space="preserve">[39]</w:t>
      </w:r>
      <w:r>
        <w:t xml:space="preserve"> </w:t>
      </w:r>
      <w:r>
        <w:t xml:space="preserve">first derivative (window 11, order 2) and second derivative (window 13, order 2). The number of PLS latent variables</w:t>
      </w:r>
      <w:r>
        <w:t xml:space="preserve"> </w:t>
      </w:r>
      <w:r>
        <w:t xml:space="preserve">[40]</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takes SNV-corrected, channel-standardised spectra. It has two 1D convolutional layers (16 and 32 filters, kernel 7, the second with stride 2), a dense layer of 64 units, ReLU activations and dropout 0.2. It was trained once on seasons 1–3 (Adam, learning rate 10⁻³, weight decay 10⁻⁵, batch 128, at most 150 epochs, early stopping with patience 20 on a 10% split of the source training data).</w:t>
      </w:r>
    </w:p>
    <w:p>
      <w:pPr>
        <w:pStyle w:val="BodyText"/>
      </w:pPr>
      <w:r>
        <w:rPr>
          <w:bCs/>
          <w:b/>
        </w:rPr>
        <w:t xml:space="preserve">Splits.</w:t>
      </w:r>
    </w:p>
    <w:p>
      <w:pPr>
        <w:numPr>
          <w:ilvl w:val="0"/>
          <w:numId w:val="1008"/>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8"/>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8"/>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 windows truncated at the spectral edges)</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9"/>
        </w:numPr>
      </w:pPr>
      <w:r>
        <w:t xml:space="preserve">empirical coverage on the test samples;</w:t>
      </w:r>
    </w:p>
    <w:p>
      <w:pPr>
        <w:numPr>
          <w:ilvl w:val="0"/>
          <w:numId w:val="1009"/>
        </w:numPr>
      </w:pPr>
      <w:r>
        <w:t xml:space="preserve">mean and median interval width;</w:t>
      </w:r>
    </w:p>
    <w:p>
      <w:pPr>
        <w:numPr>
          <w:ilvl w:val="0"/>
          <w:numId w:val="1009"/>
        </w:numPr>
      </w:pPr>
      <w:r>
        <w:t xml:space="preserve">the fraction of unbounded intervals;</w:t>
      </w:r>
    </w:p>
    <w:p>
      <w:pPr>
        <w:numPr>
          <w:ilvl w:val="0"/>
          <w:numId w:val="1009"/>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[41]</w:t>
      </w:r>
      <w:r>
        <w:t xml:space="preserve">;</w:t>
      </w:r>
    </w:p>
    <w:p>
      <w:pPr>
        <w:numPr>
          <w:ilvl w:val="0"/>
          <w:numId w:val="1009"/>
        </w:numPr>
      </w:pPr>
      <w:r>
        <w:t xml:space="preserve">RMSEP of the point prediction;</w:t>
      </w:r>
    </w:p>
    <w:p>
      <w:pPr>
        <w:numPr>
          <w:ilvl w:val="0"/>
          <w:numId w:val="1009"/>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[42]</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[43]</w:t>
      </w:r>
      <w:r>
        <w:t xml:space="preserve">. Repetitions are independent random draws of the splits from fixed data sets, so inferences are conditional on the data sets. Every method is evaluated on identical standards and test samples in each repetition (paired design). Scenarios that share a data set are not independent (corn properties share samples; the</w:t>
      </w:r>
      <w:r>
        <w:t xml:space="preserve"> </w:t>
      </w:r>
      <w:r>
        <w:rPr>
          <w:iCs/>
          <w:i/>
        </w:rPr>
        <w:t xml:space="preserve">m</w:t>
      </w:r>
      <w:r>
        <w:t xml:space="preserve"> </w:t>
      </w:r>
      <w:r>
        <w:t xml:space="preserve">levels share splits). The Friedman ranks are therefore interpreted descriptively, and inferential statements rest on the within-scenario paired tests. Because the under-coverage flag is applied per scenario without multiplicity correction, it errs towards flagging, which works against the proposed method rather than in its favour.</w:t>
      </w:r>
    </w:p>
    <w:p>
      <w:pPr>
        <w:pStyle w:val="BodyText"/>
      </w:pPr>
      <w:r>
        <w:rPr>
          <w:bCs/>
          <w:b/>
        </w:rPr>
        <w:t xml:space="preserve">Robustness and sensitivity.</w:t>
      </w:r>
      <w:r>
        <w:t xml:space="preserve"> </w:t>
      </w:r>
      <w:r>
        <w:t xml:space="preserve">Robustness conditions were:</w:t>
      </w:r>
    </w:p>
    <w:p>
      <w:pPr>
        <w:numPr>
          <w:ilvl w:val="0"/>
          <w:numId w:val="1010"/>
        </w:numPr>
      </w:pPr>
      <w:r>
        <w:t xml:space="preserve">Kennard–Stone selection of the standards from a random half of the target pool (non-exchangeable);</w:t>
      </w:r>
    </w:p>
    <w:p>
      <w:pPr>
        <w:numPr>
          <w:ilvl w:val="0"/>
          <w:numId w:val="1010"/>
        </w:numPr>
      </w:pPr>
      <w:r>
        <w:t xml:space="preserve">Gaussian noise added to all target spectra (SNR 1000, 300, 100);</w:t>
      </w:r>
    </w:p>
    <w:p>
      <w:pPr>
        <w:numPr>
          <w:ilvl w:val="0"/>
          <w:numId w:val="1010"/>
        </w:numPr>
      </w:pPr>
      <w:r>
        <w:t xml:space="preserve">a ±1-channel wavelength shift of the test spectra after the transfer was fitted (post-standardisation drift);</w:t>
      </w:r>
    </w:p>
    <w:p>
      <w:pPr>
        <w:numPr>
          <w:ilvl w:val="0"/>
          <w:numId w:val="1010"/>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69"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11"/>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11"/>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11"/>
        </w:numPr>
      </w:pPr>
      <w:r>
        <w:rPr>
          <w:bCs/>
          <w:b/>
        </w:rPr>
        <w:t xml:space="preserve">Mango:</w:t>
      </w:r>
      <w:r>
        <w:t xml:space="preserve"> </w:t>
      </w:r>
      <w:r>
        <w:t xml:space="preserve">SBC did not improve on the uncorrected source model (RMSEP 1.06–1.15 vs 1.05 % DM), consistent with reports that models built over several seasons are already fairly robust</w:t>
      </w:r>
      <w:r>
        <w:t xml:space="preserve"> </w:t>
      </w:r>
      <w:r>
        <w:t xml:space="preserve">[4]</w:t>
      </w:r>
      <w:r>
        <w:t xml:space="preserve">.</w:t>
      </w:r>
    </w:p>
    <w:p>
      <w:pPr>
        <w:pStyle w:val="FirstParagraph"/>
      </w:pPr>
      <w:r>
        <w:t xml:space="preserve">The transfer settings (PDS window 5, SBC slope and bias, LV numbers) were fixed in advance and were not tuned on target data. They are therefore not the most accurate possible: on corn, SBC gave lower RMSEP than the pre-registered PDS for all four properties, and a 3-channel PDS window was more accurate than the 5-channel one (§4.8). This does not affect the comparison of interval methods. All interval methods share the same point predictor within a pipeline, so the comparisons isolate the interval construction, and interval validity is reported for every pipeline (§4.3).</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 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 the transfer added substantial error that the source calibration had not seen (Fig. 3; Table 3; compare Table 2).</w:t>
      </w:r>
    </w:p>
    <w:p>
      <w:pPr>
        <w:numPr>
          <w:ilvl w:val="0"/>
          <w:numId w:val="1012"/>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2"/>
        </w:numPr>
      </w:pPr>
      <w:r>
        <w:rPr>
          <w:bCs/>
          <w:b/>
        </w:rPr>
        <w:t xml:space="preserve">Mango:</w:t>
      </w:r>
      <w:r>
        <w:t xml:space="preserve"> </w:t>
      </w:r>
      <w:r>
        <w:t xml:space="preserve">coverage was 0.71–0.76 (12 of 12 cells under-covering).</w:t>
      </w:r>
    </w:p>
    <w:p>
      <w:pPr>
        <w:numPr>
          <w:ilvl w:val="0"/>
          <w:numId w:val="1012"/>
        </w:numPr>
      </w:pPr>
      <w:r>
        <w:rPr>
          <w:bCs/>
          <w:b/>
        </w:rPr>
        <w:t xml:space="preserve">Tablets:</w:t>
      </w:r>
      <w:r>
        <w:t xml:space="preserve"> </w:t>
      </w:r>
      <w:r>
        <w:t xml:space="preserve">the picture was mixed (0.81–0.95; 11 of 36 cells under-covering). Severe under-coverage occurred for the assay with</w:t>
      </w:r>
      <w:r>
        <w:t xml:space="preserve"> </w:t>
      </w:r>
      <w:r>
        <w:rPr>
          <w:iCs/>
          <w:i/>
        </w:rPr>
        <w:t xml:space="preserve">m</w:t>
      </w:r>
      <w:r>
        <w:t xml:space="preserve"> </w:t>
      </w:r>
      <w:r>
        <w:t xml:space="preserve">= 10 (all three methods, coverage 0.81–0.85), where PDS fitted on ten standards inflated the error. For weight, SCP-S and WCP-S under-covered slightly but systematically at every</w:t>
      </w:r>
      <w:r>
        <w:t xml:space="preserve"> </w:t>
      </w:r>
      <w:r>
        <w:rPr>
          <w:iCs/>
          <w:i/>
        </w:rPr>
        <w:t xml:space="preserve">m</w:t>
      </w:r>
      <w:r>
        <w:t xml:space="preserve"> </w:t>
      </w:r>
      <w:r>
        <w:t xml:space="preserve">(0.894–0.895), while hardness intervals were valid.</w:t>
      </w:r>
    </w:p>
    <w:p>
      <w:pPr>
        <w:pStyle w:val="FirstParagraph"/>
      </w:pPr>
      <w:r>
        <w:t xml:space="preserve">The failure is not an artefact of the in-sample calibration error used by ASTM-PI: SCP-S, which uses cross-validated (out-of-fold) source residuals, under-covered almost as severely. Weighting the source residuals for covariate shift (WCP-S) did not repair coverage either,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Given the precision of the coverage estimates (median half-width of the 95% CI: corn ±0.008, mango ±0.007, tablets ±0.005), this means that no scenario was significantly below nominal at that resolution.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 In practice, this conservativeness means somewhat wider intervals than necessary when few standards are available; it decreases as</w:t>
      </w:r>
      <w:r>
        <w:t xml:space="preserve"> </w:t>
      </w:r>
      <w:r>
        <w:rPr>
          <w:iCs/>
          <w:i/>
        </w:rPr>
        <w:t xml:space="preserve">m</w:t>
      </w:r>
      <w:r>
        <w:t xml:space="preserve"> </w:t>
      </w:r>
      <w:r>
        <w:t xml:space="preserve">grows (Fig. 3).</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3"/>
        </w:numPr>
      </w:pPr>
      <w:r>
        <w:t xml:space="preserve">It was never flagged as under-covering at this level.</w:t>
      </w:r>
    </w:p>
    <w:p>
      <w:pPr>
        <w:numPr>
          <w:ilvl w:val="0"/>
          <w:numId w:val="1013"/>
        </w:numPr>
      </w:pPr>
      <w:r>
        <w:t xml:space="preserve">It had the best mean rank of interval score across scenarios (Fig. S2; mean ranks Gauss-LOO 2.17, TJ+N 2.52, TJ+ 3.12; Friedman χ² = 145.5, nominal</w:t>
      </w:r>
      <w:r>
        <w:t xml:space="preserve"> </w:t>
      </w:r>
      <w:r>
        <w:rPr>
          <w:iCs/>
          <w:i/>
        </w:rPr>
        <w:t xml:space="preserve">p</w:t>
      </w:r>
      <w:r>
        <w:t xml:space="preserve"> </w:t>
      </w:r>
      <w:r>
        <w:t xml:space="preserve">= 3.6×10</w:t>
      </w:r>
      <w:r>
        <w:rPr>
          <w:vertAlign w:val="superscript"/>
        </w:rPr>
        <w:t xml:space="preserve">−</w:t>
      </w:r>
      <w:r>
        <w:t xml:space="preserve">28, which overstates the evidence because scenarios are dependent).</w:t>
      </w:r>
    </w:p>
    <w:p>
      <w:pPr>
        <w:numPr>
          <w:ilvl w:val="0"/>
          <w:numId w:val="1013"/>
        </w:numPr>
      </w:pPr>
      <w:r>
        <w:t xml:space="preserve">Across scenarios, it did not differ significantly from TJ+N after Holm correction (</w:t>
      </w:r>
      <w:r>
        <w:rPr>
          <w:iCs/>
          <w:i/>
        </w:rPr>
        <w:t xml:space="preserve">p</w:t>
      </w:r>
      <w:r>
        <w:t xml:space="preserve"> </w:t>
      </w:r>
      <w:r>
        <w:t xml:space="preserve">= 0.11).</w:t>
      </w:r>
    </w:p>
    <w:p>
      <w:pPr>
        <w:numPr>
          <w:ilvl w:val="0"/>
          <w:numId w:val="1013"/>
        </w:numPr>
      </w:pPr>
      <w:r>
        <w:t xml:space="preserve">Per scenario (Holm-adjusted</w:t>
      </w:r>
      <w:r>
        <w:t xml:space="preserve"> </w:t>
      </w:r>
      <w:r>
        <w:rPr>
          <w:iCs/>
          <w:i/>
        </w:rPr>
        <w:t xml:space="preserve">p</w:t>
      </w:r>
      <w:r>
        <w:t xml:space="preserve"> </w:t>
      </w:r>
      <w:r>
        <w:t xml:space="preserve">&lt; 0.05), Gauss-LOO had the lower interval score in 14 of 24 corn scenarios. On tablets and mango, TJ+N was better in 9 and Gauss-LOO in 5 of 16 scenarios.</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w:t>
      </w:r>
    </w:p>
    <w:p>
      <w:pPr>
        <w:pStyle w:val="BodyText"/>
      </w:pPr>
      <w:r>
        <w:rPr>
          <w:bCs/>
          <w:b/>
        </w:rPr>
        <w:t xml:space="preserve">Normalised Gaussian competitor (E9).</w:t>
      </w:r>
      <w:r>
        <w:t xml:space="preserve"> </w:t>
      </w:r>
      <w:r>
        <w:t xml:space="preserve">One might expect a heteroscedastic Gaussian interval using the same difficulty function to combine the efficiency of Gauss-LOO with the adaptivity of TJ+N: μ(x) ± t₁₋α/₂,ₘ₋₁ · RMS(Rᵢ) · σ(x), with Rᵢ from Eq. (3) (Gauss-LOO-N). We tested this in an additional experiment specified during review (200 repetitions; all primary pipelines and the instrument shift of E8; three α levels; Table S8).</w:t>
      </w:r>
    </w:p>
    <w:p>
      <w:pPr>
        <w:numPr>
          <w:ilvl w:val="0"/>
          <w:numId w:val="1014"/>
        </w:numPr>
      </w:pPr>
      <w:r>
        <w:t xml:space="preserve">Under-covering scenarios over all α levels: TJ+N 0/192, Gauss-LOO 18/192, Gauss-LOO-N 14/192.</w:t>
      </w:r>
    </w:p>
    <w:p>
      <w:pPr>
        <w:numPr>
          <w:ilvl w:val="0"/>
          <w:numId w:val="1014"/>
        </w:numPr>
      </w:pPr>
      <w:r>
        <w:t xml:space="preserve">At α = 0.05: 0/64, 16/64 and 8/64, respectively.</w:t>
      </w:r>
    </w:p>
    <w:p>
      <w:pPr>
        <w:numPr>
          <w:ilvl w:val="0"/>
          <w:numId w:val="1014"/>
        </w:numPr>
      </w:pPr>
      <w:r>
        <w:t xml:space="preserve">At α = 0.10, Gauss-LOO-N had a lower median interval score than TJ+N in 59 of 64 scenarios (median score ratio 0.970).</w:t>
      </w:r>
    </w:p>
    <w:p>
      <w:pPr>
        <w:pStyle w:val="FirstParagraph"/>
      </w:pPr>
      <w:r>
        <w:t xml:space="preserve">The normalised Gaussian interval was therefore slightly more efficient, by about 3% in median interval score, but it under-covered in several scenarios, mostly at 95%. TJ+N trades this small loss of efficiency for validity without distributional assumptions. Where a few percent of interval width matter more than a coverage guarantee, Gauss-LOO-N is a defensible pragmatic choice, provided its coverage is checked.</w:t>
      </w:r>
      <w:r>
        <w:t xml:space="preserve"> </w:t>
      </w:r>
      <w:r>
        <w:t xml:space="preserve">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5"/>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5"/>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5"/>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is a reasonable practical alternative, but it carries no finite-sample guarantee.</w:t>
      </w:r>
    </w:p>
    <w:p>
      <w:pPr>
        <w:numPr>
          <w:ilvl w:val="0"/>
          <w:numId w:val="1015"/>
        </w:numPr>
      </w:pPr>
      <w:r>
        <w:rPr>
          <w:bCs/>
          <w:b/>
        </w:rPr>
        <w:t xml:space="preserve">Over all pipelines and α levels (E1 and E8 together):</w:t>
      </w:r>
    </w:p>
    <w:p>
      <w:pPr>
        <w:numPr>
          <w:ilvl w:val="1"/>
          <w:numId w:val="1016"/>
        </w:numPr>
      </w:pPr>
      <w:r>
        <w:t xml:space="preserve">TJ-naive-N under-covered in 3 of 528 scenario cells, against 0 of 528 for TJ+N and 0 of 528 for TCV+N.</w:t>
      </w:r>
    </w:p>
    <w:p>
      <w:pPr>
        <w:numPr>
          <w:ilvl w:val="1"/>
          <w:numId w:val="1016"/>
        </w:numPr>
      </w:pPr>
      <w:r>
        <w:t xml:space="preserve">Residuals without leave-one-out re-fitting (TJ-insample-N) under-covered in 199 of 528.</w:t>
      </w:r>
    </w:p>
    <w:p>
      <w:pPr>
        <w:numPr>
          <w:ilvl w:val="1"/>
          <w:numId w:val="1016"/>
        </w:numPr>
      </w:pPr>
      <w:r>
        <w:t xml:space="preserve">Gauss-LOO under-covered in 77 of 528.</w:t>
      </w:r>
    </w:p>
    <w:p>
      <w:pPr>
        <w:numPr>
          <w:ilvl w:val="0"/>
          <w:numId w:val="1015"/>
        </w:numPr>
      </w:pPr>
      <w:r>
        <w:rPr>
          <w:bCs/>
          <w:b/>
        </w:rPr>
        <w:t xml:space="preserve">Difficulty normalisation.</w:t>
      </w:r>
      <w:r>
        <w:t xml:space="preserve"> </w:t>
      </w:r>
      <w:r>
        <w:t xml:space="preserve">Normalisation improved efficiency in most scenarios.</w:t>
      </w:r>
    </w:p>
    <w:p>
      <w:pPr>
        <w:numPr>
          <w:ilvl w:val="1"/>
          <w:numId w:val="1017"/>
        </w:numPr>
      </w:pPr>
      <w:r>
        <w:t xml:space="preserve">TJ+N had a significantly lower interval score than unnormalised TJ+ in 24 of 40 scenarios, and a higher one in 5.</w:t>
      </w:r>
    </w:p>
    <w:p>
      <w:pPr>
        <w:numPr>
          <w:ilvl w:val="1"/>
          <w:numId w:val="1017"/>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7"/>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7"/>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Apart from post-standardisation drift, TJ+N was not flagged as under-covering in any of the 30 robustness scenarios (Fig. 7; Supplementary Table S9). These were Kennard–Stone selection of the standards,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8"/>
        </w:numPr>
      </w:pPr>
      <w:r>
        <w:t xml:space="preserve">Tablets: TJ+N coverage was 0.04–0.07; Gauss-LOO 0.02–0.04.</w:t>
      </w:r>
    </w:p>
    <w:p>
      <w:pPr>
        <w:numPr>
          <w:ilvl w:val="0"/>
          <w:numId w:val="1018"/>
        </w:numPr>
      </w:pPr>
      <w:r>
        <w:t xml:space="preserve">Corn: TJ+N 0.60–0.94, against 0.05–0.45 for unnormalised TJ+ and 0.02–0.29 for Gauss-LOO.</w:t>
      </w:r>
    </w:p>
    <w:p>
      <w:pPr>
        <w:numPr>
          <w:ilvl w:val="0"/>
          <w:numId w:val="1018"/>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A one-channel shift is a large drift. In an additional test with a sub-channel shift of ±0.25 channel (linear interpolation; specified during review; Supplementary Table S10), coverage was:</w:t>
      </w:r>
    </w:p>
    <w:p>
      <w:pPr>
        <w:numPr>
          <w:ilvl w:val="0"/>
          <w:numId w:val="1019"/>
        </w:numPr>
      </w:pPr>
      <w:r>
        <w:t xml:space="preserve">TJ+N: corn 0.84–0.96, tablets 0.59–0.62, mango 0.86–0.96 (4/12 scenarios under-covering);</w:t>
      </w:r>
    </w:p>
    <w:p>
      <w:pPr>
        <w:numPr>
          <w:ilvl w:val="0"/>
          <w:numId w:val="1019"/>
        </w:numPr>
      </w:pPr>
      <w:r>
        <w:t xml:space="preserve">Gauss-LOO: corn 0.62–0.71, tablets 0.66–0.66, mango 0.78–0.83 (12/12);</w:t>
      </w:r>
    </w:p>
    <w:p>
      <w:pPr>
        <w:numPr>
          <w:ilvl w:val="0"/>
          <w:numId w:val="1019"/>
        </w:numPr>
      </w:pPr>
      <w:r>
        <w:t xml:space="preserve">ASTM-PI: corn 0.02–0.31, tablets 0.66–0.66, mango 0.62–0.68.</w:t>
      </w:r>
    </w:p>
    <w:p>
      <w:pPr>
        <w:pStyle w:val="FirstParagraph"/>
      </w:pPr>
      <w:r>
        <w:t xml:space="preserve">TJ+N degraded least on corn and mango, but even this small drift invalidated all methods for the tablet assay. Drift after standardisation must therefore be detected (for example by monitoring Q) and corrected by re-standardisation. No interval method compensates for it reliably.</w:t>
      </w:r>
    </w:p>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cb0a70a72bf83b16794b68d731904a21add5d8c"/>
    <w:p>
      <w:pPr>
        <w:pStyle w:val="Heading2"/>
      </w:pPr>
      <w:r>
        <w:t xml:space="preserve">4.6. Generalisation across pipelines, directions, model classes and instruments (RQ5)</w:t>
      </w:r>
    </w:p>
    <w:p>
      <w:pPr>
        <w:pStyle w:val="FirstParagraph"/>
      </w:pPr>
      <w:r>
        <w:t xml:space="preserve">The conclusions did not depend on the primary pipeline, the transfer direction or the model class (Table 6).</w:t>
      </w:r>
    </w:p>
    <w:p>
      <w:pPr>
        <w:numPr>
          <w:ilvl w:val="0"/>
          <w:numId w:val="1020"/>
        </w:numPr>
      </w:pPr>
      <w:r>
        <w:rPr>
          <w:bCs/>
          <w:b/>
        </w:rPr>
        <w:t xml:space="preserve">Transfer pipelines.</w:t>
      </w:r>
      <w:r>
        <w:t xml:space="preserve"> </w:t>
      </w:r>
      <w:r>
        <w:t xml:space="preserve">With DS, SBC or no transfer instead of PDS, TJ+N and TJ+ were never flagged as under-covering (§4.3).</w:t>
      </w:r>
    </w:p>
    <w:p>
      <w:pPr>
        <w:numPr>
          <w:ilvl w:val="0"/>
          <w:numId w:val="1020"/>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20"/>
        </w:numPr>
      </w:pPr>
      <w:r>
        <w:rPr>
          <w:bCs/>
          <w:b/>
        </w:rPr>
        <w:t xml:space="preserve">Ridge regression.</w:t>
      </w:r>
      <w:r>
        <w:t xml:space="preserve"> </w:t>
      </w:r>
      <w:r>
        <w:t xml:space="preserve">With ridge source models, TJ+N was valid on all three data sets.</w:t>
      </w:r>
    </w:p>
    <w:p>
      <w:pPr>
        <w:numPr>
          <w:ilvl w:val="0"/>
          <w:numId w:val="1020"/>
        </w:numPr>
      </w:pPr>
      <w:r>
        <w:rPr>
          <w:bCs/>
          <w:b/>
        </w:rPr>
        <w:t xml:space="preserve">1D-CNN on mango.</w:t>
      </w:r>
      <w:r>
        <w:t xml:space="preserve"> </w:t>
      </w:r>
      <w:r>
        <w:t xml:space="preserve">The CNN (110,369 parameters, early stopping after 101 epochs, 36 s on a CPU) reached RMSEP 1.22 % DM after SBC. On top of it:</w:t>
      </w:r>
    </w:p>
    <w:p>
      <w:pPr>
        <w:numPr>
          <w:ilvl w:val="1"/>
          <w:numId w:val="1021"/>
        </w:numPr>
      </w:pPr>
      <w:r>
        <w:t xml:space="preserve">TJ+N gave coverage 0.910 with the lowest interval score (5.24).</w:t>
      </w:r>
    </w:p>
    <w:p>
      <w:pPr>
        <w:numPr>
          <w:ilvl w:val="1"/>
          <w:numId w:val="1021"/>
        </w:numPr>
      </w:pPr>
      <w:r>
        <w:t xml:space="preserve">Gauss-LOO under-covered in 2/4 scenarios (coverage 0.894; score 5.42).</w:t>
      </w:r>
    </w:p>
    <w:p>
      <w:pPr>
        <w:numPr>
          <w:ilvl w:val="1"/>
          <w:numId w:val="1021"/>
        </w:numPr>
      </w:pPr>
      <w:r>
        <w:t xml:space="preserve">MC-dropout intervals</w:t>
      </w:r>
      <w:r>
        <w:t xml:space="preserve"> </w:t>
      </w:r>
      <w:r>
        <w:t xml:space="preserve">[35]</w:t>
      </w:r>
      <w:r>
        <w:t xml:space="preserve">, a common deep-learning uncertainty estimate for spectra</w:t>
      </w:r>
      <w:r>
        <w:t xml:space="preserve"> </w:t>
      </w:r>
      <w:r>
        <w:t xml:space="preserve">[44]</w:t>
      </w:r>
      <w:r>
        <w:t xml:space="preserve">, under-covered in 4/4 scenarios (coverage 0.807), presumably because dropout variance captures model uncertainty but not the systematic error introduced by the season shift.</w:t>
      </w:r>
    </w:p>
    <w:p>
      <w:pPr>
        <w:pStyle w:val="FirstParagraph"/>
      </w:pPr>
      <w:r>
        <w:t xml:space="preserve">Over all generalisation settings, TJ+N under-covered in 0 of 22 scenarios.</w:t>
      </w:r>
    </w:p>
    <w:p>
      <w:pPr>
        <w:pStyle w:val="BodyText"/>
      </w:pPr>
      <w:r>
        <w:rPr>
          <w:bCs/>
          <w:b/>
        </w:rPr>
        <w:t xml:space="preserve">Independent instrument shift (mango, E8).</w:t>
      </w:r>
      <w:r>
        <w:t xml:space="preserve"> </w:t>
      </w:r>
      <w:r>
        <w:t xml:space="preserve">Prompted by the review process, we added a test that was not part of the pre-registered design: transfer between handheld spectrometers on intact fruit, using the data providers’ extended data set with paired spectra of the same fruit on several instruments</w:t>
      </w:r>
      <w:r>
        <w:t xml:space="preserve"> </w:t>
      </w:r>
      <w:r>
        <w:t xml:space="preserve">[45]</w:t>
      </w:r>
      <w:r>
        <w:t xml:space="preserve">. The design was fixed before any result was computed:</w:t>
      </w:r>
    </w:p>
    <w:p>
      <w:pPr>
        <w:numPr>
          <w:ilvl w:val="0"/>
          <w:numId w:val="1022"/>
        </w:numPr>
      </w:pPr>
      <w:r>
        <w:t xml:space="preserve">source instrument 15006;</w:t>
      </w:r>
    </w:p>
    <w:p>
      <w:pPr>
        <w:numPr>
          <w:ilvl w:val="0"/>
          <w:numId w:val="1022"/>
        </w:numPr>
      </w:pPr>
      <w:r>
        <w:t xml:space="preserve">the three target instruments with most shared fruit;</w:t>
      </w:r>
    </w:p>
    <w:p>
      <w:pPr>
        <w:numPr>
          <w:ilvl w:val="0"/>
          <w:numId w:val="1022"/>
        </w:numPr>
      </w:pPr>
      <w:r>
        <w:t xml:space="preserve">PDS and SBC pipelines;</w:t>
      </w:r>
    </w:p>
    <w:p>
      <w:pPr>
        <w:numPr>
          <w:ilvl w:val="0"/>
          <w:numId w:val="1022"/>
        </w:numPr>
      </w:pPr>
      <w:r>
        <w:rPr>
          <w:iCs/>
          <w:i/>
        </w:rPr>
        <w:t xml:space="preserve">m</w:t>
      </w:r>
      <w:r>
        <w:t xml:space="preserve"> </w:t>
      </w:r>
      <w:r>
        <w:t xml:space="preserve">= 10–50 standards, 200 repetitions.</w:t>
      </w:r>
    </w:p>
    <w:p>
      <w:pPr>
        <w:pStyle w:val="FirstParagraph"/>
      </w:pPr>
      <w:r>
        <w:t xml:space="preserve">The results reproduced the main findings (Table 7).</w:t>
      </w:r>
    </w:p>
    <w:p>
      <w:pPr>
        <w:numPr>
          <w:ilvl w:val="0"/>
          <w:numId w:val="1023"/>
        </w:numPr>
      </w:pPr>
      <w:r>
        <w:t xml:space="preserve">ASTM-PI and SCP-S under-covered in every scenario: coverage 0.20–0.51 after PDS (24/24 scenarios) and 0.73–0.81 after SBC (24/24). WCP-S under-covered after PDS (0.15–0.47). After SBC it returned unbounded intervals in 100% of repetitions: valid, but uninformative.</w:t>
      </w:r>
    </w:p>
    <w:p>
      <w:pPr>
        <w:numPr>
          <w:ilvl w:val="0"/>
          <w:numId w:val="1023"/>
        </w:numPr>
      </w:pPr>
      <w:r>
        <w:t xml:space="preserve">TJ+N was valid: mean coverage 0.931 (PDS) and 0.906 (SBC). It was never flagged at any α (0/72 under-covering scenarios), whereas Gauss-LOO was flagged in 4/72.</w:t>
      </w:r>
    </w:p>
    <w:p>
      <w:pPr>
        <w:numPr>
          <w:ilvl w:val="0"/>
          <w:numId w:val="1023"/>
        </w:numPr>
      </w:pPr>
      <w:r>
        <w:t xml:space="preserve">PDS proved a poor transfer for these instruments (RMSEP 2.03–7.40 % DM, against 1.06–1.22 % with SBC). TJ+N made this visible through wide intervals (median width 11.1 vs 4.0 % DM), whereas the source-calibrated intervals remained narrow and missed most samples. Valid intervals are thus also a diagnostic of transfer quality.</w:t>
      </w:r>
    </w:p>
    <w:p>
      <w:pPr>
        <w:pStyle w:val="TableCaption"/>
        <w:keepNext/>
      </w:pPr>
      <w:r>
        <w:rPr>
          <w:bCs/>
          <w:b/>
        </w:rPr>
        <w:t xml:space="preserve">Table 6.</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6.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(12/12);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p/>
    <w:p>
      <w:pPr>
        <w:pStyle w:val="TableCaption"/>
        <w:keepNext/>
      </w:pPr>
      <w:r>
        <w:rPr>
          <w:bCs/>
          <w:b/>
        </w:rPr>
        <w:t xml:space="preserve">Table 7.</w:t>
      </w:r>
      <w:r>
        <w:t xml:space="preserve"> </w:t>
      </w:r>
      <w:r>
        <w:t xml:space="preserve">Independent instrument shift (E8): mango dry matter, source instrument 15006, three target instruments × four values of m (12 scenarios per pipeline; α = 0.10; 200 repetitions).</w:t>
      </w:r>
    </w:p>
    <w:tbl>
      <w:tblPr>
        <w:tblStyle w:val="Table"/>
        <w:tblW w:type="pct" w:w="5000"/>
        <w:jc w:val="center"/>
        <w:tblLook w:firstRow="1" w:lastRow="0" w:firstColumn="0" w:lastColumn="0" w:noHBand="0" w:noVBand="0" w:val="0020"/>
        <w:tblCaption w:val="Table 7. Independent instrument shift (E8): mango dry matter, source instrument 15006, three target instruments × four values of m (12 scenarios per pipeline; α = 0.10; 200 repetitions)."/>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Method</w:t>
            </w:r>
          </w:p>
        </w:tc>
        <w:tc>
          <w:tcPr>
            <w:tcBorders>
              <w:top w:val="single" w:sz="8" w:color="000000"/>
              <w:bottom w:val="single" w:sz="8" w:color="000000"/>
            </w:tcBorders>
          </w:tcPr>
          <w:p>
            <w:pPr>
              <w:pStyle w:val="Compact"/>
              <w:spacing w:after="0"/>
              <w:jc w:val="right"/>
            </w:pPr>
            <w:r>
              <w:t xml:space="preserve">Coverage (range)</w:t>
            </w:r>
          </w:p>
        </w:tc>
        <w:tc>
          <w:tcPr>
            <w:tcBorders>
              <w:top w:val="single" w:sz="8" w:color="000000"/>
              <w:bottom w:val="single" w:sz="8" w:color="000000"/>
            </w:tcBorders>
          </w:tcPr>
          <w:p>
            <w:pPr>
              <w:pStyle w:val="Compact"/>
              <w:spacing w:after="0"/>
              <w:jc w:val="right"/>
            </w:pPr>
            <w:r>
              <w:t xml:space="preserve">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Median width (% DM)</w:t>
            </w:r>
          </w:p>
        </w:tc>
        <w:tc>
          <w:tcPr>
            <w:tcBorders>
              <w:top w:val="single" w:sz="8" w:color="000000"/>
              <w:bottom w:val="single" w:sz="8" w:color="000000"/>
            </w:tcBorders>
          </w:tcPr>
          <w:p>
            <w:pPr>
              <w:pStyle w:val="Compact"/>
              <w:spacing w:after="0"/>
              <w:jc w:val="right"/>
            </w:pPr>
            <w:r>
              <w:t xml:space="preserve">RMSEP (% DM)</w:t>
            </w:r>
          </w:p>
        </w:tc>
      </w:tr>
      <w:tr>
        <w:tc>
          <w:tcPr/>
          <w:p>
            <w:pPr>
              <w:pStyle w:val="Compact"/>
              <w:spacing w:after="0"/>
              <w:jc w:val="left"/>
            </w:pPr>
            <w:r>
              <w:t xml:space="preserve">PDS</w:t>
            </w:r>
          </w:p>
        </w:tc>
        <w:tc>
          <w:tcPr/>
          <w:p>
            <w:pPr>
              <w:pStyle w:val="Compact"/>
              <w:spacing w:after="0"/>
              <w:jc w:val="right"/>
            </w:pPr>
            <w:r>
              <w:t xml:space="preserve">TJ+N</w:t>
            </w:r>
          </w:p>
        </w:tc>
        <w:tc>
          <w:tcPr/>
          <w:p>
            <w:pPr>
              <w:pStyle w:val="Compact"/>
              <w:spacing w:after="0"/>
              <w:jc w:val="right"/>
            </w:pPr>
            <w:r>
              <w:t xml:space="preserve">0.931 (0.91–0.97)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11.05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TJ+</w:t>
            </w:r>
          </w:p>
        </w:tc>
        <w:tc>
          <w:tcPr/>
          <w:p>
            <w:pPr>
              <w:pStyle w:val="Compact"/>
              <w:spacing w:after="0"/>
              <w:jc w:val="right"/>
            </w:pPr>
            <w:r>
              <w:t xml:space="preserve">0.929 (0.90–0.97)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12.79</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SCP-T-split-N</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11.15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Gauss-LOO</w:t>
            </w:r>
          </w:p>
        </w:tc>
        <w:tc>
          <w:tcPr/>
          <w:p>
            <w:pPr>
              <w:pStyle w:val="Compact"/>
              <w:spacing w:after="0"/>
              <w:jc w:val="right"/>
            </w:pPr>
            <w:r>
              <w:t xml:space="preserve">0.916 (0.90–0.93)</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12.13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ASTM-PI</w:t>
            </w:r>
          </w:p>
        </w:tc>
        <w:tc>
          <w:tcPr/>
          <w:p>
            <w:pPr>
              <w:pStyle w:val="Compact"/>
              <w:spacing w:after="0"/>
              <w:jc w:val="right"/>
            </w:pPr>
            <w:r>
              <w:t xml:space="preserve">0.355 (0.22–0.51)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2.71</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SCP-S</w:t>
            </w:r>
          </w:p>
        </w:tc>
        <w:tc>
          <w:tcPr/>
          <w:p>
            <w:pPr>
              <w:pStyle w:val="Compact"/>
              <w:spacing w:after="0"/>
              <w:jc w:val="right"/>
            </w:pPr>
            <w:r>
              <w:t xml:space="preserve">0.342 (0.20–0.50)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WCP-S</w:t>
            </w:r>
          </w:p>
        </w:tc>
        <w:tc>
          <w:tcPr/>
          <w:p>
            <w:pPr>
              <w:pStyle w:val="Compact"/>
              <w:spacing w:after="0"/>
              <w:jc w:val="right"/>
            </w:pPr>
            <w:r>
              <w:t xml:space="preserve">0.292 (0.15–0.47)</w:t>
            </w:r>
          </w:p>
        </w:tc>
        <w:tc>
          <w:tcPr/>
          <w:p>
            <w:pPr>
              <w:pStyle w:val="Compact"/>
              <w:spacing w:after="0"/>
              <w:jc w:val="right"/>
            </w:pPr>
            <w:r>
              <w:t xml:space="preserve">12/12</w:t>
            </w:r>
          </w:p>
        </w:tc>
        <w:tc>
          <w:tcPr/>
          <w:p>
            <w:pPr>
              <w:pStyle w:val="Compact"/>
              <w:spacing w:after="0"/>
              <w:jc w:val="right"/>
            </w:pPr>
            <w:r>
              <w:t xml:space="preserve">25</w:t>
            </w:r>
          </w:p>
        </w:tc>
        <w:tc>
          <w:tcPr/>
          <w:p>
            <w:pPr>
              <w:pStyle w:val="Compact"/>
              <w:spacing w:after="0"/>
              <w:jc w:val="right"/>
            </w:pPr>
            <w:r>
              <w:t xml:space="preserve">2.24</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Transport</w:t>
            </w:r>
          </w:p>
        </w:tc>
        <w:tc>
          <w:tcPr/>
          <w:p>
            <w:pPr>
              <w:pStyle w:val="Compact"/>
              <w:spacing w:after="0"/>
              <w:jc w:val="right"/>
            </w:pPr>
            <w:r>
              <w:t xml:space="preserve">0.978 (0.95–0.99)</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24.63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LF-conv</w:t>
            </w:r>
          </w:p>
        </w:tc>
        <w:tc>
          <w:tcPr/>
          <w:p>
            <w:pPr>
              <w:pStyle w:val="Compact"/>
              <w:spacing w:after="0"/>
              <w:jc w:val="right"/>
            </w:pPr>
            <w:r>
              <w:t xml:space="preserve">0.887 (0.86–0.91)</w:t>
            </w:r>
          </w:p>
        </w:tc>
        <w:tc>
          <w:tcPr/>
          <w:p>
            <w:pPr>
              <w:pStyle w:val="Compact"/>
              <w:spacing w:after="0"/>
              <w:jc w:val="right"/>
            </w:pPr>
            <w:r>
              <w:t xml:space="preserve">6/12</w:t>
            </w:r>
          </w:p>
        </w:tc>
        <w:tc>
          <w:tcPr/>
          <w:p>
            <w:pPr>
              <w:pStyle w:val="Compact"/>
              <w:spacing w:after="0"/>
              <w:jc w:val="right"/>
            </w:pPr>
            <w:r>
              <w:t xml:space="preserve">0</w:t>
            </w:r>
          </w:p>
        </w:tc>
        <w:tc>
          <w:tcPr/>
          <w:p>
            <w:pPr>
              <w:pStyle w:val="Compact"/>
              <w:spacing w:after="0"/>
              <w:jc w:val="right"/>
            </w:pPr>
            <w:r>
              <w:t xml:space="preserve">11.83</w:t>
            </w:r>
          </w:p>
        </w:tc>
        <w:tc>
          <w:tcPr/>
          <w:p>
            <w:pPr>
              <w:pStyle w:val="Compact"/>
              <w:spacing w:after="0"/>
              <w:jc w:val="right"/>
            </w:pPr>
            <w:r>
              <w:t xml:space="preserve">4.03</w:t>
            </w:r>
          </w:p>
        </w:tc>
      </w:tr>
      <w:tr>
        <w:tc>
          <w:tcPr/>
          <w:p>
            <w:pPr>
              <w:pStyle w:val="Compact"/>
              <w:spacing w:after="0"/>
              <w:jc w:val="left"/>
            </w:pPr>
            <w:r>
              <w:t xml:space="preserve">SBC</w:t>
            </w:r>
          </w:p>
        </w:tc>
        <w:tc>
          <w:tcPr/>
          <w:p>
            <w:pPr>
              <w:pStyle w:val="Compact"/>
              <w:spacing w:after="0"/>
              <w:jc w:val="right"/>
            </w:pPr>
            <w:r>
              <w:t xml:space="preserve">TJ+N</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4.00</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TJ+</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3.87</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SCP-T-split-N</w:t>
            </w:r>
          </w:p>
        </w:tc>
        <w:tc>
          <w:tcPr/>
          <w:p>
            <w:pPr>
              <w:pStyle w:val="Compact"/>
              <w:spacing w:after="0"/>
              <w:jc w:val="right"/>
            </w:pPr>
            <w:r>
              <w:t xml:space="preserve">0.941 (0.90–1.00)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4.56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Gauss-LOO</w:t>
            </w:r>
          </w:p>
        </w:tc>
        <w:tc>
          <w:tcPr/>
          <w:p>
            <w:pPr>
              <w:pStyle w:val="Compact"/>
              <w:spacing w:after="0"/>
              <w:jc w:val="right"/>
            </w:pPr>
            <w:r>
              <w:t xml:space="preserve">0.900 (0.89–0.91)</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3.85</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ASTM-PI</w:t>
            </w:r>
          </w:p>
        </w:tc>
        <w:tc>
          <w:tcPr/>
          <w:p>
            <w:pPr>
              <w:pStyle w:val="Compact"/>
              <w:spacing w:after="0"/>
              <w:jc w:val="right"/>
            </w:pPr>
            <w:r>
              <w:t xml:space="preserve">0.781 (0.74–0.81)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SCP-S</w:t>
            </w:r>
          </w:p>
        </w:tc>
        <w:tc>
          <w:tcPr/>
          <w:p>
            <w:pPr>
              <w:pStyle w:val="Compact"/>
              <w:spacing w:after="0"/>
              <w:jc w:val="right"/>
            </w:pPr>
            <w:r>
              <w:t xml:space="preserve">0.762 (0.73–0.80)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1.14</w:t>
            </w:r>
          </w:p>
        </w:tc>
      </w:tr>
      <w:tr>
        <w:tc>
          <w:tcPr>
            <w:tcBorders>
              <w:bottom w:val="single" w:sz="8" w:color="000000"/>
            </w:tcBorders>
          </w:tcPr>
          <w:p>
            <w:pPr>
              <w:pStyle w:val="Compact"/>
              <w:spacing w:after="0"/>
              <w:jc w:val="left"/>
            </w:pPr>
            <w:r>
              <w:t xml:space="preserve">SBC</w:t>
            </w:r>
          </w:p>
        </w:tc>
        <w:tc>
          <w:tcPr>
            <w:tcBorders>
              <w:bottom w:val="single" w:sz="8" w:color="000000"/>
            </w:tcBorders>
          </w:tcPr>
          <w:p>
            <w:pPr>
              <w:pStyle w:val="Compact"/>
              <w:spacing w:after="0"/>
              <w:jc w:val="right"/>
            </w:pPr>
            <w:r>
              <w:t xml:space="preserve">WCP-S</w:t>
            </w:r>
          </w:p>
        </w:tc>
        <w:tc>
          <w:tcPr>
            <w:tcBorders>
              <w:bottom w:val="single" w:sz="8" w:color="000000"/>
            </w:tcBorders>
          </w:tcPr>
          <w:p>
            <w:pPr>
              <w:pStyle w:val="Compact"/>
              <w:spacing w:after="0"/>
              <w:jc w:val="right"/>
            </w:pPr>
            <w:r>
              <w:t xml:space="preserve">1.000 (1.00–1.00)</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4.54</w:t>
            </w:r>
          </w:p>
        </w:tc>
        <w:tc>
          <w:tcPr>
            <w:tcBorders>
              <w:bottom w:val="single" w:sz="8" w:color="000000"/>
            </w:tcBorders>
          </w:tcPr>
          <w:p>
            <w:pPr>
              <w:pStyle w:val="Compact"/>
              <w:spacing w:after="0"/>
              <w:jc w:val="right"/>
            </w:pPr>
            <w:r>
              <w:t xml:space="preserve">1.14</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mean corn RMSEP with</w:t>
      </w:r>
      <w:r>
        <w:t xml:space="preserve"> </w:t>
      </w:r>
      <w:r>
        <w:rPr>
          <w:iCs/>
          <w:i/>
        </w:rPr>
        <w:t xml:space="preserve">m</w:t>
      </w:r>
      <w:r>
        <w:t xml:space="preserve"> </w:t>
      </w:r>
      <w:r>
        <w:t xml:space="preserve">= 15 was 0.281 with the pre-registered 5-channel window and 0.237 (3 channels), 0.348 (7 channels), 0.503 (11 channels) with the other windows. The pre-registered window was thus not the most accurate choice for corn; it was nevertheless kept, since it was fixed before any target data were analysed. Interval validity was unaffected: TJ+N under-covered in 0 of 27 sensitivity scenarios (coverage 0.898–0.972; Table S3). The source-calibrated intervals under-covered in 48 of 54 cases. Their validity also depended on the setting. For example, with an 11-channel PDS window the tablet-assay coverage of ASTM-PI and SCP-S fell to 0.87 and 0.84.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 Put differently, the share of repetitions whose realised coverage on the test set fell below 0.80 was corn m = 20: 8%; tablets m = 20: 6%; tablets m = 50: 2%; mango m = 20: 10%; mango m = 50: 2%. Users who need a guarantee for their particular set of standards (training-conditional coverage) should use more standards or a more conservative α.</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6"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S3). The source model is never re-fitted. Measured over</w:t>
      </w:r>
      <w:r>
        <w:t xml:space="preserve"> </w:t>
      </w:r>
      <w:r>
        <w:rPr>
          <w:iCs/>
          <w:i/>
        </w:rPr>
        <w:t xml:space="preserve">m</w:t>
      </w:r>
      <w:r>
        <w:t xml:space="preserve"> </w:t>
      </w:r>
      <w:r>
        <w:t xml:space="preserve">= 10–50, the cost of TJ+N grew approximately linearly with the number of standards (corn: 0.10 s at m = 10 to 0.15 s at m = 20; tablets: 0.80 s at m = 10 to 2.56 s at m = 50; mango: 0.02 s at m = 10 to 0.06 s at m = 50; Supplementary Table S7). These timings include the five CV+ refits and are thus upper bounds.</w:t>
      </w:r>
    </w:p>
    <w:p>
      <w:pPr>
        <w:pStyle w:val="BodyText"/>
      </w:pPr>
      <w:r>
        <w:rPr>
          <w:bCs/>
          <w:b/>
        </w:rPr>
        <w:t xml:space="preserve">Deployment.</w:t>
      </w:r>
    </w:p>
    <w:p>
      <w:pPr>
        <w:numPr>
          <w:ilvl w:val="0"/>
          <w:numId w:val="1024"/>
        </w:numPr>
      </w:pPr>
      <w:r>
        <w:t xml:space="preserve">The</w:t>
      </w:r>
      <w:r>
        <w:t xml:space="preserve"> </w:t>
      </w:r>
      <w:r>
        <w:rPr>
          <w:iCs/>
          <w:i/>
        </w:rPr>
        <w:t xml:space="preserve">m</w:t>
      </w:r>
      <w:r>
        <w:t xml:space="preserve"> </w:t>
      </w:r>
      <w:r>
        <w:t xml:space="preserve">leave-one-out transfers are fitted once, when the instrument is standardised.</w:t>
      </w:r>
    </w:p>
    <w:p>
      <w:pPr>
        <w:numPr>
          <w:ilvl w:val="0"/>
          <w:numId w:val="1024"/>
        </w:numPr>
      </w:pPr>
      <w:r>
        <w:t xml:space="preserve">For each routine spectrum, TJ+N then requires</w:t>
      </w:r>
      <w:r>
        <w:t xml:space="preserve"> </w:t>
      </w:r>
      <w:r>
        <w:rPr>
          <w:iCs/>
          <w:i/>
        </w:rPr>
        <w:t xml:space="preserve">m</w:t>
      </w:r>
      <w:r>
        <w:t xml:space="preserve"> </w:t>
      </w:r>
      <w:r>
        <w:t xml:space="preserve">applications of a stored transfer map and</w:t>
      </w:r>
      <w:r>
        <w:t xml:space="preserve"> </w:t>
      </w:r>
      <w:r>
        <w:rPr>
          <w:iCs/>
          <w:i/>
        </w:rPr>
        <w:t xml:space="preserve">m</w:t>
      </w:r>
      <w:r>
        <w:t xml:space="preserve"> </w:t>
      </w:r>
      <w:r>
        <w:t xml:space="preserve">predictions of the source model. For PDS, each map is a</w:t>
      </w:r>
      <w:r>
        <w:t xml:space="preserve"> </w:t>
      </w:r>
      <w:r>
        <w:rPr>
          <w:iCs/>
          <w:i/>
        </w:rPr>
        <w:t xml:space="preserve">p</w:t>
      </w:r>
      <w:r>
        <w:t xml:space="preserve"> </w:t>
      </w:r>
      <w:r>
        <w:t xml:space="preserve">× 5 coefficient array (about 28 kB for 700 channels); for SBC, it is two numbers.</w:t>
      </w:r>
    </w:p>
    <w:p>
      <w:pPr>
        <w:numPr>
          <w:ilvl w:val="0"/>
          <w:numId w:val="1024"/>
        </w:numPr>
      </w:pPr>
      <w:r>
        <w:t xml:space="preserve">Energy use is negligible at these scales.</w:t>
      </w:r>
    </w:p>
    <w:p>
      <w:pPr>
        <w:numPr>
          <w:ilvl w:val="0"/>
          <w:numId w:val="1024"/>
        </w:numPr>
      </w:pPr>
      <w:r>
        <w:t xml:space="preserve">For computationally expensive adaptation methods, for example domain-adaptive PLS with hyperparameter search or neural domain adaptation, the five-fold CV+ variant reduces the cost to five refits. It remained valid in all scenarios, at the price of somewhat wider intervals (§4.4).</w:t>
      </w:r>
    </w:p>
    <w:p>
      <w:pPr>
        <w:pStyle w:val="FirstParagraph"/>
      </w:pPr>
      <w:r>
        <w:t xml:space="preserve">The added cost is therefore negligible for routine laboratory use.</w:t>
      </w:r>
    </w:p>
    <w:bookmarkEnd w:id="66"/>
    <w:bookmarkStart w:id="67" w:name="Xbee438485c0f551ce74fd4f49e5841838c057f4"/>
    <w:p>
      <w:pPr>
        <w:pStyle w:val="Heading2"/>
      </w:pPr>
      <w:r>
        <w:t xml:space="preserve">4.11. Relation to analytical measurement uncertainty</w:t>
      </w:r>
    </w:p>
    <w:p>
      <w:pPr>
        <w:pStyle w:val="FirstParagraph"/>
      </w:pPr>
      <w:r>
        <w:t xml:space="preserve">A TJ+ interval is a</w:t>
      </w:r>
      <w:r>
        <w:t xml:space="preserve"> </w:t>
      </w:r>
      <w:r>
        <w:rPr>
          <w:iCs/>
          <w:i/>
        </w:rPr>
        <w:t xml:space="preserve">prediction</w:t>
      </w:r>
      <w:r>
        <w:t xml:space="preserve"> </w:t>
      </w:r>
      <w:r>
        <w:t xml:space="preserve">interval for the reference value of an individual routine sample. Its target is the value that the reference method would return. Its width therefore reflects, jointly, the error of the reference method, spectral noise, model error and the error introduced by the transfer. All of these enter the leave-one-standard-out residuals.</w:t>
      </w:r>
    </w:p>
    <w:p>
      <w:pPr>
        <w:pStyle w:val="BodyText"/>
      </w:pPr>
      <w:r>
        <w:t xml:space="preserve">It is not a GUM-type uncertainty budget, in which components are estimated separately and propagated. Nor is it conditional on the particular sample: the 1−2α (empirically ≈1−α) statement concerns samples drawn from the routine population. Error-propagation approaches to multivariate prediction uncertainty</w:t>
      </w:r>
      <w:r>
        <w:t xml:space="preserve"> </w:t>
      </w:r>
      <w:r>
        <w:t xml:space="preserve">[13–15]</w:t>
      </w:r>
      <w:r>
        <w:t xml:space="preserve"> </w:t>
      </w:r>
      <w:r>
        <w:t xml:space="preserve">give sample-specific uncertainties, but they rest on a calibration error model that, as shown in §4.2, no longer holds after transfer.</w:t>
      </w:r>
    </w:p>
    <w:p>
      <w:pPr>
        <w:pStyle w:val="BodyText"/>
      </w:pPr>
      <w:r>
        <w:t xml:space="preserve">TJ+N is complementary. It provides an empirically calibrated coverage statement for the transferred method, it can be used to check whether a parametric uncertainty statement still holds after transfer, and, through σ(x), it retains sample-specific widths. Where the reference-method repeatability is known, comparing it with the TJ+N interval width shows how much of the uncertainty after transfer stems from the NIR method itself.</w:t>
      </w:r>
    </w:p>
    <w:bookmarkEnd w:id="67"/>
    <w:bookmarkStart w:id="68" w:name="practical-recommendations"/>
    <w:p>
      <w:pPr>
        <w:pStyle w:val="Heading2"/>
      </w:pPr>
      <w:r>
        <w:t xml:space="preserve">4.12. Practical recommendations</w:t>
      </w:r>
    </w:p>
    <w:p>
      <w:pPr>
        <w:numPr>
          <w:ilvl w:val="0"/>
          <w:numId w:val="1025"/>
        </w:numPr>
      </w:pPr>
      <w:r>
        <w:t xml:space="preserve">Do not reuse source-domain interval formulas after transfer without checking them on target data.</w:t>
      </w:r>
    </w:p>
    <w:p>
      <w:pPr>
        <w:numPr>
          <w:ilvl w:val="0"/>
          <w:numId w:val="1025"/>
        </w:numPr>
      </w:pPr>
      <w:r>
        <w:t xml:space="preserve">Draw at least part of the transfer standards at random from the routine target population, and obtain their reference values.</w:t>
      </w:r>
    </w:p>
    <w:p>
      <w:pPr>
        <w:numPr>
          <w:ilvl w:val="0"/>
          <w:numId w:val="1025"/>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25"/>
        </w:numPr>
      </w:pPr>
      <w:r>
        <w:t xml:space="preserve">Report the leave-one-standard-out RMSE as well. Gaussian intervals built from it are a reasonable approximation at 90% but can under-cover at 95%.</w:t>
      </w:r>
    </w:p>
    <w:p>
      <w:pPr>
        <w:numPr>
          <w:ilvl w:val="0"/>
          <w:numId w:val="1025"/>
        </w:numPr>
      </w:pPr>
      <w:r>
        <w:t xml:space="preserve">Flag predictions with large Q residuals after transfer. Re-check coverage periodically on a few fresh reference samples, because drift after standardisation invalidates any interval calibrated at standardisation time.</w:t>
      </w:r>
    </w:p>
    <w:bookmarkEnd w:id="68"/>
    <w:bookmarkEnd w:id="69"/>
    <w:bookmarkStart w:id="70" w:name="limitations"/>
    <w:p>
      <w:pPr>
        <w:pStyle w:val="Heading1"/>
      </w:pPr>
      <w:r>
        <w:t xml:space="preserve">5. Limitations</w:t>
      </w:r>
    </w:p>
    <w:p>
      <w:pPr>
        <w:numPr>
          <w:ilvl w:val="0"/>
          <w:numId w:val="1026"/>
        </w:numPr>
      </w:pPr>
      <w:r>
        <w:rPr>
          <w:bCs/>
          <w:b/>
        </w:rPr>
        <w:t xml:space="preserve">Reference values for the standards.</w:t>
      </w:r>
    </w:p>
    <w:p>
      <w:pPr>
        <w:numPr>
          <w:ilvl w:val="1"/>
          <w:numId w:val="1027"/>
        </w:numPr>
      </w:pPr>
      <w:r>
        <w:t xml:space="preserve">TJ+ needs the reference values of the transfer standards.</w:t>
      </w:r>
    </w:p>
    <w:p>
      <w:pPr>
        <w:numPr>
          <w:ilvl w:val="1"/>
          <w:numId w:val="1027"/>
        </w:numPr>
      </w:pPr>
      <w:r>
        <w:t xml:space="preserve">SBC needs them anyway, and PDS/DS standards are usually calibration samples with known values.</w:t>
      </w:r>
    </w:p>
    <w:p>
      <w:pPr>
        <w:numPr>
          <w:ilvl w:val="1"/>
          <w:numId w:val="1027"/>
        </w:numPr>
      </w:pPr>
      <w:r>
        <w:t xml:space="preserve">When reference values are unavailable, only the exploratory label-free variant applies, and it carries no guarantee and under-covered in our tests (§4.7).</w:t>
      </w:r>
    </w:p>
    <w:p>
      <w:pPr>
        <w:numPr>
          <w:ilvl w:val="0"/>
          <w:numId w:val="1026"/>
        </w:numPr>
      </w:pPr>
      <w:r>
        <w:rPr>
          <w:bCs/>
          <w:b/>
        </w:rPr>
        <w:t xml:space="preserve">How the standards are selected.</w:t>
      </w:r>
    </w:p>
    <w:p>
      <w:pPr>
        <w:numPr>
          <w:ilvl w:val="1"/>
          <w:numId w:val="1028"/>
        </w:numPr>
      </w:pPr>
      <w:r>
        <w:t xml:space="preserve">The guarantee assumes the standards are a random sample of the target population, exchangeable with future samples.</w:t>
      </w:r>
    </w:p>
    <w:p>
      <w:pPr>
        <w:numPr>
          <w:ilvl w:val="1"/>
          <w:numId w:val="1028"/>
        </w:numPr>
      </w:pPr>
      <w:r>
        <w:t xml:space="preserve">Kennard–Stone and other representative designs violate this assumption. Kennard–Stone selection made TJ+N conservative in our tests (§4.5), but it is not covered by Proposition 1.</w:t>
      </w:r>
    </w:p>
    <w:p>
      <w:pPr>
        <w:numPr>
          <w:ilvl w:val="1"/>
          <w:numId w:val="1028"/>
        </w:numPr>
      </w:pPr>
      <w:r>
        <w:t xml:space="preserve">In practice, a random subset of standards can be reserved for interval calibration.</w:t>
      </w:r>
    </w:p>
    <w:p>
      <w:pPr>
        <w:numPr>
          <w:ilvl w:val="0"/>
          <w:numId w:val="1026"/>
        </w:numPr>
      </w:pPr>
      <w:r>
        <w:rPr>
          <w:bCs/>
          <w:b/>
        </w:rPr>
        <w:t xml:space="preserve">Marginal, not conditional, guarantee.</w:t>
      </w:r>
    </w:p>
    <w:p>
      <w:pPr>
        <w:numPr>
          <w:ilvl w:val="1"/>
          <w:numId w:val="1029"/>
        </w:numPr>
      </w:pPr>
      <w:r>
        <w:t xml:space="preserve">Coverage holds on average over the draw of standards and future samples.</w:t>
      </w:r>
    </w:p>
    <w:p>
      <w:pPr>
        <w:numPr>
          <w:ilvl w:val="1"/>
          <w:numId w:val="1029"/>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9"/>
        </w:numPr>
      </w:pPr>
      <w:r>
        <w:t xml:space="preserve">The worst-case bound is 1−2α, although the observed coverage was close to or above 1−α.</w:t>
      </w:r>
    </w:p>
    <w:p>
      <w:pPr>
        <w:numPr>
          <w:ilvl w:val="0"/>
          <w:numId w:val="1026"/>
        </w:numPr>
      </w:pPr>
      <w:r>
        <w:rPr>
          <w:bCs/>
          <w:b/>
        </w:rPr>
        <w:t xml:space="preserve">Scope of the evidence.</w:t>
      </w:r>
    </w:p>
    <w:p>
      <w:pPr>
        <w:numPr>
          <w:ilvl w:val="1"/>
          <w:numId w:val="1030"/>
        </w:numPr>
      </w:pPr>
      <w:r>
        <w:t xml:space="preserve">Three public NIR data sets were used, one of them small (corn,</w:t>
      </w:r>
      <w:r>
        <w:t xml:space="preserve"> </w:t>
      </w:r>
      <w:r>
        <w:rPr>
          <w:iCs/>
          <w:i/>
        </w:rPr>
        <w:t xml:space="preserve">n</w:t>
      </w:r>
      <w:r>
        <w:t xml:space="preserve"> </w:t>
      </w:r>
      <w:r>
        <w:t xml:space="preserve">= 80). They cover two instrument pairs for corn, one for tablets, one season shift and three handheld-instrument pairs for mango.</w:t>
      </w:r>
    </w:p>
    <w:p>
      <w:pPr>
        <w:numPr>
          <w:ilvl w:val="1"/>
          <w:numId w:val="1030"/>
        </w:numPr>
      </w:pPr>
      <w:r>
        <w:t xml:space="preserve">Coverage refers to the samples in these data sets. Test samples recur across repetitions, so the results characterise the procedure on these populations, not on all possible samples.</w:t>
      </w:r>
    </w:p>
    <w:p>
      <w:pPr>
        <w:numPr>
          <w:ilvl w:val="1"/>
          <w:numId w:val="1030"/>
        </w:numPr>
      </w:pPr>
      <w:r>
        <w:t xml:space="preserve">The noise, wavelength-shift and source-size perturbations are simulated.</w:t>
      </w:r>
    </w:p>
    <w:p>
      <w:pPr>
        <w:numPr>
          <w:ilvl w:val="1"/>
          <w:numId w:val="1030"/>
        </w:numPr>
      </w:pPr>
      <w:r>
        <w:t xml:space="preserve">Other techniques (Raman, MIR), non-linear or deep domain-adaptation transfers, and process data streams with drift were not tested.</w:t>
      </w:r>
    </w:p>
    <w:p>
      <w:pPr>
        <w:numPr>
          <w:ilvl w:val="1"/>
          <w:numId w:val="1030"/>
        </w:numPr>
      </w:pPr>
      <w:r>
        <w:t xml:space="preserve">Probabilistic alternatives that model the transfer jointly (for example Gaussian-process or Bayesian PLS models) were not compared; their intervals depend on model assumptions that would themselves need validation after transfer.</w:t>
      </w:r>
    </w:p>
    <w:p>
      <w:pPr>
        <w:numPr>
          <w:ilvl w:val="1"/>
          <w:numId w:val="1030"/>
        </w:numPr>
      </w:pPr>
      <w:r>
        <w:t xml:space="preserve">Very high confidence levels are expensive: at α = 0.01, a bounded TJ+ interval requires</w:t>
      </w:r>
      <w:r>
        <w:t xml:space="preserve"> </w:t>
      </w:r>
      <w:r>
        <w:rPr>
          <w:iCs/>
          <w:i/>
        </w:rPr>
        <w:t xml:space="preserve">m</w:t>
      </w:r>
      <w:r>
        <w:t xml:space="preserve"> </w:t>
      </w:r>
      <w:r>
        <w:t xml:space="preserve">≥ 99 standards.</w:t>
      </w:r>
    </w:p>
    <w:p>
      <w:pPr>
        <w:numPr>
          <w:ilvl w:val="0"/>
          <w:numId w:val="1026"/>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26"/>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26"/>
        </w:numPr>
      </w:pPr>
      <w:r>
        <w:rPr>
          <w:bCs/>
          <w:b/>
        </w:rPr>
        <w:t xml:space="preserve">Drift after standardisation.</w:t>
      </w:r>
      <w:r>
        <w:t xml:space="preserve"> </w:t>
      </w:r>
      <w:r>
        <w:t xml:space="preserve">A wavelength shift of the routine spectra after the transfer had been fitted invalidated the intervals of all methods, including TJ+N. This happened for a one-channel shift and, for some responses, already for a quarter-channel shift (§4.5). The guarantee presupposes a stable target instrument between standardisation and use.</w:t>
      </w:r>
    </w:p>
    <w:bookmarkEnd w:id="70"/>
    <w:bookmarkStart w:id="71"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 No interval method, TJ+N included, protects against drift that occurs after standardisation; it must be monitored.</w:t>
      </w:r>
    </w:p>
    <w:p>
      <w:pPr>
        <w:pStyle w:val="BodyText"/>
      </w:pPr>
      <w:r>
        <w:t xml:space="preserve">We recommend:</w:t>
      </w:r>
    </w:p>
    <w:p>
      <w:pPr>
        <w:numPr>
          <w:ilvl w:val="0"/>
          <w:numId w:val="1031"/>
        </w:numPr>
      </w:pPr>
      <w:r>
        <w:t xml:space="preserve">drawing at least a random subset of transfer standards from the target population;</w:t>
      </w:r>
    </w:p>
    <w:p>
      <w:pPr>
        <w:numPr>
          <w:ilvl w:val="0"/>
          <w:numId w:val="1031"/>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31"/>
        </w:numPr>
      </w:pPr>
      <w:r>
        <w:t xml:space="preserve">reporting TJ+-type intervals, or at least Gaussian leave-one-standard-out intervals, alongside RMSEP whenever a calibration is transferred.</w:t>
      </w:r>
    </w:p>
    <w:bookmarkEnd w:id="71"/>
    <w:bookmarkStart w:id="72"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[36]</w:t>
      </w:r>
      <w:r>
        <w:t xml:space="preserve">, and mango DMC from Mendeley Data (CC BY 4.0). Record version 1 (doi:10.17632/46htwnp833.1) was used for the season shift</w:t>
      </w:r>
      <w:r>
        <w:t xml:space="preserve"> </w:t>
      </w:r>
      <w:r>
        <w:t xml:space="preserve">[37]</w:t>
      </w:r>
      <w:r>
        <w:t xml:space="preserve">, and record version 6 (doi:10.17632/46htwnp833.6) for the instrument shift</w:t>
      </w:r>
      <w:r>
        <w:t xml:space="preserve"> </w:t>
      </w:r>
      <w:r>
        <w:t xml:space="preserve">[45]</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2"/>
    <w:bookmarkStart w:id="73"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(2)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(3),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32"/>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(4),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32"/>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r>
          <m:rPr>
            <m:sty m:val="p"/>
          </m:rPr>
          <m:t>|</m:t>
        </m:r>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d>
                <m:dPr>
                  <m:begChr m:val="["/>
                  <m:endChr m:val="]"/>
                  <m:sepChr m:val=""/>
                  <m:grow/>
                </m:dPr>
                <m:e>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d>
          <m:dPr>
            <m:begChr m:val="["/>
            <m:endChr m:val="]"/>
            <m:sepChr m:val=""/>
            <m:grow/>
          </m:dPr>
          <m:e>
            <m:sSub>
              <m:e>
                <m:r>
                  <m:t>R</m:t>
                </m:r>
              </m:e>
              <m:sub>
                <m:r>
                  <m:t>j</m:t>
                </m:r>
                <m:r>
                  <m:t>i</m:t>
                </m:r>
              </m:sub>
            </m:sSub>
            <m:r>
              <m:rPr>
                <m:sty m:val="p"/>
              </m:rPr>
              <m:t>&gt;</m:t>
            </m:r>
            <m:sSub>
              <m:e>
                <m:r>
                  <m:t>R</m:t>
                </m:r>
              </m:e>
              <m:sub>
                <m:r>
                  <m:t>i</m:t>
                </m:r>
                <m:r>
                  <m:t>j</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[32]</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d>
          <m:dPr>
            <m:begChr m:val="["/>
            <m:endChr m:val="]"/>
            <m:sepChr m:val=""/>
            <m:grow/>
          </m:dPr>
          <m:e>
            <m:r>
              <m:rPr>
                <m:sty m:val="p"/>
              </m:rPr>
              <m:t>#</m:t>
            </m:r>
            <m:r>
              <m:rPr>
                <m:nor/>
                <m:sty m:val="p"/>
              </m:rPr>
              <m:t>strange</m:t>
            </m:r>
          </m:e>
        </m:d>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33"/>
        </w:numPr>
      </w:pPr>
      <w:r>
        <w:t xml:space="preserve">The normalisation enters only through the definition of the scores. Steps 2–4 hold for any score of the form</w:t>
      </w:r>
      <w:r>
        <w:t xml:space="preserve"> </w:t>
      </w:r>
      <m:oMath>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33"/>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§4.4.</w:t>
      </w:r>
    </w:p>
    <w:p>
      <w:pPr>
        <w:numPr>
          <w:ilvl w:val="0"/>
          <w:numId w:val="1033"/>
        </w:numPr>
      </w:pPr>
      <w:r>
        <w:t xml:space="preserve">Ties between scores have probability zero for continuous data; with ties, the strict inequalities in Step 2 make the interval only more conservative.</w:t>
      </w:r>
    </w:p>
    <w:p>
      <w:pPr>
        <w:numPr>
          <w:ilvl w:val="0"/>
          <w:numId w:val="1033"/>
        </w:numPr>
      </w:pPr>
      <w:r>
        <w:t xml:space="preserve">If the standards are chosen by a data-dependent design such as Kennard–Stone, they are no longer exchangeable with a random future sample, and Step 4 does not apply.</w:t>
      </w:r>
    </w:p>
    <w:bookmarkEnd w:id="73"/>
    <w:bookmarkStart w:id="161" w:name="bibliography"/>
    <w:p>
      <w:r>
        <w:br w:type="page"/>
      </w:r>
    </w:p>
    <w:p>
      <w:pPr>
        <w:pStyle w:val="Heading1"/>
      </w:pPr>
      <w:r>
        <w:t xml:space="preserve">References</w:t>
      </w:r>
    </w:p>
    <w:bookmarkStart w:id="160" w:name="refs"/>
    <w:bookmarkStart w:id="75"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4">
        <w:r>
          <w:rPr>
            <w:rStyle w:val="Hyperlink"/>
          </w:rPr>
          <w:t xml:space="preserve">10.1016/j.aca.2018.04.004</w:t>
        </w:r>
      </w:hyperlink>
      <w:r>
        <w:t xml:space="preserve">.</w:t>
      </w:r>
    </w:p>
    <w:bookmarkEnd w:id="75"/>
    <w:bookmarkStart w:id="77"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6">
        <w:r>
          <w:rPr>
            <w:rStyle w:val="Hyperlink"/>
          </w:rPr>
          <w:t xml:space="preserve">10.1016/S0169-7439(02)00085-0</w:t>
        </w:r>
      </w:hyperlink>
      <w:r>
        <w:t xml:space="preserve">.</w:t>
      </w:r>
    </w:p>
    <w:bookmarkEnd w:id="77"/>
    <w:bookmarkStart w:id="79"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78">
        <w:r>
          <w:rPr>
            <w:rStyle w:val="Hyperlink"/>
          </w:rPr>
          <w:t xml:space="preserve">10.1177/0003702817736064</w:t>
        </w:r>
      </w:hyperlink>
      <w:r>
        <w:t xml:space="preserve">.</w:t>
      </w:r>
    </w:p>
    <w:bookmarkEnd w:id="79"/>
    <w:bookmarkStart w:id="81"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0">
        <w:r>
          <w:rPr>
            <w:rStyle w:val="Hyperlink"/>
          </w:rPr>
          <w:t xml:space="preserve">10.1016/j.postharvbio.2020.111202</w:t>
        </w:r>
      </w:hyperlink>
      <w:r>
        <w:t xml:space="preserve">.</w:t>
      </w:r>
    </w:p>
    <w:bookmarkEnd w:id="81"/>
    <w:bookmarkStart w:id="83"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2">
        <w:r>
          <w:rPr>
            <w:rStyle w:val="Hyperlink"/>
          </w:rPr>
          <w:t xml:space="preserve">10.1021/ac00023a016</w:t>
        </w:r>
      </w:hyperlink>
      <w:r>
        <w:t xml:space="preserve">.</w:t>
      </w:r>
    </w:p>
    <w:bookmarkEnd w:id="83"/>
    <w:bookmarkStart w:id="85"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4">
        <w:r>
          <w:rPr>
            <w:rStyle w:val="Hyperlink"/>
          </w:rPr>
          <w:t xml:space="preserve">10.1016/0169-7439(95)00074-7</w:t>
        </w:r>
      </w:hyperlink>
      <w:r>
        <w:t xml:space="preserve">.</w:t>
      </w:r>
    </w:p>
    <w:bookmarkEnd w:id="85"/>
    <w:bookmarkStart w:id="87"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6">
        <w:r>
          <w:rPr>
            <w:rStyle w:val="Hyperlink"/>
          </w:rPr>
          <w:t xml:space="preserve">10.1021/acs.analchem.8b00498</w:t>
        </w:r>
      </w:hyperlink>
      <w:r>
        <w:t xml:space="preserve">.</w:t>
      </w:r>
    </w:p>
    <w:bookmarkEnd w:id="87"/>
    <w:bookmarkStart w:id="89"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88">
        <w:r>
          <w:rPr>
            <w:rStyle w:val="Hyperlink"/>
          </w:rPr>
          <w:t xml:space="preserve">10.1016/j.infrared.2020.103547</w:t>
        </w:r>
      </w:hyperlink>
      <w:r>
        <w:t xml:space="preserve">.</w:t>
      </w:r>
    </w:p>
    <w:bookmarkEnd w:id="89"/>
    <w:bookmarkStart w:id="91"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0">
        <w:r>
          <w:rPr>
            <w:rStyle w:val="Hyperlink"/>
          </w:rPr>
          <w:t xml:space="preserve">10.1016/j.aca.2022.340154</w:t>
        </w:r>
      </w:hyperlink>
      <w:r>
        <w:t xml:space="preserve">.</w:t>
      </w:r>
    </w:p>
    <w:bookmarkEnd w:id="91"/>
    <w:bookmarkStart w:id="93"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2">
        <w:r>
          <w:rPr>
            <w:rStyle w:val="Hyperlink"/>
          </w:rPr>
          <w:t xml:space="preserve">10.1016/j.aca.2024.342404</w:t>
        </w:r>
      </w:hyperlink>
      <w:r>
        <w:t xml:space="preserve">.</w:t>
      </w:r>
    </w:p>
    <w:bookmarkEnd w:id="93"/>
    <w:bookmarkStart w:id="95"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4">
        <w:r>
          <w:rPr>
            <w:rStyle w:val="Hyperlink"/>
          </w:rPr>
          <w:t xml:space="preserve">10.1016/j.aca.2025.344151</w:t>
        </w:r>
      </w:hyperlink>
      <w:r>
        <w:t xml:space="preserve">.</w:t>
      </w:r>
    </w:p>
    <w:bookmarkEnd w:id="95"/>
    <w:bookmarkStart w:id="97"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6">
        <w:r>
          <w:rPr>
            <w:rStyle w:val="Hyperlink"/>
          </w:rPr>
          <w:t xml:space="preserve">10.1016/j.aca.2026.346104</w:t>
        </w:r>
      </w:hyperlink>
      <w:r>
        <w:t xml:space="preserve">.</w:t>
      </w:r>
    </w:p>
    <w:bookmarkEnd w:id="97"/>
    <w:bookmarkStart w:id="99"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98">
        <w:r>
          <w:rPr>
            <w:rStyle w:val="Hyperlink"/>
          </w:rPr>
          <w:t xml:space="preserve">10.1002/(SICI)1099-128X(199705)11:3&lt;181::AID-CEM459&gt;3.0.CO;2-7</w:t>
        </w:r>
      </w:hyperlink>
      <w:r>
        <w:t xml:space="preserve">.</w:t>
      </w:r>
    </w:p>
    <w:bookmarkEnd w:id="99"/>
    <w:bookmarkStart w:id="101"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0">
        <w:r>
          <w:rPr>
            <w:rStyle w:val="Hyperlink"/>
          </w:rPr>
          <w:t xml:space="preserve">10.1351/pac200678030633</w:t>
        </w:r>
      </w:hyperlink>
      <w:r>
        <w:t xml:space="preserve">.</w:t>
      </w:r>
    </w:p>
    <w:bookmarkEnd w:id="101"/>
    <w:bookmarkStart w:id="103"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2">
        <w:r>
          <w:rPr>
            <w:rStyle w:val="Hyperlink"/>
          </w:rPr>
          <w:t xml:space="preserve">10.1016/j.aca.2015.11.028</w:t>
        </w:r>
      </w:hyperlink>
      <w:r>
        <w:t xml:space="preserve">.</w:t>
      </w:r>
    </w:p>
    <w:bookmarkEnd w:id="103"/>
    <w:bookmarkStart w:id="105"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4">
        <w:r>
          <w:rPr>
            <w:rStyle w:val="Hyperlink"/>
          </w:rPr>
          <w:t xml:space="preserve">10.1520/E1655-17</w:t>
        </w:r>
      </w:hyperlink>
      <w:r>
        <w:t xml:space="preserve">.</w:t>
      </w:r>
    </w:p>
    <w:bookmarkEnd w:id="105"/>
    <w:bookmarkStart w:id="107"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6">
        <w:r>
          <w:rPr>
            <w:rStyle w:val="Hyperlink"/>
          </w:rPr>
          <w:t xml:space="preserve">10.1007/b106715</w:t>
        </w:r>
      </w:hyperlink>
      <w:r>
        <w:t xml:space="preserve">.</w:t>
      </w:r>
    </w:p>
    <w:bookmarkEnd w:id="107"/>
    <w:bookmarkStart w:id="109"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8">
        <w:r>
          <w:rPr>
            <w:rStyle w:val="Hyperlink"/>
          </w:rPr>
          <w:t xml:space="preserve">10.1080/01621459.2017.1307116</w:t>
        </w:r>
      </w:hyperlink>
      <w:r>
        <w:t xml:space="preserve">.</w:t>
      </w:r>
    </w:p>
    <w:bookmarkEnd w:id="109"/>
    <w:bookmarkStart w:id="111"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0">
        <w:r>
          <w:rPr>
            <w:rStyle w:val="Hyperlink"/>
          </w:rPr>
          <w:t xml:space="preserve">10.1561/2200000101</w:t>
        </w:r>
      </w:hyperlink>
      <w:r>
        <w:t xml:space="preserve">.</w:t>
      </w:r>
    </w:p>
    <w:bookmarkEnd w:id="111"/>
    <w:bookmarkStart w:id="113"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2">
        <w:r>
          <w:rPr>
            <w:rStyle w:val="Hyperlink"/>
          </w:rPr>
          <w:t xml:space="preserve">10.3150/21-BEJ1447</w:t>
        </w:r>
      </w:hyperlink>
      <w:r>
        <w:t xml:space="preserve">.</w:t>
      </w:r>
    </w:p>
    <w:bookmarkEnd w:id="113"/>
    <w:bookmarkStart w:id="115"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4">
        <w:r>
          <w:rPr>
            <w:rStyle w:val="Hyperlink"/>
          </w:rPr>
          <w:t xml:space="preserve">10.1177/0003702819831017</w:t>
        </w:r>
      </w:hyperlink>
      <w:r>
        <w:t xml:space="preserve">.</w:t>
      </w:r>
    </w:p>
    <w:bookmarkEnd w:id="115"/>
    <w:bookmarkStart w:id="117"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6">
        <w:r>
          <w:rPr>
            <w:rStyle w:val="Hyperlink"/>
          </w:rPr>
          <w:t xml:space="preserve">10.1002/cem.3639</w:t>
        </w:r>
      </w:hyperlink>
      <w:r>
        <w:t xml:space="preserve">.</w:t>
      </w:r>
    </w:p>
    <w:bookmarkEnd w:id="117"/>
    <w:bookmarkStart w:id="119"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18">
        <w:r>
          <w:rPr>
            <w:rStyle w:val="Hyperlink"/>
          </w:rPr>
          <w:t xml:space="preserve">10.1016/j.chemolab.2024.105225</w:t>
        </w:r>
      </w:hyperlink>
      <w:r>
        <w:t xml:space="preserve">.</w:t>
      </w:r>
    </w:p>
    <w:bookmarkEnd w:id="119"/>
    <w:bookmarkStart w:id="121"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0">
        <w:r>
          <w:rPr>
            <w:rStyle w:val="Hyperlink"/>
          </w:rPr>
          <w:t xml:space="preserve">10.1002/cem.70017</w:t>
        </w:r>
      </w:hyperlink>
      <w:r>
        <w:t xml:space="preserve">.</w:t>
      </w:r>
    </w:p>
    <w:bookmarkEnd w:id="121"/>
    <w:bookmarkStart w:id="123"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2">
        <w:r>
          <w:rPr>
            <w:rStyle w:val="Hyperlink"/>
          </w:rPr>
          <w:t xml:space="preserve">10.1016/j.foodchem.2025.145387</w:t>
        </w:r>
      </w:hyperlink>
      <w:r>
        <w:t xml:space="preserve">.</w:t>
      </w:r>
    </w:p>
    <w:bookmarkEnd w:id="123"/>
    <w:bookmarkStart w:id="125"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4">
        <w:r>
          <w:rPr>
            <w:rStyle w:val="Hyperlink"/>
          </w:rPr>
          <w:t xml:space="preserve">https://arxiv.org/abs/2512.23444</w:t>
        </w:r>
      </w:hyperlink>
      <w:r>
        <w:t xml:space="preserve">.</w:t>
      </w:r>
    </w:p>
    <w:bookmarkEnd w:id="125"/>
    <w:bookmarkStart w:id="127"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6">
        <w:r>
          <w:rPr>
            <w:rStyle w:val="Hyperlink"/>
          </w:rPr>
          <w:t xml:space="preserve">10.1021/ci5001168</w:t>
        </w:r>
      </w:hyperlink>
      <w:r>
        <w:t xml:space="preserve">.</w:t>
      </w:r>
    </w:p>
    <w:bookmarkEnd w:id="127"/>
    <w:bookmarkStart w:id="128"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28"/>
    <w:bookmarkStart w:id="129" w:name="ref-prinster2022"/>
    <w:p>
      <w:pPr>
        <w:pStyle w:val="Bibliography"/>
      </w:pPr>
      <w:r>
        <w:t xml:space="preserve">[29]</w:t>
      </w:r>
      <w:r>
        <w:t xml:space="preserve"> </w:t>
      </w:r>
      <w:r>
        <w:t xml:space="preserve">	</w:t>
      </w:r>
      <w:r>
        <w:t xml:space="preserve">D. Prinster, A. Liu, S. Saria, JAWS: auditing predictive uncertainty under covariate shift, in: Advances in Neural Information Processing Systems 35 (NeurIPS 2022), 2022.</w:t>
      </w:r>
    </w:p>
    <w:bookmarkEnd w:id="129"/>
    <w:bookmarkStart w:id="131" w:name="ref-zhivkov2026"/>
    <w:p>
      <w:pPr>
        <w:pStyle w:val="Bibliography"/>
      </w:pPr>
      <w:r>
        <w:t xml:space="preserve">[30]</w:t>
      </w:r>
      <w:r>
        <w:t xml:space="preserve"> </w:t>
      </w:r>
      <w:r>
        <w:t xml:space="preserve">	</w:t>
      </w:r>
      <w:r>
        <w:t xml:space="preserve">P. Zhivkov, S. Fidanova, Machine learning calibration transfer for low-cost air quality sensors: distance-based uncertainty quantification in a hybrid urban monitoring network, Atmosphere 17 (2026) 335. https://doi.org/</w:t>
      </w:r>
      <w:hyperlink r:id="rId130">
        <w:r>
          <w:rPr>
            <w:rStyle w:val="Hyperlink"/>
          </w:rPr>
          <w:t xml:space="preserve">10.3390/atmos17040335</w:t>
        </w:r>
      </w:hyperlink>
      <w:r>
        <w:t xml:space="preserve">.</w:t>
      </w:r>
    </w:p>
    <w:bookmarkEnd w:id="131"/>
    <w:bookmarkStart w:id="133" w:name="ref-doula2026"/>
    <w:p>
      <w:pPr>
        <w:pStyle w:val="Bibliography"/>
      </w:pPr>
      <w:r>
        <w:t xml:space="preserve">[31]</w:t>
      </w:r>
      <w:r>
        <w:t xml:space="preserve"> </w:t>
      </w:r>
      <w:r>
        <w:t xml:space="preserve">	</w:t>
      </w:r>
      <w:r>
        <w:t xml:space="preserve">A. Doula, Conformal calibration transfer, arXiv Preprint arXiv:2609.10737 (Accepted at ICML 2026) (2026).</w:t>
      </w:r>
      <w:r>
        <w:t xml:space="preserve"> </w:t>
      </w:r>
      <w:hyperlink r:id="rId132">
        <w:r>
          <w:rPr>
            <w:rStyle w:val="Hyperlink"/>
          </w:rPr>
          <w:t xml:space="preserve">https://arxiv.org/abs/2609.10737</w:t>
        </w:r>
      </w:hyperlink>
      <w:r>
        <w:t xml:space="preserve">.</w:t>
      </w:r>
    </w:p>
    <w:bookmarkEnd w:id="133"/>
    <w:bookmarkStart w:id="135" w:name="ref-barber2021"/>
    <w:p>
      <w:pPr>
        <w:pStyle w:val="Bibliography"/>
      </w:pPr>
      <w:r>
        <w:t xml:space="preserve">[32]</w:t>
      </w:r>
      <w:r>
        <w:t xml:space="preserve"> </w:t>
      </w:r>
      <w:r>
        <w:t xml:space="preserve">	</w:t>
      </w:r>
      <w:r>
        <w:t xml:space="preserve">R.F. Barber, E.J. Candès, A. Ramdas, R.J. Tibshirani, Predictive inference with the jackknife+, The Annals of Statistics 49 (2021) 486–507. https://doi.org/</w:t>
      </w:r>
      <w:hyperlink r:id="rId134">
        <w:r>
          <w:rPr>
            <w:rStyle w:val="Hyperlink"/>
          </w:rPr>
          <w:t xml:space="preserve">10.1214/20-aos1965</w:t>
        </w:r>
      </w:hyperlink>
      <w:r>
        <w:t xml:space="preserve">.</w:t>
      </w:r>
    </w:p>
    <w:bookmarkEnd w:id="135"/>
    <w:bookmarkStart w:id="137" w:name="ref-papadopoulos2011"/>
    <w:p>
      <w:pPr>
        <w:pStyle w:val="Bibliography"/>
      </w:pPr>
      <w:r>
        <w:t xml:space="preserve">[33]</w:t>
      </w:r>
      <w:r>
        <w:t xml:space="preserve"> </w:t>
      </w:r>
      <w:r>
        <w:t xml:space="preserve">	</w:t>
      </w:r>
      <w:r>
        <w:t xml:space="preserve">H. Papadopoulos, V. Vovk, A. Gammerman, Regression Conformal Prediction with Nearest Neighbours, Journal of Artificial Intelligence Research 40 (2011) 815–840. https://doi.org/</w:t>
      </w:r>
      <w:hyperlink r:id="rId136">
        <w:r>
          <w:rPr>
            <w:rStyle w:val="Hyperlink"/>
          </w:rPr>
          <w:t xml:space="preserve">10.1613/jair.3198</w:t>
        </w:r>
      </w:hyperlink>
      <w:r>
        <w:t xml:space="preserve">.</w:t>
      </w:r>
    </w:p>
    <w:bookmarkEnd w:id="137"/>
    <w:bookmarkStart w:id="139" w:name="ref-kennard1969"/>
    <w:p>
      <w:pPr>
        <w:pStyle w:val="Bibliography"/>
      </w:pPr>
      <w:r>
        <w:t xml:space="preserve">[34]</w:t>
      </w:r>
      <w:r>
        <w:t xml:space="preserve"> </w:t>
      </w:r>
      <w:r>
        <w:t xml:space="preserve">	</w:t>
      </w:r>
      <w:r>
        <w:t xml:space="preserve">R.W. Kennard, L.A. Stone, Computer Aided Design of Experiments, Technometrics 11 (1969) 137–148. https://doi.org/</w:t>
      </w:r>
      <w:hyperlink r:id="rId138">
        <w:r>
          <w:rPr>
            <w:rStyle w:val="Hyperlink"/>
          </w:rPr>
          <w:t xml:space="preserve">10.1080/00401706.1969.10490666</w:t>
        </w:r>
      </w:hyperlink>
      <w:r>
        <w:t xml:space="preserve">.</w:t>
      </w:r>
    </w:p>
    <w:bookmarkEnd w:id="139"/>
    <w:bookmarkStart w:id="140" w:name="ref-gal2016"/>
    <w:p>
      <w:pPr>
        <w:pStyle w:val="Bibliography"/>
      </w:pPr>
      <w:r>
        <w:t xml:space="preserve">[35]</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40"/>
    <w:bookmarkStart w:id="142" w:name="ref-eigenvector_data"/>
    <w:p>
      <w:pPr>
        <w:pStyle w:val="Bibliography"/>
      </w:pPr>
      <w:r>
        <w:t xml:space="preserve">[36]</w:t>
      </w:r>
      <w:r>
        <w:t xml:space="preserve"> </w:t>
      </w:r>
      <w:r>
        <w:t xml:space="preserve">	</w:t>
      </w:r>
      <w:r>
        <w:t xml:space="preserve">Eigenvector Research, Inc., Data sets: Corn and NIR Shootout 2002 (IDRC), (n.d.).</w:t>
      </w:r>
      <w:r>
        <w:t xml:space="preserve"> </w:t>
      </w:r>
      <w:hyperlink r:id="rId141">
        <w:r>
          <w:rPr>
            <w:rStyle w:val="Hyperlink"/>
          </w:rPr>
          <w:t xml:space="preserve">https://eigenvector.com/resources/data-sets/</w:t>
        </w:r>
      </w:hyperlink>
      <w:r>
        <w:t xml:space="preserve"> </w:t>
      </w:r>
      <w:r>
        <w:t xml:space="preserve">(accessed October 13, 2026).</w:t>
      </w:r>
    </w:p>
    <w:bookmarkEnd w:id="142"/>
    <w:bookmarkStart w:id="144" w:name="ref-mango_data"/>
    <w:p>
      <w:pPr>
        <w:pStyle w:val="Bibliography"/>
      </w:pPr>
      <w:r>
        <w:t xml:space="preserve">[37]</w:t>
      </w:r>
      <w:r>
        <w:t xml:space="preserve"> </w:t>
      </w:r>
      <w:r>
        <w:t xml:space="preserve">	</w:t>
      </w:r>
      <w:r>
        <w:t xml:space="preserve">N. Anderson, Mango DMC and spectra Anderson et al. 2020 (Version 1), (2020). https://doi.org/</w:t>
      </w:r>
      <w:hyperlink r:id="rId143">
        <w:r>
          <w:rPr>
            <w:rStyle w:val="Hyperlink"/>
          </w:rPr>
          <w:t xml:space="preserve">10.17632/46htwnp833.1</w:t>
        </w:r>
      </w:hyperlink>
      <w:r>
        <w:t xml:space="preserve">.</w:t>
      </w:r>
    </w:p>
    <w:bookmarkEnd w:id="144"/>
    <w:bookmarkStart w:id="146" w:name="ref-barnes1989"/>
    <w:p>
      <w:pPr>
        <w:pStyle w:val="Bibliography"/>
      </w:pPr>
      <w:r>
        <w:t xml:space="preserve">[38]</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5">
        <w:r>
          <w:rPr>
            <w:rStyle w:val="Hyperlink"/>
          </w:rPr>
          <w:t xml:space="preserve">10.1366/0003702894202201</w:t>
        </w:r>
      </w:hyperlink>
      <w:r>
        <w:t xml:space="preserve">.</w:t>
      </w:r>
    </w:p>
    <w:bookmarkEnd w:id="146"/>
    <w:bookmarkStart w:id="148" w:name="ref-savitzky1964"/>
    <w:p>
      <w:pPr>
        <w:pStyle w:val="Bibliography"/>
      </w:pPr>
      <w:r>
        <w:t xml:space="preserve">[39]</w:t>
      </w:r>
      <w:r>
        <w:t xml:space="preserve"> </w:t>
      </w:r>
      <w:r>
        <w:t xml:space="preserve">	</w:t>
      </w:r>
      <w:r>
        <w:t xml:space="preserve">Abraham. Savitzky, M.J.E. Golay, Smoothing and Differentiation of Data by Simplified Least Squares Procedures., Analytical Chemistry 36 (1964) 1627–1639. https://doi.org/</w:t>
      </w:r>
      <w:hyperlink r:id="rId147">
        <w:r>
          <w:rPr>
            <w:rStyle w:val="Hyperlink"/>
          </w:rPr>
          <w:t xml:space="preserve">10.1021/ac60214a047</w:t>
        </w:r>
      </w:hyperlink>
      <w:r>
        <w:t xml:space="preserve">.</w:t>
      </w:r>
    </w:p>
    <w:bookmarkEnd w:id="148"/>
    <w:bookmarkStart w:id="150" w:name="ref-wold2001"/>
    <w:p>
      <w:pPr>
        <w:pStyle w:val="Bibliography"/>
      </w:pPr>
      <w:r>
        <w:t xml:space="preserve">[40]</w:t>
      </w:r>
      <w:r>
        <w:t xml:space="preserve"> </w:t>
      </w:r>
      <w:r>
        <w:t xml:space="preserve">	</w:t>
      </w:r>
      <w:r>
        <w:t xml:space="preserve">S. Wold, M. Sjöström, L. Eriksson, PLS-regression: a basic tool of chemometrics, Chemometrics and Intelligent Laboratory Systems 58 (2001) 109–130. https://doi.org/</w:t>
      </w:r>
      <w:hyperlink r:id="rId149">
        <w:r>
          <w:rPr>
            <w:rStyle w:val="Hyperlink"/>
          </w:rPr>
          <w:t xml:space="preserve">10.1016/S0169-7439(01)00155-1</w:t>
        </w:r>
      </w:hyperlink>
      <w:r>
        <w:t xml:space="preserve">.</w:t>
      </w:r>
    </w:p>
    <w:bookmarkEnd w:id="150"/>
    <w:bookmarkStart w:id="152" w:name="ref-gneiting2007"/>
    <w:p>
      <w:pPr>
        <w:pStyle w:val="Bibliography"/>
      </w:pPr>
      <w:r>
        <w:t xml:space="preserve">[41]</w:t>
      </w:r>
      <w:r>
        <w:t xml:space="preserve"> </w:t>
      </w:r>
      <w:r>
        <w:t xml:space="preserve">	</w:t>
      </w:r>
      <w:r>
        <w:t xml:space="preserve">T. Gneiting, A.E. Raftery, Strictly Proper Scoring Rules, Prediction, and Estimation, Journal of the American Statistical Association 102 (2007) 359–378. https://doi.org/</w:t>
      </w:r>
      <w:hyperlink r:id="rId151">
        <w:r>
          <w:rPr>
            <w:rStyle w:val="Hyperlink"/>
          </w:rPr>
          <w:t xml:space="preserve">10.1198/016214506000001437</w:t>
        </w:r>
      </w:hyperlink>
      <w:r>
        <w:t xml:space="preserve">.</w:t>
      </w:r>
    </w:p>
    <w:bookmarkEnd w:id="152"/>
    <w:bookmarkStart w:id="154" w:name="ref-holm1979"/>
    <w:p>
      <w:pPr>
        <w:pStyle w:val="Bibliography"/>
      </w:pPr>
      <w:r>
        <w:t xml:space="preserve">[42]</w:t>
      </w:r>
      <w:r>
        <w:t xml:space="preserve"> </w:t>
      </w:r>
      <w:r>
        <w:t xml:space="preserve">	</w:t>
      </w:r>
      <w:r>
        <w:t xml:space="preserve">S. Holm, A simple sequentially rejective multiple test procedure, Scandinavian Journal of Statistics 6 (1979) 65–70. https://doi.org/</w:t>
      </w:r>
      <w:hyperlink r:id="rId153">
        <w:r>
          <w:rPr>
            <w:rStyle w:val="Hyperlink"/>
          </w:rPr>
          <w:t xml:space="preserve">10.2307/4615733</w:t>
        </w:r>
      </w:hyperlink>
      <w:r>
        <w:t xml:space="preserve">.</w:t>
      </w:r>
    </w:p>
    <w:bookmarkEnd w:id="154"/>
    <w:bookmarkStart w:id="155" w:name="ref-demsar2006"/>
    <w:p>
      <w:pPr>
        <w:pStyle w:val="Bibliography"/>
      </w:pPr>
      <w:r>
        <w:t xml:space="preserve">[43]</w:t>
      </w:r>
      <w:r>
        <w:t xml:space="preserve"> </w:t>
      </w:r>
      <w:r>
        <w:t xml:space="preserve">	</w:t>
      </w:r>
      <w:r>
        <w:t xml:space="preserve">J. Demšar, Statistical comparisons of classifiers over multiple data sets, Journal of Machine Learning Research 7 (2006) 1–30.</w:t>
      </w:r>
    </w:p>
    <w:bookmarkEnd w:id="155"/>
    <w:bookmarkStart w:id="157" w:name="ref-maxime2025"/>
    <w:p>
      <w:pPr>
        <w:pStyle w:val="Bibliography"/>
      </w:pPr>
      <w:r>
        <w:t xml:space="preserve">[44]</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6">
        <w:r>
          <w:rPr>
            <w:rStyle w:val="Hyperlink"/>
          </w:rPr>
          <w:t xml:space="preserve">10.1016/j.chemolab.2025.105532</w:t>
        </w:r>
      </w:hyperlink>
      <w:r>
        <w:t xml:space="preserve">.</w:t>
      </w:r>
    </w:p>
    <w:bookmarkEnd w:id="157"/>
    <w:bookmarkStart w:id="159" w:name="ref-mango_data_v6"/>
    <w:p>
      <w:pPr>
        <w:pStyle w:val="Bibliography"/>
      </w:pPr>
      <w:r>
        <w:t xml:space="preserve">[45]</w:t>
      </w:r>
      <w:r>
        <w:t xml:space="preserve"> </w:t>
      </w:r>
      <w:r>
        <w:t xml:space="preserve">	</w:t>
      </w:r>
      <w:r>
        <w:t xml:space="preserve">N. Anderson, K. Walsh, P. Subedi, J. Walsh, Mango DMC and NIR spectra (Version 6), (2026). https://doi.org/</w:t>
      </w:r>
      <w:hyperlink r:id="rId158">
        <w:r>
          <w:rPr>
            <w:rStyle w:val="Hyperlink"/>
          </w:rPr>
          <w:t xml:space="preserve">10.17632/46htwnp833.6</w:t>
        </w:r>
      </w:hyperlink>
      <w:r>
        <w:t xml:space="preserve">.</w:t>
      </w:r>
    </w:p>
    <w:bookmarkEnd w:id="159"/>
    <w:bookmarkEnd w:id="160"/>
    <w:bookmarkEnd w:id="161"/>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NIR calibrations: reusing the transfer standards with a leave-one-standard-out jackknife+</dc:title>
  <dc:creator/>
  <cp:keywords/>
  <dcterms:created xsi:type="dcterms:W3CDTF">2026-10-14T00:27:55Z</dcterms:created>
  <dcterms:modified xsi:type="dcterms:W3CDTF">2026-10-14T00:27:55Z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