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</w:t>
      </w:r>
      <w:r>
        <w:t xml:space="preserve"> </w:t>
      </w:r>
      <w:r>
        <w:t xml:space="preserve">Material</w:t>
      </w:r>
    </w:p>
    <w:p>
      <w:pPr>
        <w:pStyle w:val="Subtitle"/>
      </w:pPr>
      <w:r>
        <w:t xml:space="preserve">Trustworthy</w:t>
      </w:r>
      <w:r>
        <w:t xml:space="preserve"> </w:t>
      </w:r>
      <w:r>
        <w:t xml:space="preserve">prediction</w:t>
      </w:r>
      <w:r>
        <w:t xml:space="preserve"> </w:t>
      </w:r>
      <w:r>
        <w:t xml:space="preserve">intervals</w:t>
      </w:r>
      <w:r>
        <w:t xml:space="preserve"> </w:t>
      </w:r>
      <w:r>
        <w:t xml:space="preserve">after</w:t>
      </w:r>
      <w:r>
        <w:t xml:space="preserve"> </w:t>
      </w:r>
      <w:r>
        <w:t xml:space="preserve">moving</w:t>
      </w:r>
      <w:r>
        <w:t xml:space="preserve"> </w:t>
      </w:r>
      <w:r>
        <w:t xml:space="preserve">an</w:t>
      </w:r>
      <w:r>
        <w:t xml:space="preserve"> </w:t>
      </w:r>
      <w:r>
        <w:t xml:space="preserve">NIR</w:t>
      </w:r>
      <w:r>
        <w:t xml:space="preserve"> </w:t>
      </w:r>
      <w:r>
        <w:t xml:space="preserve">calibration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instrument</w:t>
      </w:r>
      <w:r>
        <w:t xml:space="preserve"> </w:t>
      </w:r>
      <w:r>
        <w:t xml:space="preserve">or</w:t>
      </w:r>
      <w:r>
        <w:t xml:space="preserve"> </w:t>
      </w:r>
      <w:r>
        <w:t xml:space="preserve">season</w:t>
      </w:r>
    </w:p>
    <w:p>
      <w:pPr>
        <w:pStyle w:val="FirstParagraph"/>
      </w:pPr>
      <w:r>
        <w:t xml:space="preserve">Every table and figure in this document was generated automatically from the result files of the study. Method names: TJ+N, transfer jackknife+ with T²/Q scaling; TJ+, without scaling; TJ+B, leave-one-batch-out version; Split, half of the standards for transfer and half for calibration (SCP-T-split); Gauss-LOO, t-interval from leave-one-out errors.</w:t>
      </w:r>
    </w:p>
    <w:bookmarkStart w:id="20" w:name="Xab63fc910a82184afbd6b7742ea83f71b1ed1dd"/>
    <w:p>
      <w:pPr>
        <w:pStyle w:val="Heading1"/>
      </w:pPr>
      <w:r>
        <w:t xml:space="preserve">Table S1. Prediction error after transfer</w:t>
      </w:r>
    </w:p>
    <w:p>
      <w:pPr>
        <w:pStyle w:val="TableCaption"/>
        <w:keepNext/>
      </w:pPr>
      <w:r>
        <w:rPr>
          <w:bCs/>
          <w:b/>
        </w:rPr>
        <w:t xml:space="preserve">Table S1.</w:t>
      </w:r>
      <w:r>
        <w:t xml:space="preserve"> </w:t>
      </w:r>
      <w:r>
        <w:t xml:space="preserve">Mean RMSEP of the transferred predictor for each pipeline and number of standards m (corn averaged over mp5 and mp6). NONE: original calibration applied without transfer.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. Mean RMSEP of the transferred predictor for each pipeline and number of standards m (corn averaged over mp5 and mp6). NONE: original calibration applied without transfer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 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Response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DS (m=10)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DS (m=20)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NONE (m=10)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NONE (m=20)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PDS (m=10)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PDS (m=20)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 (m=10)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 (m=20)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moisture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oil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protein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starch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0.377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dry matter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assay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9.216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7.351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7.347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6.434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7.797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7.298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hardness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0.998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weight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4.138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4.165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4.456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4.456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4.194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4.201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4.212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3.926</w:t>
            </w:r>
          </w:p>
        </w:tc>
      </w:tr>
    </w:tbl>
    <w:bookmarkEnd w:id="20"/>
    <w:bookmarkStart w:id="21" w:name="table-s2.-three-confidence-levels"/>
    <w:p>
      <w:pPr>
        <w:pStyle w:val="Heading1"/>
      </w:pPr>
      <w:r>
        <w:t xml:space="preserve">Table S2. Three confidence levels</w:t>
      </w:r>
    </w:p>
    <w:p>
      <w:pPr>
        <w:pStyle w:val="TableCaption"/>
        <w:keepNext/>
      </w:pPr>
      <w:r>
        <w:rPr>
          <w:bCs/>
          <w:b/>
        </w:rPr>
        <w:t xml:space="preserve">Table S2.</w:t>
      </w:r>
      <w:r>
        <w:t xml:space="preserve"> </w:t>
      </w:r>
      <w:r>
        <w:t xml:space="preserve">Number of scenarios flagged as too narrow / scenarios, with the mean percentage of repetitions that returned unbounded intervals in parentheses (main pipelines, random standards).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2. Number of scenarios flagged as too narrow / scenarios, with the mean percentage of repetitions that returned unbounded intervals in parentheses (main pipelines, random standards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 = 0.05 (nominal 0.95)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 = 0.1 (nominal 0.90)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 = 0.2 (nominal 0.80)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(50%)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(0%)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(50%)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(0%)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(90%)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(50%)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(0%)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2/40 (0%)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29/40 (0%)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33/40 (0%)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34/40 (0%)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29/40 (69%)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33/40 (49%)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33/40 (30%)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LF-conv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25/36 (0%)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20/36 (0%)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13/36 (0%)</w:t>
            </w:r>
          </w:p>
        </w:tc>
      </w:tr>
    </w:tbl>
    <w:bookmarkEnd w:id="21"/>
    <w:bookmarkStart w:id="22" w:name="table-s3.-components-of-tjn"/>
    <w:p>
      <w:pPr>
        <w:pStyle w:val="Heading1"/>
      </w:pPr>
      <w:r>
        <w:t xml:space="preserve">Table S3. Components of TJ+N</w:t>
      </w:r>
    </w:p>
    <w:p>
      <w:pPr>
        <w:pStyle w:val="TableCaption"/>
        <w:keepNext/>
      </w:pPr>
      <w:r>
        <w:rPr>
          <w:bCs/>
          <w:b/>
        </w:rPr>
        <w:t xml:space="preserve">Table S3.</w:t>
      </w:r>
      <w:r>
        <w:t xml:space="preserve"> </w:t>
      </w:r>
      <w:r>
        <w:t xml:space="preserve">Ablation of TJ+N (α = 0.10, main pipelines). TCV+N: five-fold CV+; TJ-naive-N: full-fit centre with leave-one-out quantile; TJ-insample-N: residuals of the transfer fitted on all standards; TJ+N[T2], TJ+N[Q]: scaling with one diagnostic. Rel. IS: median interval score relative to TJ+N. Last column: coverage in the lowest/highest third of σ(x).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3. Ablation of TJ+N (α = 0.10, main pipelines). TCV+N: five-fold CV+; TJ-naive-N: full-fit centre with leave-one-out quantile; TJ-insample-N: residuals of the transfer fitted on all standards; TJ+N[T2], TJ+N[Q]: scaling with one diagnostic. Rel. IS: median interval score relative to TJ+N. Last column: coverage in the lowest/highest third of σ(x).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Variant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Corn cov.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Corn 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Corn rel. IS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Tablets cov.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Tablets 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Tablets rel. IS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Mango cov.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Mango 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Mango rel. IS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Cov. low/high σ tertile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/ 0.933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 / 0.878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TCV+N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 / 0.941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TJ-naive-N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 / 0.924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TJ-insample-N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 / 0.909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TJ+N[T2]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 / 0.916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TJ+N[Q]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1.020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1.011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1.006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0.914 / 0.924</w:t>
            </w:r>
          </w:p>
        </w:tc>
      </w:tr>
    </w:tbl>
    <w:bookmarkEnd w:id="22"/>
    <w:bookmarkStart w:id="23" w:name="Xd2add5de085e0ebf32e76307a89df5ddf6cbbb4"/>
    <w:p>
      <w:pPr>
        <w:pStyle w:val="Heading1"/>
      </w:pPr>
      <w:r>
        <w:t xml:space="preserve">Table S4. Pipelines, directions and model types</w:t>
      </w:r>
    </w:p>
    <w:p>
      <w:pPr>
        <w:pStyle w:val="TableCaption"/>
        <w:keepNext/>
      </w:pPr>
      <w:r>
        <w:rPr>
          <w:bCs/>
          <w:b/>
        </w:rPr>
        <w:t xml:space="preserve">Table S4.</w:t>
      </w:r>
      <w:r>
        <w:t xml:space="preserve"> </w:t>
      </w:r>
      <w:r>
        <w:t xml:space="preserve">Reverse direction, ridge regression and a 1D-CNN (α = 0.10). Each cell: mean coverage (scenarios too narrow / scenarios); median interval score.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4. Reverse direction, ridge regression and a 1D-CNN (α = 0.10). Each cell: mean coverage (scenarios too narrow / scenarios); median interval score.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Setting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MC-dropout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 mp5→m5, PLS, 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 (0/12); 1.11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 (0/12); 1.21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(0/12); 1.17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 (0/12); 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0.657 (12/12); 1.34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0.757 (12/12); 1.25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0.800 (12/12); 1.53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 m5→mp5, ridge, 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 (0/4); 1.21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0.953 (0/4); 1.17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 (0/4); 1.06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 (0/4); 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0.057 (4/4); 3.6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0.416 (4/4); 1.98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0.518 (4/4); 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 assay, ridge, 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 (0/1); 21.8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(0/1); 21.9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 (0/1); 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 (0/1); 26.4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(0/1); 20.7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0.874 (1/1); 20.9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0.888 (1/1); 21.8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Mango, ridge, 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 (0/1); 4.5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 (0/1); 4.57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 (0/1); 4.52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(0/1); 4.97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0.729 (1/1); 5.1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0.716 (1/1); 5.2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0.742 (1/1); 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–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Mango, 1D-CNN, 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0.910 (0/4); 5.24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0.909 (0/4); 5.51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0.894 (2/4); 5.42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0.945 (0/4); 5.59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0.714 (4/4); 6.48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0.693 (4/4); 6.71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0.780 (4/4); inf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0.807 (4/4); 5.66</w:t>
            </w:r>
          </w:p>
        </w:tc>
      </w:tr>
    </w:tbl>
    <w:bookmarkEnd w:id="23"/>
    <w:bookmarkStart w:id="24" w:name="table-s5.-robustness"/>
    <w:p>
      <w:pPr>
        <w:pStyle w:val="Heading1"/>
      </w:pPr>
      <w:r>
        <w:t xml:space="preserve">Table S5. Robustness</w:t>
      </w:r>
    </w:p>
    <w:p>
      <w:pPr>
        <w:pStyle w:val="TableCaption"/>
        <w:keepNext/>
      </w:pPr>
      <w:r>
        <w:rPr>
          <w:bCs/>
          <w:b/>
        </w:rPr>
        <w:t xml:space="preserve">Table S5.</w:t>
      </w:r>
      <w:r>
        <w:t xml:space="preserve"> </w:t>
      </w:r>
      <w:r>
        <w:t xml:space="preserve">Robustness (α = 0.10; corn m = 15, tablets assay and mango m = 20; 200 repetitions): mean and minimum coverage over scenarios, median interval score and scenarios flagged as too narrow.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5. Robustness (α = 0.10; corn m = 15, tablets assay and mango m = 20; 200 repetitions): mean and minimum coverage over scenarios, median interval score and scenarios flagged as too narrow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variant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IS_median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n_scen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2.841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3.558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3.006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18.75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13.629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9.399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5.656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30.404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19.718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14.643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20.582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10.341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5.795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4.479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13.075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7.863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13.545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8.261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7.627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6.271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6.478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5.722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50.584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42.187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52.878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13.758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41.036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13.493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30.41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25.282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34.439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15.736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24.705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22.635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19.729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half_source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21.402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21.252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25.461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23.808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20.831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ks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28.094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23.533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21.695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27.687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noise_1000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23.478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21.568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noise_300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23.397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304.33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300.236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314.736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226.108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286.928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259.707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350.126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347.84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360.886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245.495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341.348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299.11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shift_1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0.015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444.978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</w:tbl>
    <w:bookmarkEnd w:id="24"/>
    <w:bookmarkStart w:id="25" w:name="Xca58aad64698a67bfb43758a2fccba629e12402"/>
    <w:p>
      <w:pPr>
        <w:pStyle w:val="Heading1"/>
      </w:pPr>
      <w:r>
        <w:t xml:space="preserve">Table S6. Transfer between handheld fruit spectrometers</w:t>
      </w:r>
    </w:p>
    <w:p>
      <w:pPr>
        <w:pStyle w:val="TableCaption"/>
        <w:keepNext/>
      </w:pPr>
      <w:r>
        <w:rPr>
          <w:bCs/>
          <w:b/>
        </w:rPr>
        <w:t xml:space="preserve">Table S6.</w:t>
      </w:r>
      <w:r>
        <w:t xml:space="preserve"> </w:t>
      </w:r>
      <w:r>
        <w:t xml:space="preserve">Mango instrument transfer, source unit 15006 to three target units, four values of m (12 scenarios per pipeline; α = 0.10; 200 repetitions; standards drawn at random).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6. Mango instrument transfer, source unit 15006 to three target units, four values of m (12 scenarios per pipeline; α = 0.10; 200 repetitions; standards drawn at random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Pipeline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 (range)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Unbounded (% reps)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 width (% DM)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RMSEP (% DM)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 (0.91–0.97)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0.929 (0.90–0.97)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 (0.91–1.00)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 (0.90–0.93)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0.355 (0.22–0.51)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0.342 (0.20–0.50)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0.292 (0.15–0.47)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0.978 (0.95–0.99)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LF-conv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0.887 (0.86–0.91)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(0.90–0.92)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 (0.90–0.92)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 (0.90–1.00)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 (0.89–0.91)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 (0.74–0.81)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0.762 (0.73–0.80)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1.000 (1.00–1.00)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100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4.54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1.14</w:t>
            </w:r>
          </w:p>
        </w:tc>
      </w:tr>
    </w:tbl>
    <w:bookmarkEnd w:id="25"/>
    <w:bookmarkStart w:id="26" w:name="X6f9c0c77610519df5967885c96adf209f00601e"/>
    <w:p>
      <w:pPr>
        <w:pStyle w:val="Heading1"/>
      </w:pPr>
      <w:r>
        <w:t xml:space="preserve">Table S7. Gaussian intervals with difficulty scaling</w:t>
      </w:r>
    </w:p>
    <w:p>
      <w:pPr>
        <w:pStyle w:val="TableCaption"/>
        <w:keepNext/>
      </w:pPr>
      <w:r>
        <w:rPr>
          <w:bCs/>
          <w:b/>
        </w:rPr>
        <w:t xml:space="preserve">Table S7.</w:t>
      </w:r>
      <w:r>
        <w:t xml:space="preserve"> </w:t>
      </w:r>
      <w:r>
        <w:t xml:space="preserve">TJ+N compared with Gaussian leave-one-out intervals without (Gauss-LOO) and with (Gauss-LOO-N) σ(x) scaling (200 repetitions).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7. TJ+N compared with Gaussian leave-one-out intervals without (Gauss-LOO) and with (Gauss-LOO-N) σ(x) scaling (200 repetitions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Data/pipeline 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 = 0.05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 = 0.10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 = 0.20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0.986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0.835 (0/24)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 (6/24)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0.818 (0/24)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0.811 (0/24)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 (0/4)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(0/4)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0.803 (0/4)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 (0/4)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(0/4)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0.792 (1/4)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 (0/4)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 (0/4)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0.790 (2/4)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0.827 (0/24)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 (4/24)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0.820 (0/24)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 (6/24)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 (0/24)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0.810 (3/24)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 (0/12)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 (0/12)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0.820 (0/12)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 (6/12)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 (0/12)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0.825 (1/12)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0.948 (2/12)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0.907 (1/12)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0.819 (0/12)</w:t>
            </w:r>
          </w:p>
        </w:tc>
      </w:tr>
    </w:tbl>
    <w:bookmarkEnd w:id="26"/>
    <w:bookmarkStart w:id="27" w:name="table-s8.-quarter-channel-drift"/>
    <w:p>
      <w:pPr>
        <w:pStyle w:val="Heading1"/>
      </w:pPr>
      <w:r>
        <w:t xml:space="preserve">Table S8. Quarter-channel drift</w:t>
      </w:r>
    </w:p>
    <w:p>
      <w:pPr>
        <w:pStyle w:val="TableCaption"/>
        <w:keepNext/>
      </w:pPr>
      <w:r>
        <w:rPr>
          <w:bCs/>
          <w:b/>
        </w:rPr>
        <w:t xml:space="preserve">Table S8.</w:t>
      </w:r>
      <w:r>
        <w:t xml:space="preserve"> </w:t>
      </w:r>
      <w:r>
        <w:t xml:space="preserve">Coverage under a ±0.25-channel wavelength shift of the routine spectra after standardisation (α = 0.10; 200 repetitions).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Caption w:val="Table S8. Coverage under a ±0.25-channel wavelength shift of the routine spectra after standardisation (α = 0.10; 200 repetitions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shift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too_narrow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shift_-0.25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shift_0.25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0.671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0.671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</w:tbl>
    <w:bookmarkEnd w:id="27"/>
    <w:bookmarkStart w:id="28" w:name="table-s9.-transfer-and-model-settings"/>
    <w:p>
      <w:pPr>
        <w:pStyle w:val="Heading1"/>
      </w:pPr>
      <w:r>
        <w:t xml:space="preserve">Table S9. Transfer and model settings</w:t>
      </w:r>
    </w:p>
    <w:p>
      <w:pPr>
        <w:pStyle w:val="TableCaption"/>
        <w:keepNext/>
      </w:pPr>
      <w:r>
        <w:rPr>
          <w:bCs/>
          <w:b/>
        </w:rPr>
        <w:t xml:space="preserve">Table S9.</w:t>
      </w:r>
      <w:r>
        <w:t xml:space="preserve"> </w:t>
      </w:r>
      <w:r>
        <w:t xml:space="preserve">Sensitivity to the PDS window (hw1 = 3 channels, hw3 = 7, hw5 = 11; main analysis 5) and to the number of PLS components (±2).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9. Sensitivity to the PDS window (hw1 = 3 channels, hw3 = 7, hw5 = 11; main analysis 5) and to the number of PLS components (±2).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setting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coverage_min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IS_median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rmsep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n_under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n_scen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2.655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1.566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3.314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4.002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1.735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3.136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5.117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20.805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21.754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20.589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23.102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20.449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22.007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4.767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22.434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24.192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33.539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23.243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24.208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25.273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27.218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26.267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37.461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27.284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26.505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hw5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29.995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22.363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24.135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23.175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26.722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24.74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21.987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lv+2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inf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29.591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31.299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29.915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37.834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32.295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28.684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lv-2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WCP-S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30.799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6.999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</w:t>
            </w:r>
          </w:p>
        </w:tc>
      </w:tr>
    </w:tbl>
    <w:bookmarkEnd w:id="28"/>
    <w:bookmarkStart w:id="29" w:name="table-s10.-computing-time"/>
    <w:p>
      <w:pPr>
        <w:pStyle w:val="Heading1"/>
      </w:pPr>
      <w:r>
        <w:t xml:space="preserve">Table S10. Computing time</w:t>
      </w:r>
    </w:p>
    <w:p>
      <w:pPr>
        <w:pStyle w:val="TableCaption"/>
        <w:keepNext/>
      </w:pPr>
      <w:r>
        <w:rPr>
          <w:bCs/>
          <w:b/>
        </w:rPr>
        <w:t xml:space="preserve">Table S10.</w:t>
      </w:r>
      <w:r>
        <w:t xml:space="preserve"> </w:t>
      </w:r>
      <w:r>
        <w:t xml:space="preserve">Wall-clock time and peak memory (one CPU core, median of 20 runs).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0. Wall-clock time and peak memory (one CPU core, median of 20 runs)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kind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n_test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n_channels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step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median_s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p90_s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peak_mem_MB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source_model_fit_s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point prediction only (1 transfer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 (1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incl. m LOO + 5 CV fits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0.1469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1.2104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0.1027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point prediction only (1 transfer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14.3825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 (1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0.0265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14.3831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 incl. m LOO + 5 CV fits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2.7857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2.9018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15.2063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point prediction only (1 transfer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1.4279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 (1 fit)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1.4279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50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675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103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 incl. m LOO + 5 CV fits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0.0635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0.0742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3.1352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1.4279</w:t>
            </w:r>
          </w:p>
        </w:tc>
      </w:tr>
    </w:tbl>
    <w:bookmarkEnd w:id="29"/>
    <w:bookmarkStart w:id="30" w:name="X29085a5c055d10b038858692f85dcda0d2e7e1a"/>
    <w:p>
      <w:pPr>
        <w:pStyle w:val="Heading1"/>
      </w:pPr>
      <w:r>
        <w:t xml:space="preserve">Table S11. Batch designs, every combination</w:t>
      </w:r>
    </w:p>
    <w:p>
      <w:pPr>
        <w:pStyle w:val="TableCaption"/>
        <w:keepNext/>
      </w:pPr>
      <w:r>
        <w:rPr>
          <w:bCs/>
          <w:b/>
        </w:rPr>
        <w:t xml:space="preserve">Table S11.</w:t>
      </w:r>
      <w:r>
        <w:t xml:space="preserve"> </w:t>
      </w:r>
      <w:r>
        <w:t xml:space="preserve">Standards from K consignments × n_g fruit (α = 0.10; 300 repetitions). Coverage for fruit from consignments without standards (consignment-weighted); * flagged as too narrow (upper 95% bootstrap limit &lt; 0.90); unb.: unbounded in more than half of the repetitions. Last two columns: TJ+N coverage for the remaining fruit of the sampled consignments, and the intra-consignment correlation (ICC) of the errors of the transferred predictor. Confidence intervals for every cell are in results/summary/E10_summary.csv.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1. Standards from K consignments × n_g fruit (α = 0.10; 300 repetitions). Coverage for fruit from consignments without standards (consignment-weighted); * flagged as too narrow (upper 95% bootstrap limit &lt; 0.90); unb.: unbounded in more than half of the repetitions. Last two columns: TJ+N coverage for the remaining fruit of the sampled consignments, and the intra-consignment correlation (ICC) of the errors of the transferred predictor. Confidence intervals for every cell are in results/summary/E10_summary.csv.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Setting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Pipeline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Design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TJ+B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Split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ANOVA-PI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Gauss-LGO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TJ+N, same batches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ICC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0.424*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0.335*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0.846*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0.351*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0.382*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0.662*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0.643*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0.845*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0.719*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0.876*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0.394*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0.254*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0.262*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0.263*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0.272*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0.807*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0.886*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0.792*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0.212*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0.298*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0.335*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0.386*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0.415*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0.735*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0.320*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0.707*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0.772*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0.781*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0.746*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0.871*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0.754*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0.747*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0.762*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chrono 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0.853*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0.863*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0.725*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0.907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0.676*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0.675*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0.693*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0.634*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5×4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0.830*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0.838*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0.689*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0.878*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0.879*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0.714*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0.55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15×1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0.933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unb.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0.920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0.898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0.721*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0.953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0.49</w:t>
            </w:r>
          </w:p>
        </w:tc>
      </w:tr>
    </w:tbl>
    <w:bookmarkEnd w:id="30"/>
    <w:bookmarkStart w:id="31" w:name="table-s12.-simpler-interval-formulas"/>
    <w:p>
      <w:pPr>
        <w:pStyle w:val="Heading1"/>
      </w:pPr>
      <w:r>
        <w:t xml:space="preserve">Table S12. Simpler interval formulas</w:t>
      </w:r>
    </w:p>
    <w:p>
      <w:pPr>
        <w:pStyle w:val="TableCaption"/>
        <w:keepNext/>
      </w:pPr>
      <w:r>
        <w:rPr>
          <w:bCs/>
          <w:b/>
        </w:rPr>
        <w:t xml:space="preserve">Table S12.</w:t>
      </w:r>
      <w:r>
        <w:t xml:space="preserve"> </w:t>
      </w:r>
      <w:r>
        <w:t xml:space="preserve">Simpler interval formulas on identical standards (200 repetitions; standards drawn at random).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2. Simpler interval formulas on identical standards (200 repetitions; standards drawn at random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Data set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Pipeline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Too narrow α=0.05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Too narrow α=0.10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Too narrow α=0.20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Median IS relative to TJ+N (α=0.10)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0.941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1.185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1.524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OLS-PI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1.133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corn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OLS-PI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1.091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0.953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1.222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1.197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OLS-PI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0.964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mango_inst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1.067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1.057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ASTM-T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Boot-T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Gauss-LOO-N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0.988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OLS-PI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0.995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1.072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1.017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tablets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0/12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1.0</w:t>
            </w:r>
          </w:p>
        </w:tc>
      </w:tr>
    </w:tbl>
    <w:bookmarkEnd w:id="31"/>
    <w:bookmarkStart w:id="32" w:name="X77e490ca6ceac843fda148b803b30fc57a01afa"/>
    <w:p>
      <w:pPr>
        <w:pStyle w:val="Heading1"/>
      </w:pPr>
      <w:r>
        <w:t xml:space="preserve">Table S13. Closeness to nominal and per-set reliability</w:t>
      </w:r>
    </w:p>
    <w:p>
      <w:pPr>
        <w:pStyle w:val="TableCaption"/>
        <w:keepNext/>
      </w:pPr>
      <w:r>
        <w:rPr>
          <w:bCs/>
          <w:b/>
        </w:rPr>
        <w:t xml:space="preserve">Table S13.</w:t>
      </w:r>
      <w:r>
        <w:t xml:space="preserve"> </w:t>
      </w:r>
      <w:r>
        <w:t xml:space="preserve">Main scenarios with random standards (corn, tablets, mango season shift and mango instruments; 64 scenario-pipeline combinations). Non-inferior: lower limit of the 95% CI of coverage ≥ nominal − 0.02. Last column: share of standard sets (repetitions) with realised coverage ≥ 0.85 on the test samples, median (minimum) over scenarios. Unbounded intervals count as covering.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3. Main scenarios with random standards (corn, tablets, mango season shift and mango instruments; 64 scenario-pipeline combinations). Non-inferior: lower limit of the 95% CI of coverage ≥ nominal − 0.02. Last column: share of standard sets (repetitions) with realised coverage ≥ 0.85 on the test samples, median (minimum) over scenarios. Unbounded intervals count as covering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Method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Non-inferior α=0.05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α=0.10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α=0.20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Training-conditional share, median (min), α=0.10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 (0.74)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TJ+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0.88 (0.76)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Gauss-LOO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62/64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63/64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62/64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0.82 (0.73)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SCP-T-split-N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64/64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0.91 (0.74)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ASTM-PI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11/64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11/64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11/64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0.00 (0.00)</w:t>
            </w:r>
          </w:p>
        </w:tc>
      </w:tr>
    </w:tbl>
    <w:bookmarkEnd w:id="32"/>
    <w:bookmarkStart w:id="33" w:name="Xd0aa90e72e9e3ff0070f5536c203b34ca2f9b61"/>
    <w:p>
      <w:pPr>
        <w:pStyle w:val="Heading1"/>
      </w:pPr>
      <w:r>
        <w:t xml:space="preserve">Table S14. Harvest-maturity case study, all settings</w:t>
      </w:r>
    </w:p>
    <w:p>
      <w:pPr>
        <w:pStyle w:val="TableCaption"/>
        <w:keepNext/>
      </w:pPr>
      <w:r>
        <w:rPr>
          <w:bCs/>
          <w:b/>
        </w:rPr>
        <w:t xml:space="preserve">Table S14.</w:t>
      </w:r>
      <w:r>
        <w:t xml:space="preserve"> </w:t>
      </w:r>
      <w:r>
        <w:t xml:space="preserve">Screening at 14% dry matter with 90% intervals, fruit from consignments without standards (200 repetitions). Each cell: percentage of immature fruit passed as mature / percentage of all fruit referred for re-measurement. Bootstrap CIs: results/summary/E14_summary.csv.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Caption w:val="Table S14. Screening at 14% dry matter with 90% intervals, fruit from consignments without standards (200 repetitions). Each cell: percentage of immature fruit passed as mature / percentage of all fruit referred for re-measurement. Bootstrap CIs: results/summary/E14_summary.csv.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Setting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Pipeline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Design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Immature %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Point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ASTM-PI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Gauss-LOO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TJ+N</w:t>
            </w:r>
          </w:p>
        </w:tc>
        <w:tc>
          <w:tcPr>
            <w:tcBorders>
              <w:top w:val="single" w:sz="8" w:color="000000"/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TJ+B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39.8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25.6 / 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8.0 / 63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 / 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36.7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20.4 / 27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 / 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1.4 / 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0.4 / 89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31.9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16.1 / 28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1.6 / 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 / 73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1.3 / 73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31.5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8.2 / 34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7.8 / 36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7.8 / 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31.2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5.4 / 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2.1 / 51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2.1 / 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0.7 / 61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27.6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 / 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1.8 / 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 / 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1.9 / 53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49.2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36.2 / 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12.0 / 69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5.3 / 80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58.7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44.4 / 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 / 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4.8 / 86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1.1 / 94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65.4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51.3 / 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5.2 / 91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 / 88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4.3 / 88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44.5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12.0 / 40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9.8 / 44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9.4 / 49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38.1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8.4 / 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3.8 / 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 / 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2.0 / 69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inst_15016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37.6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8.4 / 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3.7 / 53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 / 57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4.5 / 57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69.3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52.8 / 22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19.9 / 67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12.0 / 77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75.0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53.8 / 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6.0 / 81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7.9 / 79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2.3 / 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PDS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74.2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49.5 / 26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3.0 / 82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6.8 / 78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6.8 / 78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44.0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12.4 / 37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12.8 / 41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11.5 / 43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41.5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9.9 / 39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5.8 / 50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5.0 / 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2.4 / 62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inst_15029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20×1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39.7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9.9 / 38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4.6 / 52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4.1 / 54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4.1 / 54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2×10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42.1 / 0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10.9 / 23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9.8 / 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10.6 / 25</w:t>
            </w:r>
          </w:p>
        </w:tc>
        <w:tc>
          <w:tcPr/>
          <w:p>
            <w:pPr>
              <w:pStyle w:val="Compact"/>
              <w:spacing w:after="0"/>
              <w:jc w:val="right"/>
            </w:pPr>
            <w:r>
              <w:t xml:space="preserve">0.0 / 100</w:t>
            </w:r>
          </w:p>
        </w:tc>
      </w:tr>
      <w:tr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left"/>
            </w:pPr>
            <w:r>
              <w:t xml:space="preserve">season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SBC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10×2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34.3 / 0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4.3 / 26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0.9 / 34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1.1 / 34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spacing w:after="0"/>
              <w:jc w:val="right"/>
            </w:pPr>
            <w:r>
              <w:t xml:space="preserve">0.3 / 41</w:t>
            </w:r>
          </w:p>
        </w:tc>
      </w:tr>
    </w:tbl>
    <w:bookmarkEnd w:id="33"/>
    <w:bookmarkStart w:id="37" w:name="fig.-s1"/>
    <w:p>
      <w:pPr>
        <w:pStyle w:val="Heading1"/>
      </w:pPr>
      <w:r>
        <w:t xml:space="preserve">Fig. S1</w:t>
      </w:r>
    </w:p>
    <w:p>
      <w:pPr>
        <w:pStyle w:val="CaptionedFigure"/>
        <w:keepNext/>
        <w:jc w:val="center"/>
      </w:pPr>
      <w:r>
        <w:drawing>
          <wp:inline>
            <wp:extent cx="4679999" cy="1804442"/>
            <wp:effectExtent b="0" l="0" r="0" t="0"/>
            <wp:docPr descr="Fig. S1. Ablation of TJ+N: mean coverage (left) and median interval score relative to TJ+N (right)." title="" id="35" name="Picture"/>
            <a:graphic>
              <a:graphicData uri="http://schemas.openxmlformats.org/drawingml/2006/picture">
                <pic:pic>
                  <pic:nvPicPr>
                    <pic:cNvPr descr="figures/fig5_ablat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80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S1.</w:t>
      </w:r>
      <w:r>
        <w:t xml:space="preserve"> </w:t>
      </w:r>
      <w:r>
        <w:t xml:space="preserve">Ablation of TJ+N: mean coverage (left) and median interval score relative to TJ+N (right).</w:t>
      </w:r>
    </w:p>
    <w:bookmarkEnd w:id="37"/>
    <w:bookmarkStart w:id="41" w:name="fig.-s2"/>
    <w:p>
      <w:pPr>
        <w:pStyle w:val="Heading1"/>
      </w:pPr>
      <w:r>
        <w:t xml:space="preserve">Fig. S2</w:t>
      </w:r>
    </w:p>
    <w:p>
      <w:pPr>
        <w:pStyle w:val="CaptionedFigure"/>
        <w:keepNext/>
        <w:jc w:val="center"/>
      </w:pPr>
      <w:r>
        <w:drawing>
          <wp:inline>
            <wp:extent cx="4679999" cy="1788159"/>
            <wp:effectExtent b="0" l="0" r="0" t="0"/>
            <wp:docPr descr="Fig. S2. Coverage within thirds of the difficulty σ(x) of the test spectra (main pipelines, α = 0.10)." title="" id="39" name="Picture"/>
            <a:graphic>
              <a:graphicData uri="http://schemas.openxmlformats.org/drawingml/2006/picture">
                <pic:pic>
                  <pic:nvPicPr>
                    <pic:cNvPr descr="figures/fig7_conditional_covera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78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S2.</w:t>
      </w:r>
      <w:r>
        <w:t xml:space="preserve"> </w:t>
      </w:r>
      <w:r>
        <w:t xml:space="preserve">Coverage within thirds of the difficulty σ(x) of the test spectra (main pipelines, α = 0.10).</w:t>
      </w:r>
    </w:p>
    <w:bookmarkEnd w:id="41"/>
    <w:bookmarkStart w:id="45" w:name="fig.-s3"/>
    <w:p>
      <w:pPr>
        <w:pStyle w:val="Heading1"/>
      </w:pPr>
      <w:r>
        <w:t xml:space="preserve">Fig. S3</w:t>
      </w:r>
    </w:p>
    <w:p>
      <w:pPr>
        <w:pStyle w:val="CaptionedFigure"/>
        <w:keepNext/>
        <w:jc w:val="center"/>
      </w:pPr>
      <w:r>
        <w:drawing>
          <wp:inline>
            <wp:extent cx="4679999" cy="1784413"/>
            <wp:effectExtent b="0" l="0" r="0" t="0"/>
            <wp:docPr descr="Fig. S3. Miss rate by Q-residual quintile of the test spectra (first 100 repetitions)." title="" id="43" name="Picture"/>
            <a:graphic>
              <a:graphicData uri="http://schemas.openxmlformats.org/drawingml/2006/picture">
                <pic:pic>
                  <pic:nvPicPr>
                    <pic:cNvPr descr="figures/fig8_error_analysi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78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S3.</w:t>
      </w:r>
      <w:r>
        <w:t xml:space="preserve"> </w:t>
      </w:r>
      <w:r>
        <w:t xml:space="preserve">Miss rate by Q-residual quintile of the test spectra (first 100 repetitions).</w:t>
      </w:r>
    </w:p>
    <w:bookmarkEnd w:id="45"/>
    <w:bookmarkStart w:id="49" w:name="fig.-s4"/>
    <w:p>
      <w:pPr>
        <w:pStyle w:val="Heading1"/>
      </w:pPr>
      <w:r>
        <w:t xml:space="preserve">Fig. S4</w:t>
      </w:r>
    </w:p>
    <w:p>
      <w:pPr>
        <w:pStyle w:val="CaptionedFigure"/>
        <w:keepNext/>
        <w:jc w:val="center"/>
      </w:pPr>
      <w:r>
        <w:drawing>
          <wp:inline>
            <wp:extent cx="4679999" cy="1672206"/>
            <wp:effectExtent b="0" l="0" r="0" t="0"/>
            <wp:docPr descr="Fig. S4. Distribution over repetitions of the realised coverage for one scenario per data set; the guarantee concerns the mean." title="" id="47" name="Picture"/>
            <a:graphic>
              <a:graphicData uri="http://schemas.openxmlformats.org/drawingml/2006/picture">
                <pic:pic>
                  <pic:nvPicPr>
                    <pic:cNvPr descr="figures/fig10_coverage_distribu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67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S4.</w:t>
      </w:r>
      <w:r>
        <w:t xml:space="preserve"> </w:t>
      </w:r>
      <w:r>
        <w:t xml:space="preserve">Distribution over repetitions of the realised coverage for one scenario per data set; the guarantee concerns the mean.</w:t>
      </w:r>
    </w:p>
    <w:bookmarkEnd w:id="49"/>
    <w:bookmarkStart w:id="53" w:name="fig.-s5"/>
    <w:p>
      <w:pPr>
        <w:pStyle w:val="Heading1"/>
      </w:pPr>
      <w:r>
        <w:t xml:space="preserve">Fig. S5</w:t>
      </w:r>
    </w:p>
    <w:p>
      <w:pPr>
        <w:pStyle w:val="CaptionedFigure"/>
        <w:keepNext/>
        <w:jc w:val="center"/>
      </w:pPr>
      <w:r>
        <w:drawing>
          <wp:inline>
            <wp:extent cx="4679999" cy="3747569"/>
            <wp:effectExtent b="0" l="0" r="0" t="0"/>
            <wp:docPr descr="Fig. S5. Share of standard sets whose realised coverage reached 0.85, by number of standards (median over scenarios)." title="" id="51" name="Picture"/>
            <a:graphic>
              <a:graphicData uri="http://schemas.openxmlformats.org/drawingml/2006/picture">
                <pic:pic>
                  <pic:nvPicPr>
                    <pic:cNvPr descr="figures/fig_training_conditiona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747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S5.</w:t>
      </w:r>
      <w:r>
        <w:t xml:space="preserve"> </w:t>
      </w:r>
      <w:r>
        <w:t xml:space="preserve">Share of standard sets whose realised coverage reached 0.85, by number of standards (median over scenarios).</w:t>
      </w:r>
    </w:p>
    <w:bookmarkEnd w:id="53"/>
    <w:bookmarkStart w:id="57" w:name="fig.-s6"/>
    <w:p>
      <w:pPr>
        <w:pStyle w:val="Heading1"/>
      </w:pPr>
      <w:r>
        <w:t xml:space="preserve">Fig. S6</w:t>
      </w:r>
    </w:p>
    <w:p>
      <w:pPr>
        <w:pStyle w:val="CaptionedFigure"/>
        <w:keepNext/>
        <w:jc w:val="center"/>
      </w:pPr>
      <w:r>
        <w:drawing>
          <wp:inline>
            <wp:extent cx="4679999" cy="3846575"/>
            <wp:effectExtent b="0" l="0" r="0" t="0"/>
            <wp:docPr descr="Fig. S6. TJ+N coverage for new consignments against the intra-consignment correlation of the errors, by design. Within the narrow ICC range observed, the design (number of consignments) rather than the ICC determined coverage." title="" id="55" name="Picture"/>
            <a:graphic>
              <a:graphicData uri="http://schemas.openxmlformats.org/drawingml/2006/picture">
                <pic:pic>
                  <pic:nvPicPr>
                    <pic:cNvPr descr="figures/fig_batch_mechanism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846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S6.</w:t>
      </w:r>
      <w:r>
        <w:t xml:space="preserve"> </w:t>
      </w:r>
      <w:r>
        <w:t xml:space="preserve">TJ+N coverage for new consignments against the intra-consignment correlation of the errors, by design. Within the narrow ICC range observed, the design (number of consignments) rather than the ICC determined coverage.</w:t>
      </w:r>
    </w:p>
    <w:bookmarkEnd w:id="57"/>
    <w:bookmarkStart w:id="61" w:name="fig.-s7"/>
    <w:p>
      <w:pPr>
        <w:pStyle w:val="Heading1"/>
      </w:pPr>
      <w:r>
        <w:t xml:space="preserve">Fig. S7</w:t>
      </w:r>
    </w:p>
    <w:p>
      <w:pPr>
        <w:pStyle w:val="CaptionedFigure"/>
        <w:keepNext/>
        <w:jc w:val="center"/>
      </w:pPr>
      <w:r>
        <w:drawing>
          <wp:inline>
            <wp:extent cx="4679999" cy="1838882"/>
            <wp:effectExtent b="0" l="0" r="0" t="0"/>
            <wp:docPr descr="Fig. S7. Median interval width relative to RMSEP for methods that were not too narrow." title="" id="59" name="Picture"/>
            <a:graphic>
              <a:graphicData uri="http://schemas.openxmlformats.org/drawingml/2006/picture">
                <pic:pic>
                  <pic:nvPicPr>
                    <pic:cNvPr descr="figures/fig4_width_vs_m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838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S7.</w:t>
      </w:r>
      <w:r>
        <w:t xml:space="preserve"> </w:t>
      </w:r>
      <w:r>
        <w:t xml:space="preserve">Median interval width relative to RMSEP for methods that were not too narrow.</w:t>
      </w:r>
    </w:p>
    <w:bookmarkEnd w:id="61"/>
    <w:bookmarkStart w:id="65" w:name="fig.-s8"/>
    <w:p>
      <w:pPr>
        <w:pStyle w:val="Heading1"/>
      </w:pPr>
      <w:r>
        <w:t xml:space="preserve">Fig. S8</w:t>
      </w:r>
    </w:p>
    <w:p>
      <w:pPr>
        <w:pStyle w:val="CaptionedFigure"/>
        <w:keepNext/>
        <w:jc w:val="center"/>
      </w:pPr>
      <w:r>
        <w:drawing>
          <wp:inline>
            <wp:extent cx="4679999" cy="3056878"/>
            <wp:effectExtent b="0" l="0" r="0" t="0"/>
            <wp:docPr descr="Fig. S8. Training and validation loss of the 1D-CNN (mango, seasons 1–3)." title="" id="63" name="Picture"/>
            <a:graphic>
              <a:graphicData uri="http://schemas.openxmlformats.org/drawingml/2006/picture">
                <pic:pic>
                  <pic:nvPicPr>
                    <pic:cNvPr descr="figures/figS1_cnn_train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56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S8.</w:t>
      </w:r>
      <w:r>
        <w:t xml:space="preserve"> </w:t>
      </w:r>
      <w:r>
        <w:t xml:space="preserve">Training and validation loss of the 1D-CNN (mango, seasons 1–3).</w:t>
      </w:r>
    </w:p>
    <w:bookmarkEnd w:id="65"/>
    <w:bookmarkStart w:id="69" w:name="fig.-s9"/>
    <w:p>
      <w:pPr>
        <w:pStyle w:val="Heading1"/>
      </w:pPr>
      <w:r>
        <w:t xml:space="preserve">Fig. S9</w:t>
      </w:r>
    </w:p>
    <w:p>
      <w:pPr>
        <w:pStyle w:val="CaptionedFigure"/>
        <w:keepNext/>
        <w:jc w:val="center"/>
      </w:pPr>
      <w:r>
        <w:drawing>
          <wp:inline>
            <wp:extent cx="4679999" cy="3028366"/>
            <wp:effectExtent b="0" l="0" r="0" t="0"/>
            <wp:docPr descr="Fig. S9. Mean Friedman ranks of the scenario median interval score over the 40 main scenarios (descriptive)." title="" id="67" name="Picture"/>
            <a:graphic>
              <a:graphicData uri="http://schemas.openxmlformats.org/drawingml/2006/picture">
                <pic:pic>
                  <pic:nvPicPr>
                    <pic:cNvPr descr="figures/figS2_friedman_rank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02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S9.</w:t>
      </w:r>
      <w:r>
        <w:t xml:space="preserve"> </w:t>
      </w:r>
      <w:r>
        <w:t xml:space="preserve">Mean Friedman ranks of the scenario median interval score over the 40 main scenarios (descriptive).</w:t>
      </w:r>
    </w:p>
    <w:bookmarkEnd w:id="69"/>
    <w:bookmarkStart w:id="73" w:name="fig.-s10"/>
    <w:p>
      <w:pPr>
        <w:pStyle w:val="Heading1"/>
      </w:pPr>
      <w:r>
        <w:t xml:space="preserve">Fig. S10</w:t>
      </w:r>
    </w:p>
    <w:p>
      <w:pPr>
        <w:pStyle w:val="CaptionedFigure"/>
        <w:keepNext/>
        <w:jc w:val="center"/>
      </w:pPr>
      <w:r>
        <w:drawing>
          <wp:inline>
            <wp:extent cx="4679999" cy="2699633"/>
            <wp:effectExtent b="0" l="0" r="0" t="0"/>
            <wp:docPr descr="Fig. S10. Wall-clock time per test batch (one CPU core, median of 20 runs)." title="" id="71" name="Picture"/>
            <a:graphic>
              <a:graphicData uri="http://schemas.openxmlformats.org/drawingml/2006/picture">
                <pic:pic>
                  <pic:nvPicPr>
                    <pic:cNvPr descr="figures/fig9_timing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69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Fig. S10.</w:t>
      </w:r>
      <w:r>
        <w:t xml:space="preserve"> </w:t>
      </w:r>
      <w:r>
        <w:t xml:space="preserve">Wall-clock time per test batch (one CPU core, median of 20 runs).</w:t>
      </w:r>
    </w:p>
    <w:bookmarkEnd w:id="73"/>
    <w:sectPr>
      <w:footerReference r:id="rId9" w:type="default"/>
      <w:pgSz w:h="16838" w:w="11906"/>
      <w:pgMar w:bottom="1417" w:left="1417" w:right="1417" w:top="1417"/>
      <w:lnNumType w:countBy="1" w:distance="283" w:restart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480" w:lineRule="auto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Times New Roman" w:cs="Times New Roman" w:eastAsia="Times New Roman" w:hAnsi="Times New Roman"/>
      <w:color w:val="00000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0" w:line="360" w:lineRule="auto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480" w:lineRule="auto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360" w:lineRule="auto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="Times New Roman" w:cstheme="majorBidi" w:eastAsia="Times New Roman" w:eastAsiaTheme="majorEastAsia" w:hAnsi="Times New Roman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="Times New Roman" w:cstheme="majorBidi" w:eastAsia="Times New Roman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200" w:before="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200" w:before="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200" w:before="0" w:line="276" w:lineRule="auto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46" Type="http://schemas.openxmlformats.org/officeDocument/2006/relationships/image" Target="media/rId46.png"/><Relationship Id="rId58" Type="http://schemas.openxmlformats.org/officeDocument/2006/relationships/image" Target="media/rId58.png"/><Relationship Id="rId34" Type="http://schemas.openxmlformats.org/officeDocument/2006/relationships/image" Target="media/rId34.png"/><Relationship Id="rId38" Type="http://schemas.openxmlformats.org/officeDocument/2006/relationships/image" Target="media/rId38.png"/><Relationship Id="rId42" Type="http://schemas.openxmlformats.org/officeDocument/2006/relationships/image" Target="media/rId42.png"/><Relationship Id="rId70" Type="http://schemas.openxmlformats.org/officeDocument/2006/relationships/image" Target="media/rId70.png"/><Relationship Id="rId62" Type="http://schemas.openxmlformats.org/officeDocument/2006/relationships/image" Target="media/rId62.png"/><Relationship Id="rId66" Type="http://schemas.openxmlformats.org/officeDocument/2006/relationships/image" Target="media/rId66.png"/><Relationship Id="rId54" Type="http://schemas.openxmlformats.org/officeDocument/2006/relationships/image" Target="media/rId54.png"/><Relationship Id="rId50" Type="http://schemas.openxmlformats.org/officeDocument/2006/relationships/image" Target="media/rId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/>
  <cp:keywords/>
  <dcterms:created xsi:type="dcterms:W3CDTF">2026-10-29T01:52:32Z</dcterms:created>
  <dcterms:modified xsi:type="dcterms:W3CDTF">2026-10-29T01:52:32Z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Trustworthy prediction intervals after moving an NIR calibration to a new instrument or season</vt:lpwstr>
  </property>
</Properties>
</file>