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w:t>
      </w:r>
      <w:r>
        <w:t xml:space="preserve"> </w:t>
      </w:r>
      <w:r>
        <w:t xml:space="preserve">prediction</w:t>
      </w:r>
      <w:r>
        <w:t xml:space="preserve"> </w:t>
      </w:r>
      <w:r>
        <w:t xml:space="preserve">intervals</w:t>
      </w:r>
      <w:r>
        <w:t xml:space="preserve"> </w:t>
      </w:r>
      <w:r>
        <w:t xml:space="preserve">for</w:t>
      </w:r>
      <w:r>
        <w:t xml:space="preserve"> </w:t>
      </w:r>
      <w:r>
        <w:t xml:space="preserve">transferred</w:t>
      </w:r>
      <w:r>
        <w:t xml:space="preserve"> </w:t>
      </w:r>
      <w:r>
        <w:t xml:space="preserve">multivariate</w:t>
      </w:r>
      <w:r>
        <w:t xml:space="preserve"> </w:t>
      </w:r>
      <w:r>
        <w:t xml:space="preserve">calibrations:</w:t>
      </w:r>
      <w:r>
        <w:t xml:space="preserve"> </w:t>
      </w:r>
      <w:r>
        <w:t xml:space="preserve">reusing</w:t>
      </w:r>
      <w:r>
        <w:t xml:space="preserve"> </w:t>
      </w:r>
      <w:r>
        <w:t xml:space="preserve">the</w:t>
      </w:r>
      <w:r>
        <w:t xml:space="preserve"> </w:t>
      </w:r>
      <w:r>
        <w:t xml:space="preserve">transfer</w:t>
      </w:r>
      <w:r>
        <w:t xml:space="preserve"> </w:t>
      </w:r>
      <w:r>
        <w:t xml:space="preserve">standards</w:t>
      </w:r>
      <w:r>
        <w:t xml:space="preserve"> </w:t>
      </w:r>
      <w:r>
        <w:t xml:space="preserve">with</w:t>
      </w:r>
      <w:r>
        <w:t xml:space="preserve"> </w:t>
      </w:r>
      <w:r>
        <w:t xml:space="preserve">a</w:t>
      </w:r>
      <w:r>
        <w:t xml:space="preserve"> </w:t>
      </w:r>
      <w:r>
        <w:t xml:space="preserve">leave-one-standard-out</w:t>
      </w:r>
      <w:r>
        <w:t xml:space="preserve"> </w:t>
      </w:r>
      <w:r>
        <w:t xml:space="preserve">jackknife+</w:t>
      </w:r>
    </w:p>
    <w:p>
      <w:pPr>
        <w:pStyle w:val="FirstParagraph"/>
      </w:pPr>
      <w:r>
        <w:rPr>
          <w:bCs/>
          <w:b/>
        </w:rPr>
        <w:t xml:space="preserve">Authors:</w:t>
      </w:r>
      <w:r>
        <w:t xml:space="preserve"> </w:t>
      </w:r>
      <w:r>
        <w:t xml:space="preserve">[Author 1]</w:t>
      </w:r>
      <w:r>
        <w:rPr>
          <w:vertAlign w:val="superscript"/>
        </w:rPr>
        <w:t xml:space="preserve">a</w:t>
      </w:r>
      <w:r>
        <w:t xml:space="preserve">, [Author 2]</w:t>
      </w:r>
      <w:r>
        <w:rPr>
          <w:vertAlign w:val="superscript"/>
        </w:rPr>
        <w:t xml:space="preserve">a,*</w:t>
      </w:r>
    </w:p>
    <w:p>
      <w:pPr>
        <w:pStyle w:val="BodyText"/>
      </w:pPr>
      <w:r>
        <w:rPr>
          <w:vertAlign w:val="superscript"/>
        </w:rPr>
        <w:t xml:space="preserve">a</w:t>
      </w:r>
      <w:r>
        <w:t xml:space="preserve"> </w:t>
      </w:r>
      <w:r>
        <w:t xml:space="preserve">[Affiliation, address, country]</w:t>
      </w:r>
    </w:p>
    <w:p>
      <w:pPr>
        <w:pStyle w:val="BodyText"/>
      </w:pPr>
      <w:r>
        <w:t xml:space="preserve">* Corresponding author: [e-mail address]</w:t>
      </w:r>
    </w:p>
    <w:bookmarkStart w:id="20" w:name="abstract"/>
    <w:p>
      <w:pPr>
        <w:pStyle w:val="Heading1"/>
      </w:pPr>
      <w:r>
        <w:t xml:space="preserve">Abstract</w:t>
      </w:r>
    </w:p>
    <w:p>
      <w:pPr>
        <w:pStyle w:val="FirstParagraph"/>
      </w:pPr>
      <w:r>
        <w:rPr>
          <w:bCs/>
          <w:b/>
        </w:rPr>
        <w:t xml:space="preserve">Background:</w:t>
      </w:r>
      <w:r>
        <w:t xml:space="preserve"> </w:t>
      </w:r>
      <w:r>
        <w:t xml:space="preserve">Calibration models built on one spectrometer or harvest season are routinely deployed elsewhere after calibration transfer (e.g., piecewise direct standardisation, PDS) or slope/bias correction, using a handful of transfer standards. Analytical results also require a stated uncertainty. However, whether the prediction intervals of a transferred calibration keep their nominal coverage has not, to our knowledge, been studied systematically, and splitting the scarce standards between transfer and uncertainty calibration wastes them.</w:t>
      </w:r>
    </w:p>
    <w:p>
      <w:pPr>
        <w:pStyle w:val="BodyText"/>
      </w:pPr>
      <w:r>
        <w:rPr>
          <w:bCs/>
          <w:b/>
        </w:rPr>
        <w:t xml:space="preserve">Results:</w:t>
      </w:r>
      <w:r>
        <w:t xml:space="preserve"> </w:t>
      </w:r>
      <w:r>
        <w:t xml:space="preserve">We propose a transfer jackknife+ (TJ+): every standard is left out in turn, the transfer step is re-fitted on the remaining standards, and the leave-one-out residuals, normalised by a source-learned difficulty function of Hotelling T² and Q residuals, define distribution-free intervals. For exchangeable standards these intervals have coverage of at least 1−2α. On three public NIR data sets (corn, three instruments; pharmaceutical tablets, two instruments; mango dry matter, four seasons) in [[n_scen_main]] pre-registered scenarios with up to 500 random repetitions each, source-calibrated intervals (ASTM-type parametric, split conformal, weighted conformal) under-covered after transfer, with mean coverage as low as [[min_cov_source]] for a nominal 0.90. TJ+N reached a mean coverage of [[tjn_cov_main]] and never under-covered for</w:t>
      </w:r>
      <w:r>
        <w:t xml:space="preserve"> </w:t>
      </w:r>
      <w:r>
        <w:rPr>
          <w:iCs/>
          <w:i/>
        </w:rPr>
        <w:t xml:space="preserve">m</w:t>
      </w:r>
      <w:r>
        <w:t xml:space="preserve"> </w:t>
      </w:r>
      <w:r>
        <w:t xml:space="preserve">≥ [[tjn_valid_m]] standards. Its intervals were finite where the split-standards alternative was not ([[split_inf_text]]). Robustness, ablation, ridge and 1D-CNN analyses delimit when the guarantee applies.</w:t>
      </w:r>
    </w:p>
    <w:p>
      <w:pPr>
        <w:pStyle w:val="BodyText"/>
      </w:pPr>
      <w:r>
        <w:rPr>
          <w:bCs/>
          <w:b/>
        </w:rPr>
        <w:t xml:space="preserve">Significance:</w:t>
      </w:r>
      <w:r>
        <w:t xml:space="preserve"> </w:t>
      </w:r>
      <w:r>
        <w:t xml:space="preserve">TJ+ provides finite-sample-valid uncertainty for transferred NIR calibrations from the standards that calibration transfer already requires, at a cost of</w:t>
      </w:r>
      <w:r>
        <w:t xml:space="preserve"> </w:t>
      </w:r>
      <w:r>
        <w:rPr>
          <w:iCs/>
          <w:i/>
        </w:rPr>
        <w:t xml:space="preserve">m</w:t>
      </w:r>
      <w:r>
        <w:t xml:space="preserve"> </w:t>
      </w:r>
      <w:r>
        <w:t xml:space="preserve">refits of the transfer step.</w:t>
      </w:r>
    </w:p>
    <w:p>
      <w:pPr>
        <w:pStyle w:val="BodyText"/>
      </w:pPr>
      <w:r>
        <w:rPr>
          <w:bCs/>
          <w:b/>
        </w:rPr>
        <w:t xml:space="preserve">Keywords:</w:t>
      </w:r>
      <w:r>
        <w:t xml:space="preserve"> </w:t>
      </w:r>
      <w:r>
        <w:t xml:space="preserve">calibration transfer; prediction interval; conformal prediction; jackknife+; near-infrared spectroscopy; measurement uncertainty</w:t>
      </w:r>
    </w:p>
    <w:bookmarkEnd w:id="20"/>
    <w:bookmarkStart w:id="21" w:name="introduction"/>
    <w:p>
      <w:pPr>
        <w:pStyle w:val="Heading1"/>
      </w:pPr>
      <w:r>
        <w:t xml:space="preserve">1. Introduction</w:t>
      </w:r>
    </w:p>
    <w:p>
      <w:pPr>
        <w:pStyle w:val="FirstParagraph"/>
      </w:pPr>
      <w:r>
        <w:t xml:space="preserve">Near-infrared (NIR) spectroscopy with multivariate calibration is a mature analytical technique</w:t>
      </w:r>
      <w:r>
        <w:t xml:space="preserve"> </w:t>
      </w:r>
      <w:r>
        <w:t xml:space="preserve">[1]</w:t>
      </w:r>
      <w:r>
        <w:t xml:space="preserve">. Its calibrations, however, are tied to the instrument, measurement conditions and sample population on which they were built. When a model developed on a master instrument is moved to a secondary instrument, or applied to a new harvest season, its predictions degrade unless the model or the spectra are corrected</w:t>
      </w:r>
      <w:r>
        <w:t xml:space="preserve"> </w:t>
      </w:r>
      <w:r>
        <w:t xml:space="preserve">[2–4]</w:t>
      </w:r>
      <w:r>
        <w:t xml:space="preserve">. Calibration transfer addresses this. Direct and piecewise direct standardisation (DS, PDS) map secondary-instrument spectra onto the master space using transfer standards measured on both instruments</w:t>
      </w:r>
      <w:r>
        <w:t xml:space="preserve"> </w:t>
      </w:r>
      <w:r>
        <w:t xml:space="preserve">[5,6]</w:t>
      </w:r>
      <w:r>
        <w:t xml:space="preserve">. Slope/bias correction (SBC) adjusts the predictions using standards with reference values</w:t>
      </w:r>
      <w:r>
        <w:t xml:space="preserve"> </w:t>
      </w:r>
      <w:r>
        <w:t xml:space="preserve">[2]</w:t>
      </w:r>
      <w:r>
        <w:t xml:space="preserve">. Domain-adaptation methods such as di-PLS and standard-free approaches remain an active topic, including in this journal</w:t>
      </w:r>
      <w:r>
        <w:t xml:space="preserve"> </w:t>
      </w:r>
      <w:r>
        <w:t xml:space="preserve">[7–12]</w:t>
      </w:r>
      <w:r>
        <w:t xml:space="preserve">.</w:t>
      </w:r>
    </w:p>
    <w:p>
      <w:pPr>
        <w:pStyle w:val="BodyText"/>
      </w:pPr>
      <w:r>
        <w:t xml:space="preserve">Calibration-transfer studies are almost always judged by point-prediction accuracy (RMSEP, bias). Analytical results, however, must be accompanied by a statement of uncertainty, and multivariate calibration has a long tradition of uncertainty estimation and figures of merit</w:t>
      </w:r>
      <w:r>
        <w:t xml:space="preserve"> </w:t>
      </w:r>
      <w:r>
        <w:t xml:space="preserve">[13–15]</w:t>
      </w:r>
      <w:r>
        <w:t xml:space="preserve">. In routine practice, approximate prediction intervals are derived from the calibration error and the leverage of the new sample, as in ASTM E1655-type procedures</w:t>
      </w:r>
      <w:r>
        <w:t xml:space="preserve"> </w:t>
      </w:r>
      <w:r>
        <w:t xml:space="preserve">[16]</w:t>
      </w:r>
      <w:r>
        <w:t xml:space="preserve">. These intervals use the</w:t>
      </w:r>
      <w:r>
        <w:t xml:space="preserve"> </w:t>
      </w:r>
      <w:r>
        <w:rPr>
          <w:iCs/>
          <w:i/>
        </w:rPr>
        <w:t xml:space="preserve">source</w:t>
      </w:r>
      <w:r>
        <w:t xml:space="preserve"> </w:t>
      </w:r>
      <w:r>
        <w:t xml:space="preserve">calibration error model. After an instrument or season change, that error model no longer describes the deployed predictor. The transfer step adds its own error, and the standardisation is estimated from only a few standards.</w:t>
      </w:r>
    </w:p>
    <w:p>
      <w:pPr>
        <w:pStyle w:val="BodyText"/>
      </w:pPr>
      <w:r>
        <w:t xml:space="preserve">Conformal prediction provides intervals with finite-sample, distribution-free coverage guarantees under exchangeability</w:t>
      </w:r>
      <w:r>
        <w:t xml:space="preserve"> </w:t>
      </w:r>
      <w:r>
        <w:t xml:space="preserve">[17–20]</w:t>
      </w:r>
      <w:r>
        <w:t xml:space="preserve">. In chemometrics it has been used mainly for classification</w:t>
      </w:r>
      <w:r>
        <w:t xml:space="preserve"> </w:t>
      </w:r>
      <w:r>
        <w:t xml:space="preserve">[21–24]</w:t>
      </w:r>
      <w:r>
        <w:t xml:space="preserve"> </w:t>
      </w:r>
      <w:r>
        <w:t xml:space="preserve">and for in-distribution regression. Examples are normalised conformal regression of mid-infrared spectra</w:t>
      </w:r>
      <w:r>
        <w:t xml:space="preserve"> </w:t>
      </w:r>
      <w:r>
        <w:t xml:space="preserve">[25]</w:t>
      </w:r>
      <w:r>
        <w:t xml:space="preserve">, conformal-inspired intervals for PLS and PCR</w:t>
      </w:r>
      <w:r>
        <w:t xml:space="preserve"> </w:t>
      </w:r>
      <w:r>
        <w:t xml:space="preserve">[26]</w:t>
      </w:r>
      <w:r>
        <w:t xml:space="preserve">, and QSAR applicability domains</w:t>
      </w:r>
      <w:r>
        <w:t xml:space="preserve"> </w:t>
      </w:r>
      <w:r>
        <w:t xml:space="preserve">[27]</w:t>
      </w:r>
      <w:r>
        <w:t xml:space="preserve">. Coverage guarantees break when calibration and deployment data are not exchangeable, which is exactly the calibration-transfer situation. Weighted conformal prediction corrects for covariate shift</w:t>
      </w:r>
      <w:r>
        <w:t xml:space="preserve"> </w:t>
      </w:r>
      <w:r>
        <w:t xml:space="preserve">[28]</w:t>
      </w:r>
      <w:r>
        <w:t xml:space="preserve">, but an instrument change alters the relation between spectrum and property, not only the spectral distribution. Transporting calibration data between paired domains has very recently been proposed for classification</w:t>
      </w:r>
      <w:r>
        <w:t xml:space="preserve"> </w:t>
      </w:r>
      <w:r>
        <w:t xml:space="preserve">[29]</w:t>
      </w:r>
      <w:r>
        <w:t xml:space="preserve">. We found no study of interval validity for transferred spectroscopic calibrations.</w:t>
      </w:r>
    </w:p>
    <w:p>
      <w:pPr>
        <w:pStyle w:val="BodyText"/>
      </w:pPr>
      <w:r>
        <w:t xml:space="preserve">A practical constraint shapes the problem. The only target-domain data with reference values are typically the</w:t>
      </w:r>
      <w:r>
        <w:t xml:space="preserve"> </w:t>
      </w:r>
      <w:r>
        <w:rPr>
          <w:iCs/>
          <w:i/>
        </w:rPr>
        <w:t xml:space="preserve">m</w:t>
      </w:r>
      <w:r>
        <w:t xml:space="preserve"> </w:t>
      </w:r>
      <w:r>
        <w:t xml:space="preserve">transfer standards, often 10–30 samples, and they are already needed to fit the transfer. A valid but naïve solution splits them: half fit the transfer and half calibrate a split-conformal interval. With</w:t>
      </w:r>
      <w:r>
        <w:t xml:space="preserve"> </w:t>
      </w:r>
      <w:r>
        <w:rPr>
          <w:iCs/>
          <w:i/>
        </w:rPr>
        <w:t xml:space="preserve">m</w:t>
      </w:r>
      <w:r>
        <w:t xml:space="preserve"> </w:t>
      </w:r>
      <w:r>
        <w:t xml:space="preserve">&lt; 18 at α = 0.1, the calibration half is too small to give finite intervals. The jackknife+</w:t>
      </w:r>
      <w:r>
        <w:t xml:space="preserve"> </w:t>
      </w:r>
      <w:r>
        <w:t xml:space="preserve">[30]</w:t>
      </w:r>
      <w:r>
        <w:t xml:space="preserve"> </w:t>
      </w:r>
      <w:r>
        <w:t xml:space="preserve">avoids sample splitting through leave-one-out refits, with a coverage guarantee of 1−2α. We use this to construct intervals for</w:t>
      </w:r>
      <w:r>
        <w:t xml:space="preserve"> </w:t>
      </w:r>
      <w:r>
        <w:rPr>
          <w:iCs/>
          <w:i/>
        </w:rPr>
        <w:t xml:space="preserve">transferred</w:t>
      </w:r>
      <w:r>
        <w:t xml:space="preserve"> </w:t>
      </w:r>
      <w:r>
        <w:t xml:space="preserve">calibrations by re-fitting the transfer step, not the source model, inside the leave-one-out loop. All standards are therefore reused for both purposes.</w:t>
      </w:r>
    </w:p>
    <w:p>
      <w:pPr>
        <w:pStyle w:val="BodyText"/>
      </w:pPr>
      <w:r>
        <w:t xml:space="preserve">The contributions of this work are:</w:t>
      </w:r>
    </w:p>
    <w:p>
      <w:pPr>
        <w:numPr>
          <w:ilvl w:val="0"/>
          <w:numId w:val="1001"/>
        </w:numPr>
      </w:pPr>
      <w:r>
        <w:t xml:space="preserve">A transfer jackknife+ (TJ+) for transferred multivariate calibrations, with a coverage statement under explicit, checkable conditions on how the standards are selected.</w:t>
      </w:r>
    </w:p>
    <w:p>
      <w:pPr>
        <w:numPr>
          <w:ilvl w:val="0"/>
          <w:numId w:val="1001"/>
        </w:numPr>
      </w:pPr>
      <w:r>
        <w:t xml:space="preserve">A chemometric normalisation (TJ+N), using a source-learned difficulty function of Hotelling T² and Q residuals of the</w:t>
      </w:r>
      <w:r>
        <w:t xml:space="preserve"> </w:t>
      </w:r>
      <w:r>
        <w:rPr>
          <w:iCs/>
          <w:i/>
        </w:rPr>
        <w:t xml:space="preserve">transferred</w:t>
      </w:r>
      <w:r>
        <w:t xml:space="preserve"> </w:t>
      </w:r>
      <w:r>
        <w:t xml:space="preserve">spectrum, so that interval width adapts to the sample.</w:t>
      </w:r>
    </w:p>
    <w:p>
      <w:pPr>
        <w:numPr>
          <w:ilvl w:val="0"/>
          <w:numId w:val="1001"/>
        </w:numPr>
      </w:pPr>
      <w:r>
        <w:t xml:space="preserve">A pre-registered benchmark on three public NIR data sets covering instrument and season shift. It compares classical, source-calibrated, shift-weighted, transport-based, split-standards and Gaussian intervals, and includes ablation, robustness, model-class (PLS, ridge, 1D-CNN), sensitivity, computational and error analyses.</w:t>
      </w:r>
    </w:p>
    <w:p>
      <w:pPr>
        <w:numPr>
          <w:ilvl w:val="0"/>
          <w:numId w:val="1001"/>
        </w:numPr>
      </w:pPr>
      <w:r>
        <w:t xml:space="preserve">An exploratory label-free variant for the case in which the transfer standards have no reference values.</w:t>
      </w:r>
    </w:p>
    <w:p>
      <w:pPr>
        <w:pStyle w:val="FirstParagraph"/>
      </w:pPr>
      <w:r>
        <w:t xml:space="preserve">All code and the complete reproduction pipeline are publicly available.</w:t>
      </w:r>
    </w:p>
    <w:bookmarkEnd w:id="21"/>
    <w:bookmarkStart w:id="26" w:name="theory"/>
    <w:p>
      <w:pPr>
        <w:pStyle w:val="Heading1"/>
      </w:pPr>
      <w:r>
        <w:t xml:space="preserve">2. Theory</w:t>
      </w:r>
    </w:p>
    <w:bookmarkStart w:id="22" w:name="problem-formulation"/>
    <w:p>
      <w:pPr>
        <w:pStyle w:val="Heading2"/>
      </w:pPr>
      <w:r>
        <w:t xml:space="preserve">2.1. Problem formulation</w:t>
      </w:r>
    </w:p>
    <w:p>
      <w:pPr>
        <w:pStyle w:val="FirstParagraph"/>
      </w:pPr>
      <w:r>
        <w:t xml:space="preserve">Let</w:t>
      </w:r>
      <w:r>
        <w:t xml:space="preserve"> </w:t>
      </w:r>
      <m:oMath>
        <m:r>
          <m:t>f</m:t>
        </m:r>
        <m:r>
          <m:rPr>
            <m:sty m:val="p"/>
          </m:rPr>
          <m:t>:</m:t>
        </m:r>
        <m:sSup>
          <m:e>
            <m:r>
              <m:rPr>
                <m:sty m:val="p"/>
                <m:scr m:val="double-struck"/>
              </m:rPr>
              <m:t>R</m:t>
            </m:r>
          </m:e>
          <m:sup>
            <m:r>
              <m:t>p</m:t>
            </m:r>
          </m:sup>
        </m:sSup>
        <m:r>
          <m:rPr>
            <m:sty m:val="p"/>
          </m:rPr>
          <m:t>→</m:t>
        </m:r>
        <m:r>
          <m:rPr>
            <m:sty m:val="p"/>
            <m:scr m:val="double-struck"/>
          </m:rPr>
          <m:t>R</m:t>
        </m:r>
      </m:oMath>
      <w:r>
        <w:t xml:space="preserve"> </w:t>
      </w:r>
      <w:r>
        <w:t xml:space="preserve">be a calibration model (PLS unless stated otherwise) fitted on source-domain data</w:t>
      </w:r>
      <w:r>
        <w:t xml:space="preserve"> </w:t>
      </w:r>
      <m:oMath>
        <m:sSub>
          <m:e>
            <m:r>
              <m:rPr>
                <m:sty m:val="p"/>
                <m:scr m:val="script"/>
              </m:rPr>
              <m:t>D</m:t>
            </m:r>
          </m:e>
          <m:sub>
            <m:r>
              <m:t>S</m:t>
            </m:r>
          </m:sub>
        </m:sSub>
      </m:oMath>
      <w:r>
        <w:t xml:space="preserve">: master-instrument spectra or earlier seasons. In the target domain,</w:t>
      </w:r>
      <w:r>
        <w:t xml:space="preserve"> </w:t>
      </w:r>
      <m:oMath>
        <m:r>
          <m:t>m</m:t>
        </m:r>
      </m:oMath>
      <w:r>
        <w:t xml:space="preserve"> </w:t>
      </w:r>
      <w:r>
        <w:t xml:space="preserve">transfer standards</w:t>
      </w:r>
      <w:r>
        <w:t xml:space="preserve"> </w:t>
      </w:r>
      <m:oMath>
        <m:sSub>
          <m:e>
            <m:r>
              <m:t>Z</m:t>
            </m:r>
          </m:e>
          <m:sub>
            <m:r>
              <m:t>i</m:t>
            </m:r>
          </m:sub>
        </m:sSub>
        <m:r>
          <m:rPr>
            <m:sty m:val="p"/>
          </m:rPr>
          <m:t>=</m:t>
        </m:r>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r>
              <m:rPr>
                <m:sty m:val="p"/>
              </m:rPr>
              <m:t>,</m:t>
            </m:r>
            <m:sSub>
              <m:e>
                <m:r>
                  <m:t>y</m:t>
                </m:r>
              </m:e>
              <m:sub>
                <m:r>
                  <m:t>i</m:t>
                </m:r>
              </m:sub>
            </m:sSub>
          </m:e>
        </m:d>
      </m:oMath>
      <w:r>
        <w:t xml:space="preserve">,</w:t>
      </w:r>
      <w:r>
        <w:t xml:space="preserve"> </w:t>
      </w:r>
      <m:oMath>
        <m:r>
          <m:t>i</m:t>
        </m:r>
        <m:r>
          <m:rPr>
            <m:sty m:val="p"/>
          </m:rPr>
          <m:t>=</m:t>
        </m:r>
        <m:r>
          <m:t>1</m:t>
        </m:r>
        <m:r>
          <m:rPr>
            <m:sty m:val="p"/>
          </m:rPr>
          <m:t>,</m:t>
        </m:r>
        <m:r>
          <m:rPr>
            <m:sty m:val="p"/>
          </m:rPr>
          <m:t>…</m:t>
        </m:r>
        <m:r>
          <m:rPr>
            <m:sty m:val="p"/>
          </m:rPr>
          <m:t>,</m:t>
        </m:r>
        <m:r>
          <m:t>m</m:t>
        </m:r>
      </m:oMath>
      <w:r>
        <w:t xml:space="preserve">, are available. Here</w:t>
      </w:r>
      <w:r>
        <w:t xml:space="preserve"> </w:t>
      </w:r>
      <m:oMath>
        <m:sSubSup>
          <m:e>
            <m:r>
              <m:rPr>
                <m:sty m:val="b"/>
              </m:rPr>
              <m:t>x</m:t>
            </m:r>
          </m:e>
          <m:sub>
            <m:r>
              <m:t>i</m:t>
            </m:r>
          </m:sub>
          <m:sup>
            <m:r>
              <m:t>T</m:t>
            </m:r>
          </m:sup>
        </m:sSubSup>
      </m:oMath>
      <w:r>
        <w:t xml:space="preserve"> </w:t>
      </w:r>
      <w:r>
        <w:t xml:space="preserve">is the target spectrum,</w:t>
      </w:r>
      <w:r>
        <w:t xml:space="preserve"> </w:t>
      </w:r>
      <m:oMath>
        <m:sSubSup>
          <m:e>
            <m:r>
              <m:rPr>
                <m:sty m:val="b"/>
              </m:rPr>
              <m:t>x</m:t>
            </m:r>
          </m:e>
          <m:sub>
            <m:r>
              <m:t>i</m:t>
            </m:r>
          </m:sub>
          <m:sup>
            <m:r>
              <m:t>S</m:t>
            </m:r>
          </m:sup>
        </m:sSubSup>
      </m:oMath>
      <w:r>
        <w:t xml:space="preserve"> </w:t>
      </w:r>
      <w:r>
        <w:t xml:space="preserve">the master spectrum of the same sample (needed only for spectral standardisation) and</w:t>
      </w:r>
      <w:r>
        <w:t xml:space="preserve"> </w:t>
      </w:r>
      <m:oMath>
        <m:sSub>
          <m:e>
            <m:r>
              <m:t>y</m:t>
            </m:r>
          </m:e>
          <m:sub>
            <m:r>
              <m:t>i</m:t>
            </m:r>
          </m:sub>
        </m:sSub>
      </m:oMath>
      <w:r>
        <w:t xml:space="preserve"> </w:t>
      </w:r>
      <w:r>
        <w:t xml:space="preserve">the reference value. A transfer algorithm</w:t>
      </w:r>
      <w:r>
        <w:t xml:space="preserve"> </w:t>
      </w:r>
      <m:oMath>
        <m:r>
          <m:rPr>
            <m:sty m:val="p"/>
            <m:scr m:val="script"/>
          </m:rPr>
          <m:t>T</m:t>
        </m:r>
      </m:oMath>
      <w:r>
        <w:t xml:space="preserve"> </w:t>
      </w:r>
      <w:r>
        <w:t xml:space="preserve">maps a set of standards</w:t>
      </w:r>
      <w:r>
        <w:t xml:space="preserve"> </w:t>
      </w:r>
      <m:oMath>
        <m:r>
          <m:rPr>
            <m:sty m:val="p"/>
            <m:scr m:val="script"/>
          </m:rPr>
          <m:t>D</m:t>
        </m:r>
      </m:oMath>
      <w:r>
        <w:t xml:space="preserve"> </w:t>
      </w:r>
      <w:r>
        <w:t xml:space="preserve">to a</w:t>
      </w:r>
      <w:r>
        <w:t xml:space="preserve"> </w:t>
      </w:r>
      <w:r>
        <w:rPr>
          <w:iCs/>
          <w:i/>
        </w:rPr>
        <w:t xml:space="preserve">deployed predictor</w:t>
      </w:r>
    </w:p>
    <w:p>
      <w:pPr>
        <w:pStyle w:val="BodyText"/>
      </w:pPr>
      <m:oMathPara>
        <m:oMathParaPr>
          <m:jc m:val="center"/>
        </m:oMathParaPr>
        <m:oMath>
          <m:sSub>
            <m:e>
              <m:r>
                <m:t>μ</m:t>
              </m:r>
            </m:e>
            <m:sub>
              <m:r>
                <m:rPr>
                  <m:sty m:val="p"/>
                  <m:scr m:val="script"/>
                </m:rPr>
                <m:t>D</m:t>
              </m:r>
            </m:sub>
          </m:sSub>
          <m:d>
            <m:dPr>
              <m:begChr m:val="("/>
              <m:endChr m:val=")"/>
              <m:sepChr m:val=""/>
              <m:grow/>
            </m:dPr>
            <m:e>
              <m:r>
                <m:rPr>
                  <m:sty m:val="b"/>
                </m:rPr>
                <m:t>x</m:t>
              </m:r>
            </m:e>
          </m:d>
          <m:r>
            <m:rPr>
              <m:sty m:val="p"/>
            </m:rPr>
            <m:t>=</m:t>
          </m:r>
          <m:sSub>
            <m:e>
              <m:r>
                <m:t>a</m:t>
              </m:r>
            </m:e>
            <m:sub>
              <m:r>
                <m:rPr>
                  <m:sty m:val="p"/>
                  <m:scr m:val="script"/>
                </m:rPr>
                <m:t>D</m:t>
              </m:r>
            </m:sub>
          </m:sSub>
          <m:r>
            <m:rPr>
              <m:sty m:val="p"/>
            </m:rPr>
            <m:t>+</m:t>
          </m:r>
          <m:sSub>
            <m:e>
              <m:r>
                <m:t>b</m:t>
              </m:r>
            </m:e>
            <m:sub>
              <m:r>
                <m:rPr>
                  <m:sty m:val="p"/>
                  <m:scr m:val="script"/>
                </m:rPr>
                <m:t>D</m:t>
              </m:r>
            </m:sub>
          </m:sSub>
          <m:r>
            <m:t> </m:t>
          </m:r>
          <m:r>
            <m:t>f</m:t>
          </m:r>
          <m:r>
            <m:t>​</m:t>
          </m:r>
          <m:d>
            <m:dPr>
              <m:begChr m:val="("/>
              <m:endChr m:val=")"/>
              <m:sepChr m:val=""/>
              <m:grow/>
            </m:dPr>
            <m:e>
              <m:sSub>
                <m:e>
                  <m:r>
                    <m:t>g</m:t>
                  </m:r>
                </m:e>
                <m:sub>
                  <m:r>
                    <m:rPr>
                      <m:sty m:val="p"/>
                      <m:scr m:val="script"/>
                    </m:rPr>
                    <m:t>D</m:t>
                  </m:r>
                </m:sub>
              </m:sSub>
              <m:d>
                <m:dPr>
                  <m:begChr m:val="("/>
                  <m:endChr m:val=")"/>
                  <m:sepChr m:val=""/>
                  <m:grow/>
                </m:dPr>
                <m:e>
                  <m:r>
                    <m:rPr>
                      <m:sty m:val="b"/>
                    </m:rPr>
                    <m:t>x</m:t>
                  </m:r>
                </m:e>
              </m:d>
            </m:e>
          </m:d>
          <m:r>
            <m:rPr>
              <m:sty m:val="p"/>
            </m:rPr>
            <m:t>,</m:t>
          </m:r>
          <m:r>
            <m:t>  </m:t>
          </m:r>
          <m:d>
            <m:dPr>
              <m:begChr m:val="("/>
              <m:endChr m:val=")"/>
              <m:sepChr m:val=""/>
              <m:grow/>
            </m:dPr>
            <m:e>
              <m:r>
                <m:t>1</m:t>
              </m:r>
            </m:e>
          </m:d>
        </m:oMath>
      </m:oMathPara>
    </w:p>
    <w:p>
      <w:pPr>
        <w:pStyle w:val="FirstParagraph"/>
      </w:pPr>
      <w:r>
        <w:t xml:space="preserve">where</w:t>
      </w:r>
      <w:r>
        <w:t xml:space="preserve"> </w:t>
      </w:r>
      <m:oMath>
        <m:sSub>
          <m:e>
            <m:r>
              <m:t>g</m:t>
            </m:r>
          </m:e>
          <m:sub>
            <m:r>
              <m:rPr>
                <m:sty m:val="p"/>
                <m:scr m:val="script"/>
              </m:rPr>
              <m:t>D</m:t>
            </m:r>
          </m:sub>
        </m:sSub>
      </m:oMath>
      <w:r>
        <w:t xml:space="preserve"> </w:t>
      </w:r>
      <w:r>
        <w:t xml:space="preserve">is a spectral standardisation and</w:t>
      </w:r>
      <w:r>
        <w:t xml:space="preserve"> </w:t>
      </w:r>
      <m:oMath>
        <m:d>
          <m:dPr>
            <m:begChr m:val="("/>
            <m:endChr m:val=")"/>
            <m:sepChr m:val=""/>
            <m:grow/>
          </m:dPr>
          <m:e>
            <m:sSub>
              <m:e>
                <m:r>
                  <m:t>a</m:t>
                </m:r>
              </m:e>
              <m:sub>
                <m:r>
                  <m:rPr>
                    <m:sty m:val="p"/>
                    <m:scr m:val="script"/>
                  </m:rPr>
                  <m:t>D</m:t>
                </m:r>
              </m:sub>
            </m:sSub>
            <m:r>
              <m:rPr>
                <m:sty m:val="p"/>
              </m:rPr>
              <m:t>,</m:t>
            </m:r>
            <m:sSub>
              <m:e>
                <m:r>
                  <m:t>b</m:t>
                </m:r>
              </m:e>
              <m:sub>
                <m:r>
                  <m:rPr>
                    <m:sty m:val="p"/>
                    <m:scr m:val="script"/>
                  </m:rPr>
                  <m:t>D</m:t>
                </m:r>
              </m:sub>
            </m:sSub>
          </m:e>
        </m:d>
      </m:oMath>
      <w:r>
        <w:t xml:space="preserve"> </w:t>
      </w:r>
      <w:r>
        <w:t xml:space="preserve">an output correction.</w:t>
      </w:r>
    </w:p>
    <w:p>
      <w:pPr>
        <w:numPr>
          <w:ilvl w:val="0"/>
          <w:numId w:val="1002"/>
        </w:numPr>
      </w:pPr>
      <w:r>
        <w:t xml:space="preserve">PDS or DS:</w:t>
      </w:r>
      <w:r>
        <w:t xml:space="preserve"> </w:t>
      </w:r>
      <m:oMath>
        <m:r>
          <m:t>g</m:t>
        </m:r>
      </m:oMath>
      <w:r>
        <w:t xml:space="preserve"> </w:t>
      </w:r>
      <w:r>
        <w:t xml:space="preserve">is fitted from the pairs</w:t>
      </w:r>
      <w:r>
        <w:t xml:space="preserve"> </w:t>
      </w:r>
      <m:oMath>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e>
        </m:d>
      </m:oMath>
      <w:r>
        <w:t xml:space="preserve"> </w:t>
      </w:r>
      <w:r>
        <w:t xml:space="preserve">and</w:t>
      </w:r>
      <w:r>
        <w:t xml:space="preserve"> </w:t>
      </w:r>
      <m:oMath>
        <m:d>
          <m:dPr>
            <m:begChr m:val="("/>
            <m:endChr m:val=")"/>
            <m:sepChr m:val=""/>
            <m:grow/>
          </m:dPr>
          <m:e>
            <m:r>
              <m:t>a</m:t>
            </m:r>
            <m:r>
              <m:rPr>
                <m:sty m:val="p"/>
              </m:rPr>
              <m:t>,</m:t>
            </m:r>
            <m:r>
              <m:t>b</m:t>
            </m:r>
          </m:e>
        </m:d>
        <m:r>
          <m:rPr>
            <m:sty m:val="p"/>
          </m:rPr>
          <m:t>=</m:t>
        </m:r>
        <m:d>
          <m:dPr>
            <m:begChr m:val="("/>
            <m:endChr m:val=")"/>
            <m:sepChr m:val=""/>
            <m:grow/>
          </m:dPr>
          <m:e>
            <m:r>
              <m:t>0</m:t>
            </m:r>
            <m:r>
              <m:rPr>
                <m:sty m:val="p"/>
              </m:rPr>
              <m:t>,</m:t>
            </m:r>
            <m:r>
              <m:t>1</m:t>
            </m:r>
          </m:e>
        </m:d>
      </m:oMath>
      <w:r>
        <w:t xml:space="preserve">.</w:t>
      </w:r>
    </w:p>
    <w:p>
      <w:pPr>
        <w:numPr>
          <w:ilvl w:val="0"/>
          <w:numId w:val="1002"/>
        </w:numPr>
      </w:pPr>
      <w:r>
        <w:t xml:space="preserve">SBC:</w:t>
      </w:r>
      <w:r>
        <w:t xml:space="preserve"> </w:t>
      </w:r>
      <m:oMath>
        <m:r>
          <m:t>g</m:t>
        </m:r>
      </m:oMath>
      <w:r>
        <w:t xml:space="preserve"> </w:t>
      </w:r>
      <w:r>
        <w:t xml:space="preserve">is the identity and</w:t>
      </w:r>
      <w:r>
        <w:t xml:space="preserve"> </w:t>
      </w:r>
      <m:oMath>
        <m:d>
          <m:dPr>
            <m:begChr m:val="("/>
            <m:endChr m:val=")"/>
            <m:sepChr m:val=""/>
            <m:grow/>
          </m:dPr>
          <m:e>
            <m:r>
              <m:t>a</m:t>
            </m:r>
            <m:r>
              <m:rPr>
                <m:sty m:val="p"/>
              </m:rPr>
              <m:t>,</m:t>
            </m:r>
            <m:r>
              <m:t>b</m:t>
            </m:r>
          </m:e>
        </m:d>
      </m:oMath>
      <w:r>
        <w:t xml:space="preserve"> </w:t>
      </w:r>
      <w:r>
        <w:t xml:space="preserve">come from the least-squares regression of</w:t>
      </w:r>
      <w:r>
        <w:t xml:space="preserve"> </w:t>
      </w:r>
      <m:oMath>
        <m:sSub>
          <m:e>
            <m:r>
              <m:t>y</m:t>
            </m:r>
          </m:e>
          <m:sub>
            <m:r>
              <m:t>i</m:t>
            </m:r>
          </m:sub>
        </m:sSub>
      </m:oMath>
      <w:r>
        <w:t xml:space="preserve"> </w:t>
      </w:r>
      <w:r>
        <w:t xml:space="preserve">on</w:t>
      </w:r>
      <w:r>
        <w:t xml:space="preserve"> </w:t>
      </w:r>
      <m:oMath>
        <m:r>
          <m:t>f</m:t>
        </m:r>
        <m:d>
          <m:dPr>
            <m:begChr m:val="("/>
            <m:endChr m:val=")"/>
            <m:sepChr m:val=""/>
            <m:grow/>
          </m:dPr>
          <m:e>
            <m:sSubSup>
              <m:e>
                <m:r>
                  <m:rPr>
                    <m:sty m:val="b"/>
                  </m:rPr>
                  <m:t>x</m:t>
                </m:r>
              </m:e>
              <m:sub>
                <m:r>
                  <m:t>i</m:t>
                </m:r>
              </m:sub>
              <m:sup>
                <m:r>
                  <m:t>T</m:t>
                </m:r>
              </m:sup>
            </m:sSubSup>
          </m:e>
        </m:d>
      </m:oMath>
      <w:r>
        <w:t xml:space="preserve">.</w:t>
      </w:r>
    </w:p>
    <w:p>
      <w:pPr>
        <w:numPr>
          <w:ilvl w:val="0"/>
          <w:numId w:val="1002"/>
        </w:numPr>
      </w:pPr>
      <w:r>
        <w:t xml:space="preserve">No transfer:</w:t>
      </w:r>
      <w:r>
        <w:t xml:space="preserve"> </w:t>
      </w:r>
      <m:oMath>
        <m:r>
          <m:t>μ</m:t>
        </m:r>
        <m:r>
          <m:rPr>
            <m:sty m:val="p"/>
          </m:rPr>
          <m:t>=</m:t>
        </m:r>
        <m:r>
          <m:t>f</m:t>
        </m:r>
      </m:oMath>
      <w:r>
        <w:t xml:space="preserve">.</w:t>
      </w:r>
    </w:p>
    <w:p>
      <w:pPr>
        <w:pStyle w:val="FirstParagraph"/>
      </w:pPr>
      <w:r>
        <w:t xml:space="preserve">For a new target sample</w:t>
      </w:r>
      <w:r>
        <w:t xml:space="preserve"> </w:t>
      </w:r>
      <m:oMath>
        <m:d>
          <m:dPr>
            <m:begChr m:val="("/>
            <m:endChr m:val=")"/>
            <m:sepChr m:val=""/>
            <m:grow/>
          </m:dPr>
          <m:e>
            <m:sSubSup>
              <m:e>
                <m:r>
                  <m:rPr>
                    <m:sty m:val="b"/>
                  </m:rPr>
                  <m:t>x</m:t>
                </m:r>
              </m:e>
              <m:sub>
                <m:r>
                  <m:t>m</m:t>
                </m:r>
                <m:r>
                  <m:rPr>
                    <m:sty m:val="p"/>
                  </m:rPr>
                  <m:t>+</m:t>
                </m:r>
                <m:r>
                  <m:t>1</m:t>
                </m:r>
              </m:sub>
              <m:sup>
                <m:r>
                  <m:t>T</m:t>
                </m:r>
              </m:sup>
            </m:sSubSup>
            <m:r>
              <m:rPr>
                <m:sty m:val="p"/>
              </m:rPr>
              <m:t>,</m:t>
            </m:r>
            <m:sSub>
              <m:e>
                <m:r>
                  <m:t>y</m:t>
                </m:r>
              </m:e>
              <m:sub>
                <m:r>
                  <m:t>m</m:t>
                </m:r>
                <m:r>
                  <m:rPr>
                    <m:sty m:val="p"/>
                  </m:rPr>
                  <m:t>+</m:t>
                </m:r>
                <m:r>
                  <m:t>1</m:t>
                </m:r>
              </m:sub>
            </m:sSub>
          </m:e>
        </m:d>
      </m:oMath>
      <w:r>
        <w:t xml:space="preserve"> </w:t>
      </w:r>
      <w:r>
        <w:t xml:space="preserve">we seek an interval</w:t>
      </w:r>
      <w:r>
        <w:t xml:space="preserve"> </w:t>
      </w:r>
      <m:oMath>
        <m:acc>
          <m:accPr>
            <m:chr m:val="̂"/>
          </m:accPr>
          <m:e>
            <m:r>
              <m:t>C</m:t>
            </m:r>
          </m:e>
        </m:acc>
        <m:d>
          <m:dPr>
            <m:begChr m:val="("/>
            <m:endChr m:val=")"/>
            <m:sepChr m:val=""/>
            <m:grow/>
          </m:dPr>
          <m:e>
            <m:sSubSup>
              <m:e>
                <m:r>
                  <m:rPr>
                    <m:sty m:val="b"/>
                  </m:rPr>
                  <m:t>x</m:t>
                </m:r>
              </m:e>
              <m:sub>
                <m:r>
                  <m:t>m</m:t>
                </m:r>
                <m:r>
                  <m:rPr>
                    <m:sty m:val="p"/>
                  </m:rPr>
                  <m:t>+</m:t>
                </m:r>
                <m:r>
                  <m:t>1</m:t>
                </m:r>
              </m:sub>
              <m:sup>
                <m:r>
                  <m:t>T</m:t>
                </m:r>
              </m:sup>
            </m:sSubSup>
          </m:e>
        </m:d>
      </m:oMath>
      <w:r>
        <w:t xml:space="preserve"> </w:t>
      </w:r>
      <w:r>
        <w:t xml:space="preserve">with</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α</m:t>
        </m:r>
      </m:oMath>
      <w:r>
        <w:t xml:space="preserve">, as narrow as possible.</w:t>
      </w:r>
    </w:p>
    <w:bookmarkEnd w:id="22"/>
    <w:bookmarkStart w:id="23" w:name="difficulty-function"/>
    <w:p>
      <w:pPr>
        <w:pStyle w:val="Heading2"/>
      </w:pPr>
      <w:r>
        <w:t xml:space="preserve">2.2. Difficulty function</w:t>
      </w:r>
    </w:p>
    <w:p>
      <w:pPr>
        <w:pStyle w:val="FirstParagraph"/>
      </w:pPr>
      <w:r>
        <w:t xml:space="preserve">A heteroscedastic, sample-specific scale is obtained from PLS diagnostics. For a (transferred) spectrum, let</w:t>
      </w:r>
      <w:r>
        <w:t xml:space="preserve"> </w:t>
      </w:r>
      <m:oMath>
        <m:sSup>
          <m:e>
            <m:r>
              <m:t>T</m:t>
            </m:r>
          </m:e>
          <m:sup>
            <m:r>
              <m:t>2</m:t>
            </m:r>
          </m:sup>
        </m:sSup>
        <m:d>
          <m:dPr>
            <m:begChr m:val="("/>
            <m:endChr m:val=")"/>
            <m:sepChr m:val=""/>
            <m:grow/>
          </m:dPr>
          <m:e>
            <m:r>
              <m:rPr>
                <m:sty m:val="b"/>
              </m:rPr>
              <m:t>x</m:t>
            </m:r>
          </m:e>
        </m:d>
        <m:r>
          <m:rPr>
            <m:sty m:val="p"/>
          </m:rPr>
          <m:t>=</m:t>
        </m:r>
        <m:nary>
          <m:naryPr>
            <m:chr m:val="∑"/>
            <m:limLoc m:val="undOvr"/>
            <m:subHide m:val="off"/>
            <m:supHide m:val="off"/>
          </m:naryPr>
          <m:sub>
            <m:r>
              <m:t>a</m:t>
            </m:r>
            <m:r>
              <m:rPr>
                <m:sty m:val="p"/>
              </m:rPr>
              <m:t>=</m:t>
            </m:r>
            <m:r>
              <m:t>1</m:t>
            </m:r>
          </m:sub>
          <m:sup>
            <m:r>
              <m:t>A</m:t>
            </m:r>
          </m:sup>
          <m:e>
            <m:sSubSup>
              <m:e>
                <m:r>
                  <m:t>t</m:t>
                </m:r>
              </m:e>
              <m:sub>
                <m:r>
                  <m:t>a</m:t>
                </m:r>
              </m:sub>
              <m:sup>
                <m:r>
                  <m:t>2</m:t>
                </m:r>
              </m:sup>
            </m:sSubSup>
          </m:e>
        </m:nary>
        <m:r>
          <m:rPr>
            <m:sty m:val="p"/>
          </m:rPr>
          <m:t>/</m:t>
        </m:r>
        <m:sSubSup>
          <m:e>
            <m:r>
              <m:t>s</m:t>
            </m:r>
          </m:e>
          <m:sub>
            <m:sSub>
              <m:e>
                <m:r>
                  <m:t>t</m:t>
                </m:r>
              </m:e>
              <m:sub>
                <m:r>
                  <m:t>a</m:t>
                </m:r>
              </m:sub>
            </m:sSub>
          </m:sub>
          <m:sup>
            <m:r>
              <m:t>2</m:t>
            </m:r>
          </m:sup>
        </m:sSubSup>
      </m:oMath>
      <w:r>
        <w:t xml:space="preserve"> </w:t>
      </w:r>
      <w:r>
        <w:t xml:space="preserve">(Hotelling T² in the</w:t>
      </w:r>
      <w:r>
        <w:t xml:space="preserve"> </w:t>
      </w:r>
      <m:oMath>
        <m:r>
          <m:t>A</m:t>
        </m:r>
      </m:oMath>
      <w:r>
        <w:t xml:space="preserve">-dimensional score space) and</w:t>
      </w:r>
      <w:r>
        <w:t xml:space="preserve"> </w:t>
      </w:r>
      <m:oMath>
        <m:r>
          <m:t>Q</m:t>
        </m:r>
        <m:d>
          <m:dPr>
            <m:begChr m:val="("/>
            <m:endChr m:val=")"/>
            <m:sepChr m:val=""/>
            <m:grow/>
          </m:dPr>
          <m:e>
            <m:r>
              <m:rPr>
                <m:sty m:val="b"/>
              </m:rPr>
              <m:t>x</m:t>
            </m:r>
          </m:e>
        </m:d>
        <m:r>
          <m:rPr>
            <m:sty m:val="p"/>
          </m:rPr>
          <m:t>=</m:t>
        </m:r>
        <m:r>
          <m:rPr>
            <m:sty m:val="p"/>
          </m:rPr>
          <m:t>∥</m:t>
        </m:r>
        <m:sSub>
          <m:e>
            <m:r>
              <m:rPr>
                <m:sty m:val="b"/>
              </m:rPr>
              <m:t>x</m:t>
            </m:r>
          </m:e>
          <m:sub>
            <m:r>
              <m:t>c</m:t>
            </m:r>
          </m:sub>
        </m:sSub>
        <m:r>
          <m:rPr>
            <m:sty m:val="p"/>
          </m:rPr>
          <m:t>−</m:t>
        </m:r>
        <m:r>
          <m:rPr>
            <m:sty m:val="b"/>
          </m:rPr>
          <m:t>t</m:t>
        </m:r>
        <m:sSup>
          <m:e>
            <m:r>
              <m:rPr>
                <m:sty m:val="b"/>
              </m:rPr>
              <m:t>P</m:t>
            </m:r>
          </m:e>
          <m:sup>
            <m:r>
              <m:rPr>
                <m:sty m:val="p"/>
                <m:scr m:val="sans-serif"/>
              </m:rPr>
              <m:t>T</m:t>
            </m:r>
          </m:sup>
        </m:sSup>
        <m:sSup>
          <m:e>
            <m:r>
              <m:rPr>
                <m:sty m:val="p"/>
              </m:rPr>
              <m:t>∥</m:t>
            </m:r>
          </m:e>
          <m:sup>
            <m:r>
              <m:t>2</m:t>
            </m:r>
          </m:sup>
        </m:sSup>
      </m:oMath>
      <w:r>
        <w:t xml:space="preserve"> </w:t>
      </w:r>
      <w:r>
        <w:t xml:space="preserve">(the squared spectral residual). We set</w:t>
      </w:r>
    </w:p>
    <w:p>
      <w:pPr>
        <w:pStyle w:val="BodyText"/>
      </w:pPr>
      <m:oMathPara>
        <m:oMathParaPr>
          <m:jc m:val="center"/>
        </m:oMathParaPr>
        <m:oMath>
          <m:r>
            <m:t>σ</m:t>
          </m:r>
          <m:d>
            <m:dPr>
              <m:begChr m:val="("/>
              <m:endChr m:val=")"/>
              <m:sepChr m:val=""/>
              <m:grow/>
            </m:dPr>
            <m:e>
              <m:r>
                <m:rPr>
                  <m:sty m:val="b"/>
                </m:rPr>
                <m:t>x</m:t>
              </m:r>
            </m:e>
          </m:d>
          <m:r>
            <m:rPr>
              <m:sty m:val="p"/>
            </m:rPr>
            <m:t>=</m:t>
          </m:r>
          <m:r>
            <m:rPr>
              <m:sty m:val="p"/>
            </m:rPr>
            <m:t>max</m:t>
          </m:r>
          <m:d>
            <m:dPr>
              <m:begChr m:val="{"/>
              <m:endChr m:val="}"/>
              <m:sepChr m:val=""/>
              <m:grow/>
            </m:dPr>
            <m:e>
              <m:r>
                <m:t>ε</m:t>
              </m:r>
              <m:r>
                <m:rPr>
                  <m:sty m:val="p"/>
                </m:rPr>
                <m:t>,</m:t>
              </m:r>
              <m:r>
                <m:t> </m:t>
              </m:r>
              <m:sSub>
                <m:e>
                  <m:r>
                    <m:t>c</m:t>
                  </m:r>
                </m:e>
                <m:sub>
                  <m:r>
                    <m:t>0</m:t>
                  </m:r>
                </m:sub>
              </m:sSub>
              <m:r>
                <m:rPr>
                  <m:sty m:val="p"/>
                </m:rPr>
                <m:t>+</m:t>
              </m:r>
              <m:sSub>
                <m:e>
                  <m:r>
                    <m:t>c</m:t>
                  </m:r>
                </m:e>
                <m:sub>
                  <m:r>
                    <m:t>1</m:t>
                  </m:r>
                </m:sub>
              </m:sSub>
              <m:rad>
                <m:radPr>
                  <m:degHide m:val="on"/>
                </m:radPr>
                <m:deg/>
                <m:e>
                  <m:sSup>
                    <m:e>
                      <m:r>
                        <m:t>T</m:t>
                      </m:r>
                    </m:e>
                    <m:sup>
                      <m:r>
                        <m:t>2</m:t>
                      </m:r>
                    </m:sup>
                  </m:sSup>
                  <m:d>
                    <m:dPr>
                      <m:begChr m:val="("/>
                      <m:endChr m:val=")"/>
                      <m:sepChr m:val=""/>
                      <m:grow/>
                    </m:dPr>
                    <m:e>
                      <m:r>
                        <m:rPr>
                          <m:sty m:val="b"/>
                        </m:rPr>
                        <m:t>x</m:t>
                      </m:r>
                    </m:e>
                  </m:d>
                </m:e>
              </m:rad>
              <m:r>
                <m:rPr>
                  <m:sty m:val="p"/>
                </m:rPr>
                <m:t>+</m:t>
              </m:r>
              <m:sSub>
                <m:e>
                  <m:r>
                    <m:t>c</m:t>
                  </m:r>
                </m:e>
                <m:sub>
                  <m:r>
                    <m:t>2</m:t>
                  </m:r>
                </m:sub>
              </m:sSub>
              <m:rad>
                <m:radPr>
                  <m:degHide m:val="on"/>
                </m:radPr>
                <m:deg/>
                <m:e>
                  <m:r>
                    <m:t>Q</m:t>
                  </m:r>
                  <m:d>
                    <m:dPr>
                      <m:begChr m:val="("/>
                      <m:endChr m:val=")"/>
                      <m:sepChr m:val=""/>
                      <m:grow/>
                    </m:dPr>
                    <m:e>
                      <m:r>
                        <m:rPr>
                          <m:sty m:val="b"/>
                        </m:rPr>
                        <m:t>x</m:t>
                      </m:r>
                    </m:e>
                  </m:d>
                </m:e>
              </m:rad>
            </m:e>
          </m:d>
          <m:r>
            <m:rPr>
              <m:sty m:val="p"/>
            </m:rPr>
            <m:t>,</m:t>
          </m:r>
          <m:r>
            <m:t>  </m:t>
          </m:r>
          <m:d>
            <m:dPr>
              <m:begChr m:val="("/>
              <m:endChr m:val=")"/>
              <m:sepChr m:val=""/>
              <m:grow/>
            </m:dPr>
            <m:e>
              <m:r>
                <m:t>2</m:t>
              </m:r>
            </m:e>
          </m:d>
        </m:oMath>
      </m:oMathPara>
    </w:p>
    <w:p>
      <w:pPr>
        <w:pStyle w:val="FirstParagraph"/>
      </w:pPr>
      <w:r>
        <w:t xml:space="preserve">with</w:t>
      </w:r>
      <w:r>
        <w:t xml:space="preserve"> </w:t>
      </w:r>
      <m:oMath>
        <m:sSub>
          <m:e>
            <m:r>
              <m:t>c</m:t>
            </m:r>
          </m:e>
          <m:sub>
            <m:r>
              <m:t>j</m:t>
            </m:r>
          </m:sub>
        </m:sSub>
        <m:r>
          <m:rPr>
            <m:sty m:val="p"/>
          </m:rPr>
          <m:t>≥</m:t>
        </m:r>
        <m:r>
          <m:t>0</m:t>
        </m:r>
      </m:oMath>
      <w:r>
        <w:t xml:space="preserve"> </w:t>
      </w:r>
      <w:r>
        <w:t xml:space="preserve">fitted by non-negative least squares to the absolute out-of-fold residuals of the source cross-validation, and</w:t>
      </w:r>
      <w:r>
        <w:t xml:space="preserve"> </w:t>
      </w:r>
      <m:oMath>
        <m:r>
          <m:t>ε</m:t>
        </m:r>
      </m:oMath>
      <w:r>
        <w:t xml:space="preserve"> </w:t>
      </w:r>
      <w:r>
        <w:t xml:space="preserve">equal to 5% of their median.</w:t>
      </w:r>
      <w:r>
        <w:t xml:space="preserve"> </w:t>
      </w:r>
      <m:oMath>
        <m:r>
          <m:t>σ</m:t>
        </m:r>
      </m:oMath>
      <w:r>
        <w:t xml:space="preserve"> </w:t>
      </w:r>
      <w:r>
        <w:t xml:space="preserve">is fixed</w:t>
      </w:r>
      <w:r>
        <w:t xml:space="preserve"> </w:t>
      </w:r>
      <w:r>
        <w:rPr>
          <w:bCs/>
          <w:b/>
        </w:rPr>
        <w:t xml:space="preserve">before</w:t>
      </w:r>
      <w:r>
        <w:t xml:space="preserve"> </w:t>
      </w:r>
      <w:r>
        <w:t xml:space="preserve">any target datum is used. Within TJ+N,</w:t>
      </w:r>
      <w:r>
        <w:t xml:space="preserve"> </w:t>
      </w:r>
      <m:oMath>
        <m:r>
          <m:t>σ</m:t>
        </m:r>
      </m:oMath>
      <w:r>
        <w:t xml:space="preserve"> </w:t>
      </w:r>
      <w:r>
        <w:t xml:space="preserve">is evaluated on the spectrum after the fold-specific transfer,</w:t>
      </w:r>
      <w:r>
        <w:t xml:space="preserve"> </w:t>
      </w:r>
      <m:oMath>
        <m:sSub>
          <m:e>
            <m:r>
              <m:t>σ</m:t>
            </m:r>
          </m:e>
          <m:sub>
            <m:r>
              <m:rPr>
                <m:sty m:val="p"/>
                <m:scr m:val="script"/>
              </m:rPr>
              <m:t>D</m:t>
            </m:r>
          </m:sub>
        </m:sSub>
        <m:d>
          <m:dPr>
            <m:begChr m:val="("/>
            <m:endChr m:val=")"/>
            <m:sepChr m:val=""/>
            <m:grow/>
          </m:dPr>
          <m:e>
            <m:r>
              <m:rPr>
                <m:sty m:val="b"/>
              </m:rPr>
              <m:t>x</m:t>
            </m:r>
          </m:e>
        </m:d>
        <m:r>
          <m:rPr>
            <m:sty m:val="p"/>
          </m:rPr>
          <m:t>=</m:t>
        </m:r>
        <m:r>
          <m:t>σ</m:t>
        </m:r>
        <m:d>
          <m:dPr>
            <m:begChr m:val="("/>
            <m:endChr m:val=")"/>
            <m:sepChr m:val=""/>
            <m:grow/>
          </m:dPr>
          <m:e>
            <m:sSub>
              <m:e>
                <m:r>
                  <m:t>g</m:t>
                </m:r>
              </m:e>
              <m:sub>
                <m:r>
                  <m:rPr>
                    <m:sty m:val="p"/>
                    <m:scr m:val="script"/>
                  </m:rPr>
                  <m:t>D</m:t>
                </m:r>
              </m:sub>
            </m:sSub>
            <m:d>
              <m:dPr>
                <m:begChr m:val="("/>
                <m:endChr m:val=")"/>
                <m:sepChr m:val=""/>
                <m:grow/>
              </m:dPr>
              <m:e>
                <m:r>
                  <m:rPr>
                    <m:sty m:val="b"/>
                  </m:rPr>
                  <m:t>x</m:t>
                </m:r>
              </m:e>
            </m:d>
          </m:e>
        </m:d>
      </m:oMath>
      <w:r>
        <w:t xml:space="preserve">. Spectra that are poorly reconstructed by the source model after transfer (large</w:t>
      </w:r>
      <w:r>
        <w:t xml:space="preserve"> </w:t>
      </w:r>
      <m:oMath>
        <m:r>
          <m:t>Q</m:t>
        </m:r>
      </m:oMath>
      <w:r>
        <w:t xml:space="preserve">), or that extrapolate in score space (large</w:t>
      </w:r>
      <w:r>
        <w:t xml:space="preserve"> </w:t>
      </w:r>
      <m:oMath>
        <m:sSup>
          <m:e>
            <m:r>
              <m:t>T</m:t>
            </m:r>
          </m:e>
          <m:sup>
            <m:r>
              <m:t>2</m:t>
            </m:r>
          </m:sup>
        </m:sSup>
      </m:oMath>
      <w:r>
        <w:t xml:space="preserve">), therefore receive wider intervals.</w:t>
      </w:r>
    </w:p>
    <w:bookmarkEnd w:id="23"/>
    <w:bookmarkStart w:id="24" w:name="transfer-jackknife-tj"/>
    <w:p>
      <w:pPr>
        <w:pStyle w:val="Heading2"/>
      </w:pPr>
      <w:r>
        <w:t xml:space="preserve">2.3. Transfer jackknife+ (TJ+)</w:t>
      </w:r>
    </w:p>
    <w:p>
      <w:pPr>
        <w:pStyle w:val="FirstParagraph"/>
      </w:pPr>
      <w:r>
        <w:t xml:space="preserve">For each</w:t>
      </w:r>
      <w:r>
        <w:t xml:space="preserve"> </w:t>
      </w:r>
      <m:oMath>
        <m:r>
          <m:t>i</m:t>
        </m:r>
      </m:oMath>
      <w:r>
        <w:t xml:space="preserve">, the transfer is re-fitted without standard</w:t>
      </w:r>
      <w:r>
        <w:t xml:space="preserve"> </w:t>
      </w:r>
      <m:oMath>
        <m:r>
          <m:t>i</m:t>
        </m:r>
      </m:oMath>
      <w:r>
        <w:t xml:space="preserve">, giving</w:t>
      </w:r>
      <w:r>
        <w:t xml:space="preserve"> </w:t>
      </w:r>
      <m:oMath>
        <m:sSub>
          <m:e>
            <m:r>
              <m:t>μ</m:t>
            </m:r>
          </m:e>
          <m:sub>
            <m:r>
              <m:rPr>
                <m:sty m:val="p"/>
              </m:rPr>
              <m:t>−</m:t>
            </m:r>
            <m:r>
              <m:t>i</m:t>
            </m:r>
          </m:sub>
        </m:sSub>
        <m:r>
          <m:rPr>
            <m:sty m:val="p"/>
          </m:rPr>
          <m:t>=</m:t>
        </m:r>
        <m:sSub>
          <m:e>
            <m:r>
              <m:t>μ</m:t>
            </m:r>
          </m:e>
          <m:sub>
            <m:r>
              <m:rPr>
                <m:sty m:val="p"/>
                <m:scr m:val="script"/>
              </m:rPr>
              <m:t>D</m:t>
            </m:r>
            <m:r>
              <m:rPr>
                <m:sty m:val="p"/>
              </m:rPr>
              <m:t>\</m:t>
            </m:r>
            <m:r>
              <m:rPr>
                <m:sty m:val="p"/>
              </m:rPr>
              <m:t>{</m:t>
            </m:r>
            <m:r>
              <m:t>i</m:t>
            </m:r>
            <m:r>
              <m:rPr>
                <m:sty m:val="p"/>
              </m:rPr>
              <m:t>}</m:t>
            </m:r>
          </m:sub>
        </m:sSub>
      </m:oMath>
      <w:r>
        <w:t xml:space="preserve"> </w:t>
      </w:r>
      <w:r>
        <w:t xml:space="preserve">and</w:t>
      </w:r>
      <w:r>
        <w:t xml:space="preserve"> </w:t>
      </w:r>
      <m:oMath>
        <m:sSub>
          <m:e>
            <m:r>
              <m:t>σ</m:t>
            </m:r>
          </m:e>
          <m:sub>
            <m:r>
              <m:rPr>
                <m:sty m:val="p"/>
              </m:rPr>
              <m:t>−</m:t>
            </m:r>
            <m:r>
              <m:t>i</m:t>
            </m:r>
          </m:sub>
        </m:sSub>
        <m:r>
          <m:rPr>
            <m:sty m:val="p"/>
          </m:rPr>
          <m:t>=</m:t>
        </m:r>
        <m:sSub>
          <m:e>
            <m:r>
              <m:t>σ</m:t>
            </m:r>
          </m:e>
          <m:sub>
            <m:r>
              <m:rPr>
                <m:sty m:val="p"/>
                <m:scr m:val="script"/>
              </m:rPr>
              <m:t>D</m:t>
            </m:r>
            <m:r>
              <m:rPr>
                <m:sty m:val="p"/>
              </m:rPr>
              <m:t>\</m:t>
            </m:r>
            <m:r>
              <m:rPr>
                <m:sty m:val="p"/>
              </m:rPr>
              <m:t>{</m:t>
            </m:r>
            <m:r>
              <m:t>i</m:t>
            </m:r>
            <m:r>
              <m:rPr>
                <m:sty m:val="p"/>
              </m:rPr>
              <m:t>}</m:t>
            </m:r>
          </m:sub>
        </m:sSub>
      </m:oMath>
      <w:r>
        <w:t xml:space="preserve">. The leave-one-standard-out normalised residuals are</w:t>
      </w:r>
    </w:p>
    <w:p>
      <w:pPr>
        <w:pStyle w:val="BodyText"/>
      </w:pPr>
      <m:oMathPara>
        <m:oMathParaPr>
          <m:jc m:val="center"/>
        </m:oMathParaPr>
        <m:oMath>
          <m:sSub>
            <m:e>
              <m:r>
                <m:t>R</m:t>
              </m:r>
            </m:e>
            <m:sub>
              <m:r>
                <m:t>i</m:t>
              </m:r>
            </m:sub>
          </m:sSub>
          <m:r>
            <m:rPr>
              <m:sty m:val="p"/>
            </m:rPr>
            <m:t>=</m:t>
          </m:r>
          <m:f>
            <m:fPr>
              <m:type m:val="bar"/>
            </m:fPr>
            <m:num>
              <m:r>
                <m:rPr>
                  <m:sty m:val="p"/>
                </m:rPr>
                <m:t>|</m:t>
              </m:r>
              <m:sSub>
                <m:e>
                  <m:r>
                    <m:t>y</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num>
            <m:den>
              <m:sSub>
                <m:e>
                  <m:r>
                    <m:t>σ</m:t>
                  </m:r>
                </m:e>
                <m:sub>
                  <m:r>
                    <m:rPr>
                      <m:sty m:val="p"/>
                    </m:rPr>
                    <m:t>−</m:t>
                  </m:r>
                  <m:r>
                    <m:t>i</m:t>
                  </m:r>
                </m:sub>
              </m:sSub>
              <m:d>
                <m:dPr>
                  <m:begChr m:val="("/>
                  <m:endChr m:val=")"/>
                  <m:sepChr m:val=""/>
                  <m:grow/>
                </m:dPr>
                <m:e>
                  <m:sSubSup>
                    <m:e>
                      <m:r>
                        <m:rPr>
                          <m:sty m:val="b"/>
                        </m:rPr>
                        <m:t>x</m:t>
                      </m:r>
                    </m:e>
                    <m:sub>
                      <m:r>
                        <m:t>i</m:t>
                      </m:r>
                    </m:sub>
                    <m:sup>
                      <m:r>
                        <m:t>T</m:t>
                      </m:r>
                    </m:sup>
                  </m:sSubSup>
                </m:e>
              </m:d>
            </m:den>
          </m:f>
          <m:r>
            <m:rPr>
              <m:sty m:val="p"/>
            </m:rPr>
            <m:t>,</m:t>
          </m:r>
          <m:r>
            <m:t>  </m:t>
          </m:r>
          <m:r>
            <m:t>i</m:t>
          </m:r>
          <m:r>
            <m:rPr>
              <m:sty m:val="p"/>
            </m:rPr>
            <m:t>=</m:t>
          </m:r>
          <m:r>
            <m:t>1</m:t>
          </m:r>
          <m:r>
            <m:rPr>
              <m:sty m:val="p"/>
            </m:rPr>
            <m:t>,</m:t>
          </m:r>
          <m:r>
            <m:rPr>
              <m:sty m:val="p"/>
            </m:rPr>
            <m:t>…</m:t>
          </m:r>
          <m:r>
            <m:rPr>
              <m:sty m:val="p"/>
            </m:rPr>
            <m:t>,</m:t>
          </m:r>
          <m:r>
            <m:t>m</m:t>
          </m:r>
          <m:r>
            <m:rPr>
              <m:sty m:val="p"/>
            </m:rPr>
            <m:t>.</m:t>
          </m:r>
          <m:r>
            <m:t>  </m:t>
          </m:r>
          <m:d>
            <m:dPr>
              <m:begChr m:val="("/>
              <m:endChr m:val=")"/>
              <m:sepChr m:val=""/>
              <m:grow/>
            </m:dPr>
            <m:e>
              <m:r>
                <m:t>3</m:t>
              </m:r>
            </m:e>
          </m:d>
        </m:oMath>
      </m:oMathPara>
    </w:p>
    <w:p>
      <w:pPr>
        <w:pStyle w:val="FirstParagraph"/>
      </w:pPr>
      <w:r>
        <w:t xml:space="preserve">The TJ+N interval for a new target spectrum</w:t>
      </w:r>
      <w:r>
        <w:t xml:space="preserve"> </w:t>
      </w:r>
      <m:oMath>
        <m:r>
          <m:rPr>
            <m:sty m:val="b"/>
          </m:rPr>
          <m:t>x</m:t>
        </m:r>
      </m:oMath>
      <w:r>
        <w:t xml:space="preserve"> </w:t>
      </w:r>
      <w:r>
        <w:t xml:space="preserve">is</w:t>
      </w:r>
    </w:p>
    <w:p>
      <w:pPr>
        <w:pStyle w:val="BodyText"/>
      </w:pPr>
      <m:oMathPara>
        <m:oMathParaPr>
          <m:jc m:val="center"/>
        </m:oMathParaPr>
        <m:oMath>
          <m:acc>
            <m:accPr>
              <m:chr m:val="̂"/>
            </m:accPr>
            <m:e>
              <m:r>
                <m:t>C</m:t>
              </m:r>
            </m:e>
          </m:acc>
          <m:d>
            <m:dPr>
              <m:begChr m:val="("/>
              <m:endChr m:val=")"/>
              <m:sepChr m:val=""/>
              <m:grow/>
            </m:dPr>
            <m:e>
              <m:r>
                <m:rPr>
                  <m:sty m:val="b"/>
                </m:rPr>
                <m:t>x</m:t>
              </m:r>
            </m:e>
          </m:d>
          <m:r>
            <m:rPr>
              <m:sty m:val="p"/>
            </m:rPr>
            <m:t>=</m:t>
          </m:r>
          <m:d>
            <m:dPr>
              <m:begChr m:val="["/>
              <m:endChr m:val="]"/>
              <m:sepChr m:val=""/>
              <m:grow/>
            </m:dPr>
            <m:e>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t> </m:t>
              </m:r>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t> </m:t>
              </m:r>
            </m:e>
          </m:d>
          <m:r>
            <m:rPr>
              <m:sty m:val="p"/>
            </m:rPr>
            <m:t>,</m:t>
          </m:r>
          <m:r>
            <m:t>  </m:t>
          </m:r>
          <m:d>
            <m:dPr>
              <m:begChr m:val="("/>
              <m:endChr m:val=")"/>
              <m:sepChr m:val=""/>
              <m:grow/>
            </m:dPr>
            <m:e>
              <m:r>
                <m:t>4</m:t>
              </m:r>
            </m:e>
          </m:d>
        </m:oMath>
      </m:oMathPara>
    </w:p>
    <w:p>
      <w:pPr>
        <w:pStyle w:val="FirstParagraph"/>
      </w:pPr>
      <w:r>
        <w:t xml:space="preserve">where</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 of</w:t>
      </w:r>
      <w:r>
        <w:t xml:space="preserve"> </w:t>
      </w:r>
      <m:oMath>
        <m:sSub>
          <m:e>
            <m:r>
              <m:t>v</m:t>
            </m:r>
          </m:e>
          <m:sub>
            <m:r>
              <m:t>1</m:t>
            </m:r>
          </m:sub>
        </m:sSub>
        <m:r>
          <m:rPr>
            <m:sty m:val="p"/>
          </m:rPr>
          <m:t>,</m:t>
        </m:r>
        <m:r>
          <m:rPr>
            <m:sty m:val="p"/>
          </m:rPr>
          <m:t>…</m:t>
        </m:r>
        <m:r>
          <m:rPr>
            <m:sty m:val="p"/>
          </m:rPr>
          <m:t>,</m:t>
        </m:r>
        <m:sSub>
          <m:e>
            <m:r>
              <m:t>v</m:t>
            </m:r>
          </m:e>
          <m:sub>
            <m:r>
              <m:t>m</m:t>
            </m:r>
          </m:sub>
        </m:sSub>
      </m:oMath>
      <w:r>
        <w:t xml:space="preserve"> </w:t>
      </w:r>
      <w:r>
        <w:t xml:space="preserve">(and</w:t>
      </w:r>
      <w:r>
        <w:t xml:space="preserve"> </w:t>
      </w:r>
      <m:oMath>
        <m:r>
          <m:rPr>
            <m:sty m:val="p"/>
          </m:rPr>
          <m:t>+</m:t>
        </m:r>
        <m:r>
          <m:rPr>
            <m:sty m:val="p"/>
          </m:rPr>
          <m:t>∞</m:t>
        </m:r>
      </m:oMath>
      <w:r>
        <w:t xml:space="preserve"> </w:t>
      </w:r>
      <w:r>
        <w:t xml:space="preserve">if this rank exceeds</w:t>
      </w:r>
      <w:r>
        <w:t xml:space="preserve"> </w:t>
      </w:r>
      <m:oMath>
        <m:r>
          <m:t>m</m:t>
        </m:r>
      </m:oMath>
      <w:r>
        <w:t xml:space="preserve">), and</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r>
          <m:t>α</m:t>
        </m:r>
        <m:d>
          <m:dPr>
            <m:begChr m:val="("/>
            <m:endChr m:val=")"/>
            <m:sepChr m:val=""/>
            <m:grow/>
          </m:dPr>
          <m:e>
            <m:r>
              <m:t>m</m:t>
            </m:r>
            <m:r>
              <m:rPr>
                <m:sty m:val="p"/>
              </m:rPr>
              <m:t>+</m:t>
            </m:r>
            <m:r>
              <m:t>1</m:t>
            </m:r>
          </m:e>
        </m:d>
        <m:r>
          <m:rPr>
            <m:sty m:val="p"/>
          </m:rPr>
          <m:t>⌋</m:t>
        </m:r>
      </m:oMath>
      <w:r>
        <w:t xml:space="preserve">-th smallest (and</w:t>
      </w:r>
      <w:r>
        <w:t xml:space="preserve"> </w:t>
      </w:r>
      <m:oMath>
        <m:r>
          <m:rPr>
            <m:sty m:val="p"/>
          </m:rPr>
          <m:t>−</m:t>
        </m:r>
        <m:r>
          <m:rPr>
            <m:sty m:val="p"/>
          </m:rPr>
          <m:t>∞</m:t>
        </m:r>
      </m:oMath>
      <w:r>
        <w:t xml:space="preserve"> </w:t>
      </w:r>
      <w:r>
        <w:t xml:space="preserve">if this rank is below 1). The unnormalised variant TJ+ uses</w:t>
      </w:r>
      <w:r>
        <w:t xml:space="preserve"> </w:t>
      </w:r>
      <m:oMath>
        <m:r>
          <m:t>σ</m:t>
        </m:r>
        <m:r>
          <m:rPr>
            <m:sty m:val="p"/>
          </m:rPr>
          <m:t>≡</m:t>
        </m:r>
        <m:r>
          <m:t>1</m:t>
        </m:r>
      </m:oMath>
      <w:r>
        <w:t xml:space="preserve">. The source model</w:t>
      </w:r>
      <w:r>
        <w:t xml:space="preserve"> </w:t>
      </w:r>
      <m:oMath>
        <m:r>
          <m:t>f</m:t>
        </m:r>
      </m:oMath>
      <w:r>
        <w:t xml:space="preserve"> </w:t>
      </w:r>
      <w:r>
        <w:t xml:space="preserve">is</w:t>
      </w:r>
      <w:r>
        <w:t xml:space="preserve"> </w:t>
      </w:r>
      <w:r>
        <w:rPr>
          <w:bCs/>
          <w:b/>
        </w:rPr>
        <w:t xml:space="preserve">never</w:t>
      </w:r>
      <w:r>
        <w:t xml:space="preserve"> </w:t>
      </w:r>
      <w:r>
        <w:t xml:space="preserve">re-fitted; only the transfer step is.</w:t>
      </w:r>
    </w:p>
    <w:p>
      <w:pPr>
        <w:pStyle w:val="BodyText"/>
      </w:pPr>
      <w:r>
        <w:rPr>
          <w:bCs/>
          <w:b/>
        </w:rPr>
        <w:t xml:space="preserve">Proposition 1.</w:t>
      </w:r>
      <w:r>
        <w:t xml:space="preserve"> </w:t>
      </w:r>
      <w:r>
        <w:rPr>
          <w:iCs/>
          <w:i/>
        </w:rPr>
        <w:t xml:space="preserve">Suppose that</w:t>
      </w:r>
      <w:r>
        <w:rPr>
          <w:iCs/>
          <w:i/>
        </w:rPr>
        <w:t xml:space="preserve"> </w:t>
      </w:r>
      <m:oMath>
        <m:sSub>
          <m:e>
            <m:r>
              <m:t>Z</m:t>
            </m:r>
          </m:e>
          <m:sub>
            <m:r>
              <m:t>1</m:t>
            </m:r>
          </m:sub>
        </m:sSub>
        <m:r>
          <m:rPr>
            <m:sty m:val="p"/>
          </m:rPr>
          <m:t>,</m:t>
        </m:r>
        <m:r>
          <m:rPr>
            <m:sty m:val="p"/>
          </m:rPr>
          <m:t>…</m:t>
        </m:r>
        <m:r>
          <m:rPr>
            <m:sty m:val="p"/>
          </m:rPr>
          <m:t>,</m:t>
        </m:r>
        <m:sSub>
          <m:e>
            <m:r>
              <m:t>Z</m:t>
            </m:r>
          </m:e>
          <m:sub>
            <m:r>
              <m:t>m</m:t>
            </m:r>
            <m:r>
              <m:rPr>
                <m:sty m:val="p"/>
              </m:rPr>
              <m:t>+</m:t>
            </m:r>
            <m:r>
              <m:t>1</m:t>
            </m:r>
          </m:sub>
        </m:sSub>
      </m:oMath>
      <w:r>
        <w:rPr>
          <w:iCs/>
          <w:i/>
        </w:rPr>
        <w:t xml:space="preserve"> </w:t>
      </w:r>
      <w:r>
        <w:rPr>
          <w:iCs/>
          <w:i/>
        </w:rPr>
        <w:t xml:space="preserve">are exchangeable. This holds, for example, when the standards and the future sample are drawn at random from the same target population. Suppose also that</w:t>
      </w:r>
      <w:r>
        <w:rPr>
          <w:iCs/>
          <w:i/>
        </w:rPr>
        <w:t xml:space="preserve"> </w:t>
      </w:r>
      <m:oMath>
        <m:r>
          <m:rPr>
            <m:sty m:val="p"/>
            <m:scr m:val="script"/>
          </m:rPr>
          <m:t>T</m:t>
        </m:r>
      </m:oMath>
      <w:r>
        <w:rPr>
          <w:iCs/>
          <w:i/>
        </w:rPr>
        <w:t xml:space="preserve"> </w:t>
      </w:r>
      <w:r>
        <w:rPr>
          <w:iCs/>
          <w:i/>
        </w:rPr>
        <w:t xml:space="preserve">treats its input standards symmetrically, and that</w:t>
      </w:r>
      <w:r>
        <w:rPr>
          <w:iCs/>
          <w:i/>
        </w:rPr>
        <w:t xml:space="preserve"> </w:t>
      </w:r>
      <m:oMath>
        <m:r>
          <m:t>f</m:t>
        </m:r>
      </m:oMath>
      <w:r>
        <w:rPr>
          <w:iCs/>
          <w:i/>
        </w:rPr>
        <w:t xml:space="preserve"> </w:t>
      </w:r>
      <w:r>
        <w:rPr>
          <w:iCs/>
          <w:i/>
        </w:rPr>
        <w:t xml:space="preserve">and</w:t>
      </w:r>
      <w:r>
        <w:rPr>
          <w:iCs/>
          <w:i/>
        </w:rPr>
        <w:t xml:space="preserve"> </w:t>
      </w:r>
      <m:oMath>
        <m:r>
          <m:t>σ</m:t>
        </m:r>
      </m:oMath>
      <w:r>
        <w:rPr>
          <w:iCs/>
          <w:i/>
        </w:rPr>
        <w:t xml:space="preserve"> </w:t>
      </w:r>
      <w:r>
        <w:rPr>
          <w:iCs/>
          <w:i/>
        </w:rPr>
        <w:t xml:space="preserve">do not depend on the target data. Then</w:t>
      </w:r>
      <w:r>
        <w:rPr>
          <w:iCs/>
          <w:i/>
        </w:rP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2</m:t>
        </m:r>
        <m:r>
          <m:t>α</m:t>
        </m:r>
      </m:oMath>
      <w:r>
        <w:rPr>
          <w:iCs/>
          <w:i/>
        </w:rPr>
        <w:t xml:space="preserve">.</w:t>
      </w:r>
    </w:p>
    <w:p>
      <w:pPr>
        <w:pStyle w:val="BodyText"/>
      </w:pPr>
      <w:r>
        <w:rPr>
          <w:iCs/>
          <w:i/>
        </w:rPr>
        <w:t xml:space="preserve">Proof sketch.</w:t>
      </w:r>
      <w:r>
        <w:t xml:space="preserve"> </w:t>
      </w:r>
      <w:r>
        <w:t xml:space="preserve">Fix the source model and</w:t>
      </w:r>
      <w:r>
        <w:t xml:space="preserve"> </w:t>
      </w:r>
      <m:oMath>
        <m:r>
          <m:t>σ</m:t>
        </m:r>
      </m:oMath>
      <w:r>
        <w:t xml:space="preserve">, and view</w:t>
      </w:r>
      <w:r>
        <w:t xml:space="preserve"> </w:t>
      </w:r>
      <m:oMath>
        <m:r>
          <m:rPr>
            <m:sty m:val="p"/>
            <m:scr m:val="script"/>
          </m:rPr>
          <m:t>A</m:t>
        </m:r>
        <m:r>
          <m:rPr>
            <m:sty m:val="p"/>
          </m:rPr>
          <m:t>:</m:t>
        </m:r>
        <m:r>
          <m:rPr>
            <m:sty m:val="p"/>
            <m:scr m:val="script"/>
          </m:rPr>
          <m:t>D</m:t>
        </m:r>
        <m:r>
          <m:rPr>
            <m:sty m:val="p"/>
          </m:rPr>
          <m:t>↦</m:t>
        </m:r>
        <m:d>
          <m:dPr>
            <m:begChr m:val="("/>
            <m:endChr m:val=")"/>
            <m:sepChr m:val=""/>
            <m:grow/>
          </m:dPr>
          <m:e>
            <m:sSub>
              <m:e>
                <m:r>
                  <m:t>μ</m:t>
                </m:r>
              </m:e>
              <m:sub>
                <m:r>
                  <m:rPr>
                    <m:sty m:val="p"/>
                    <m:scr m:val="script"/>
                  </m:rPr>
                  <m:t>D</m:t>
                </m:r>
              </m:sub>
            </m:sSub>
            <m:r>
              <m:rPr>
                <m:sty m:val="p"/>
              </m:rPr>
              <m:t>,</m:t>
            </m:r>
            <m:sSub>
              <m:e>
                <m:r>
                  <m:t>σ</m:t>
                </m:r>
              </m:e>
              <m:sub>
                <m:r>
                  <m:rPr>
                    <m:sty m:val="p"/>
                    <m:scr m:val="script"/>
                  </m:rPr>
                  <m:t>D</m:t>
                </m:r>
              </m:sub>
            </m:sSub>
          </m:e>
        </m:d>
      </m:oMath>
      <w:r>
        <w:t xml:space="preserve"> </w:t>
      </w:r>
      <w:r>
        <w:t xml:space="preserve">as a symmetric regression algorithm acting on the augmented standards. Define, for</w:t>
      </w:r>
      <w:r>
        <w:t xml:space="preserve"> </w:t>
      </w:r>
      <m:oMath>
        <m:r>
          <m:t>i</m:t>
        </m:r>
        <m:r>
          <m:rPr>
            <m:sty m:val="p"/>
          </m:rPr>
          <m:t>≠</m:t>
        </m:r>
        <m:r>
          <m:t>j</m:t>
        </m:r>
      </m:oMath>
      <w:r>
        <w:t xml:space="preserve">, the score of point</w:t>
      </w:r>
      <w:r>
        <w:t xml:space="preserve"> </w:t>
      </w:r>
      <m:oMath>
        <m:r>
          <m:t>i</m:t>
        </m:r>
      </m:oMath>
      <w:r>
        <w:t xml:space="preserve"> </w:t>
      </w:r>
      <w:r>
        <w:t xml:space="preserve">under the fit without</w:t>
      </w:r>
      <w:r>
        <w:t xml:space="preserve"> </w:t>
      </w:r>
      <m:oMath>
        <m:r>
          <m:rPr>
            <m:sty m:val="p"/>
          </m:rPr>
          <m:t>{</m:t>
        </m:r>
        <m:r>
          <m:t>i</m:t>
        </m:r>
        <m:r>
          <m:rPr>
            <m:sty m:val="p"/>
          </m:rPr>
          <m:t>,</m:t>
        </m:r>
        <m:r>
          <m:t>j</m:t>
        </m:r>
        <m:r>
          <m:rPr>
            <m:sty m:val="p"/>
          </m:rPr>
          <m:t>}</m:t>
        </m:r>
      </m:oMath>
      <w:r>
        <w:t xml:space="preserve">,</w:t>
      </w:r>
      <w:r>
        <w:t xml:space="preserve"> </w:t>
      </w:r>
      <m:oMath>
        <m:sSub>
          <m:e>
            <m:r>
              <m:t>R</m:t>
            </m:r>
          </m:e>
          <m:sub>
            <m:r>
              <m:t>i</m:t>
            </m:r>
            <m:r>
              <m:t>j</m:t>
            </m:r>
          </m:sub>
        </m:sSub>
        <m:r>
          <m:rPr>
            <m:sty m:val="p"/>
          </m:rPr>
          <m:t>=</m:t>
        </m:r>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r>
          <m:rPr>
            <m:sty m:val="p"/>
          </m:rPr>
          <m:t>|</m:t>
        </m:r>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The tournament argument of Barber et al.</w:t>
      </w:r>
      <w:r>
        <w:t xml:space="preserve"> </w:t>
      </w:r>
      <w:r>
        <w:t xml:space="preserve">[30, Thm. 1]</w:t>
      </w:r>
      <w:r>
        <w:t xml:space="preserve"> </w:t>
      </w:r>
      <w:r>
        <w:t xml:space="preserve">uses only the exchangeability of the matrix</w:t>
      </w:r>
      <w:r>
        <w:t xml:space="preserve"> </w:t>
      </w:r>
      <m:oMath>
        <m:d>
          <m:dPr>
            <m:begChr m:val="("/>
            <m:endChr m:val=")"/>
            <m:sepChr m:val=""/>
            <m:grow/>
          </m:dPr>
          <m:e>
            <m:sSub>
              <m:e>
                <m:r>
                  <m:t>R</m:t>
                </m:r>
              </m:e>
              <m:sub>
                <m:r>
                  <m:t>i</m:t>
                </m:r>
                <m:r>
                  <m:t>j</m:t>
                </m:r>
              </m:sub>
            </m:sSub>
          </m:e>
        </m:d>
      </m:oMath>
      <w:r>
        <w:t xml:space="preserve">, which follows from exchangeability of the</w:t>
      </w:r>
      <w:r>
        <w:t xml:space="preserve"> </w:t>
      </w:r>
      <m:oMath>
        <m:sSub>
          <m:e>
            <m:r>
              <m:t>Z</m:t>
            </m:r>
          </m:e>
          <m:sub>
            <m:r>
              <m:t>i</m:t>
            </m:r>
          </m:sub>
        </m:sSub>
      </m:oMath>
      <w:r>
        <w:t xml:space="preserve"> </w:t>
      </w:r>
      <w:r>
        <w:t xml:space="preserve">and the symmetry of</w:t>
      </w:r>
      <w:r>
        <w:t xml:space="preserve"> </w:t>
      </w:r>
      <m:oMath>
        <m:r>
          <m:rPr>
            <m:sty m:val="p"/>
            <m:scr m:val="script"/>
          </m:rPr>
          <m:t>A</m:t>
        </m:r>
      </m:oMath>
      <w:r>
        <w:t xml:space="preserve">. If</w:t>
      </w:r>
      <w:r>
        <w:t xml:space="preserve"> </w:t>
      </w:r>
      <m:oMath>
        <m:sSub>
          <m:e>
            <m:r>
              <m:t>y</m:t>
            </m:r>
          </m:e>
          <m:sub>
            <m:r>
              <m:t>m</m:t>
            </m:r>
            <m:r>
              <m:rPr>
                <m:sty m:val="p"/>
              </m:rPr>
              <m:t>+</m:t>
            </m:r>
            <m:r>
              <m:t>1</m:t>
            </m:r>
          </m:sub>
        </m:sSub>
        <m:r>
          <m:rPr>
            <m:sty m:val="p"/>
          </m:rPr>
          <m:t>∉</m:t>
        </m:r>
        <m:acc>
          <m:accPr>
            <m:chr m:val="̂"/>
          </m:accPr>
          <m:e>
            <m:r>
              <m:t>C</m:t>
            </m:r>
          </m:e>
        </m:acc>
      </m:oMath>
      <w:r>
        <w:t xml:space="preserve">, then</w:t>
      </w:r>
      <w:r>
        <w:t xml:space="preserv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 By that argument this event has probability at most</w:t>
      </w:r>
      <w:r>
        <w:t xml:space="preserve"> </w:t>
      </w:r>
      <m:oMath>
        <m:r>
          <m:t>2</m:t>
        </m:r>
        <m:r>
          <m:t>α</m:t>
        </m:r>
      </m:oMath>
      <w:r>
        <w:t xml:space="preserve">. Normalisation by a scale fitted together with</w:t>
      </w:r>
      <w:r>
        <w:t xml:space="preserve"> </w:t>
      </w:r>
      <m:oMath>
        <m:r>
          <m:t>μ</m:t>
        </m:r>
      </m:oMath>
      <w:r>
        <w:t xml:space="preserve"> </w:t>
      </w:r>
      <w:r>
        <w:t xml:space="preserve">does not alter the argument, because the score remains a fixed function of the point and of the fit that excludes it.</w:t>
      </w:r>
      <w:r>
        <w:t xml:space="preserve"> </w:t>
      </w:r>
      <m:oMath>
        <m:r>
          <m:rPr>
            <m:sty m:val="p"/>
          </m:rPr>
          <m:t>▫</m:t>
        </m:r>
      </m:oMath>
    </w:p>
    <w:p>
      <w:pPr>
        <w:pStyle w:val="BodyText"/>
      </w:pPr>
      <w:r>
        <w:t xml:space="preserve">Three remarks clarify the scope of the guarantee.</w:t>
      </w:r>
    </w:p>
    <w:p>
      <w:pPr>
        <w:numPr>
          <w:ilvl w:val="0"/>
          <w:numId w:val="1003"/>
        </w:numPr>
      </w:pPr>
      <w:r>
        <w:rPr>
          <w:bCs/>
          <w:b/>
        </w:rPr>
        <w:t xml:space="preserve">No transfer step.</w:t>
      </w:r>
      <w:r>
        <w:t xml:space="preserve"> </w:t>
      </w:r>
      <w:r>
        <w:t xml:space="preserve">When there is no transfer (</w:t>
      </w:r>
      <m:oMath>
        <m:sSub>
          <m:e>
            <m:r>
              <m:t>μ</m:t>
            </m:r>
          </m:e>
          <m:sub>
            <m:r>
              <m:rPr>
                <m:sty m:val="p"/>
              </m:rPr>
              <m:t>−</m:t>
            </m:r>
            <m:r>
              <m:t>i</m:t>
            </m:r>
          </m:sub>
        </m:sSub>
        <m:r>
          <m:rPr>
            <m:sty m:val="p"/>
          </m:rPr>
          <m:t>=</m:t>
        </m:r>
        <m:r>
          <m:t>f</m:t>
        </m:r>
      </m:oMath>
      <w:r>
        <w:t xml:space="preserve">), TJ+ reduces to split conformal prediction that uses</w:t>
      </w:r>
      <w:r>
        <w:t xml:space="preserve"> </w:t>
      </w:r>
      <w:r>
        <w:rPr>
          <w:iCs/>
          <w:i/>
        </w:rPr>
        <w:t xml:space="preserve">all</w:t>
      </w:r>
      <w:r>
        <w:t xml:space="preserve"> </w:t>
      </w:r>
      <m:oMath>
        <m:r>
          <m:t>m</m:t>
        </m:r>
      </m:oMath>
      <w:r>
        <w:t xml:space="preserve"> </w:t>
      </w:r>
      <w:r>
        <w:t xml:space="preserve">standards for calibration, with exact</w:t>
      </w:r>
      <w:r>
        <w:t xml:space="preserve"> </w:t>
      </w:r>
      <m:oMath>
        <m:r>
          <m:t>1</m:t>
        </m:r>
        <m:r>
          <m:rPr>
            <m:sty m:val="p"/>
          </m:rPr>
          <m:t>−</m:t>
        </m:r>
        <m:r>
          <m:t>α</m:t>
        </m:r>
      </m:oMath>
      <w:r>
        <w:t xml:space="preserve"> </w:t>
      </w:r>
      <w:r>
        <w:t xml:space="preserve">coverage.</w:t>
      </w:r>
    </w:p>
    <w:p>
      <w:pPr>
        <w:numPr>
          <w:ilvl w:val="0"/>
          <w:numId w:val="1003"/>
        </w:numPr>
      </w:pPr>
      <w:r>
        <w:rPr>
          <w:bCs/>
          <w:b/>
        </w:rPr>
        <w:t xml:space="preserve">Minimum number of standards.</w:t>
      </w:r>
      <w:r>
        <w:t xml:space="preserve"> </w:t>
      </w:r>
      <w:r>
        <w:t xml:space="preserve">Finite upper bounds require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r>
          <m:rPr>
            <m:sty m:val="p"/>
          </m:rPr>
          <m:t>≤</m:t>
        </m:r>
        <m:r>
          <m:t>m</m:t>
        </m:r>
      </m:oMath>
      <w:r>
        <w:t xml:space="preserve">, i.e. </w:t>
      </w:r>
      <m:oMath>
        <m:r>
          <m:t>m</m:t>
        </m:r>
        <m:r>
          <m:rPr>
            <m:sty m:val="p"/>
          </m:rPr>
          <m:t>≥</m:t>
        </m:r>
        <m:r>
          <m:t>9</m:t>
        </m:r>
      </m:oMath>
      <w:r>
        <w:t xml:space="preserve"> </w:t>
      </w:r>
      <w:r>
        <w:t xml:space="preserve">for α = 0.1 and</w:t>
      </w:r>
      <w:r>
        <w:t xml:space="preserve"> </w:t>
      </w:r>
      <m:oMath>
        <m:r>
          <m:t>m</m:t>
        </m:r>
        <m:r>
          <m:rPr>
            <m:sty m:val="p"/>
          </m:rPr>
          <m:t>≥</m:t>
        </m:r>
        <m:r>
          <m:t>19</m:t>
        </m:r>
      </m:oMath>
      <w:r>
        <w:t xml:space="preserve"> </w:t>
      </w:r>
      <w:r>
        <w:t xml:space="preserve">for α = 0.05. Splitting the standards in half (SCP-T-split, §2.4) needs twice as many.</w:t>
      </w:r>
    </w:p>
    <w:p>
      <w:pPr>
        <w:numPr>
          <w:ilvl w:val="0"/>
          <w:numId w:val="1003"/>
        </w:numPr>
      </w:pPr>
      <w:r>
        <w:rPr>
          <w:bCs/>
          <w:b/>
        </w:rPr>
        <w:t xml:space="preserve">Conditions are not automatic.</w:t>
      </w:r>
      <w:r>
        <w:t xml:space="preserve"> </w:t>
      </w:r>
      <w:r>
        <w:t xml:space="preserve">Exchangeability is a property of how the standards are chosen. Representative-design selection, such as Kennard–Stone</w:t>
      </w:r>
      <w:r>
        <w:t xml:space="preserve"> </w:t>
      </w:r>
      <w:r>
        <w:t xml:space="preserve">[31]</w:t>
      </w:r>
      <w:r>
        <w:t xml:space="preserve">, is not covered by Proposition 1 and is examined empirically (§4.4). The bound is also marginal: it holds on average over the draw of standards and the test sample, not conditionally on a particular set of standards.</w:t>
      </w:r>
    </w:p>
    <w:bookmarkEnd w:id="24"/>
    <w:bookmarkStart w:id="25" w:name="comparison-methods"/>
    <w:p>
      <w:pPr>
        <w:pStyle w:val="Heading2"/>
      </w:pPr>
      <w:r>
        <w:t xml:space="preserve">2.4. Comparison methods</w:t>
      </w:r>
    </w:p>
    <w:p>
      <w:pPr>
        <w:pStyle w:val="FirstParagraph"/>
      </w:pPr>
      <w:r>
        <w:t xml:space="preserve">All methods share the same deployed point predictor</w:t>
      </w:r>
      <w:r>
        <w:t xml:space="preserve"> </w:t>
      </w:r>
      <m:oMath>
        <m:sSub>
          <m:e>
            <m:r>
              <m:t>μ</m:t>
            </m:r>
          </m:e>
          <m:sub>
            <m:r>
              <m:rPr>
                <m:sty m:val="p"/>
                <m:scr m:val="script"/>
              </m:rPr>
              <m:t>D</m:t>
            </m:r>
          </m:sub>
        </m:sSub>
      </m:oMath>
      <w:r>
        <w:t xml:space="preserve"> </w:t>
      </w:r>
      <w:r>
        <w:t xml:space="preserve">fitted on all</w:t>
      </w:r>
      <w:r>
        <w:t xml:space="preserve"> </w:t>
      </w:r>
      <m:oMath>
        <m:r>
          <m:t>m</m:t>
        </m:r>
      </m:oMath>
      <w:r>
        <w:t xml:space="preserve"> </w:t>
      </w:r>
      <w:r>
        <w:t xml:space="preserve">standards. They differ only in the interval.</w:t>
      </w:r>
    </w:p>
    <w:p>
      <w:pPr>
        <w:numPr>
          <w:ilvl w:val="0"/>
          <w:numId w:val="1004"/>
        </w:numPr>
      </w:pPr>
      <w:r>
        <w:rPr>
          <w:bCs/>
          <w:b/>
        </w:rPr>
        <w:t xml:space="preserve">ASTM-PI</w:t>
      </w:r>
      <w:r>
        <w:t xml:space="preserve"> </w:t>
      </w:r>
      <w:r>
        <w:t xml:space="preserve">(classical parametric):</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n</m:t>
            </m:r>
            <m:r>
              <m:rPr>
                <m:sty m:val="p"/>
              </m:rPr>
              <m:t>−</m:t>
            </m:r>
            <m:r>
              <m:t>A</m:t>
            </m:r>
            <m:r>
              <m:rPr>
                <m:sty m:val="p"/>
              </m:rPr>
              <m:t>−</m:t>
            </m:r>
            <m:r>
              <m:t>1</m:t>
            </m:r>
          </m:sub>
        </m:sSub>
        <m:r>
          <m:t> </m:t>
        </m:r>
        <m:r>
          <m:rPr>
            <m:sty m:val="p"/>
          </m:rPr>
          <m:t>S</m:t>
        </m:r>
        <m:r>
          <m:rPr>
            <m:sty m:val="p"/>
          </m:rPr>
          <m:t>E</m:t>
        </m:r>
        <m:r>
          <m:rPr>
            <m:sty m:val="p"/>
          </m:rPr>
          <m:t>C</m:t>
        </m:r>
        <m:rad>
          <m:radPr>
            <m:degHide m:val="on"/>
          </m:radPr>
          <m:deg/>
          <m:e>
            <m:r>
              <m:t>1</m:t>
            </m:r>
            <m:r>
              <m:rPr>
                <m:sty m:val="p"/>
              </m:rPr>
              <m:t>+</m:t>
            </m:r>
            <m:r>
              <m:t>h</m:t>
            </m:r>
            <m:d>
              <m:dPr>
                <m:begChr m:val="("/>
                <m:endChr m:val=")"/>
                <m:sepChr m:val=""/>
                <m:grow/>
              </m:dPr>
              <m:e>
                <m:r>
                  <m:rPr>
                    <m:sty m:val="b"/>
                  </m:rPr>
                  <m:t>x</m:t>
                </m:r>
              </m:e>
            </m:d>
          </m:e>
        </m:rad>
      </m:oMath>
      <w:r>
        <w:t xml:space="preserve">, with the source standard error of calibration and the leverage</w:t>
      </w:r>
      <w:r>
        <w:t xml:space="preserve"> </w:t>
      </w:r>
      <m:oMath>
        <m:r>
          <m:t>h</m:t>
        </m:r>
      </m:oMath>
      <w:r>
        <w:t xml:space="preserve"> </w:t>
      </w:r>
      <w:r>
        <w:t xml:space="preserve">of the transferred spectrum</w:t>
      </w:r>
      <w:r>
        <w:t xml:space="preserve"> </w:t>
      </w:r>
      <w:r>
        <w:t xml:space="preserve">[16]</w:t>
      </w:r>
      <w:r>
        <w:t xml:space="preserve">.</w:t>
      </w:r>
    </w:p>
    <w:p>
      <w:pPr>
        <w:numPr>
          <w:ilvl w:val="0"/>
          <w:numId w:val="1004"/>
        </w:numPr>
      </w:pPr>
      <w:r>
        <w:rPr>
          <w:bCs/>
          <w:b/>
        </w:rPr>
        <w:t xml:space="preserve">SCP-S:</w:t>
      </w:r>
      <w:r>
        <w:t xml:space="preserve"> </w:t>
      </w:r>
      <w:r>
        <w:t xml:space="preserve">split conformal prediction with the pooled source residuals (out-of-fold residuals of the source training set plus source-calibration residuals), assuming no shift</w:t>
      </w:r>
      <w:r>
        <w:t xml:space="preserve"> </w:t>
      </w:r>
      <w:r>
        <w:t xml:space="preserve">[18]</w:t>
      </w:r>
      <w:r>
        <w:t xml:space="preserve">.</w:t>
      </w:r>
    </w:p>
    <w:p>
      <w:pPr>
        <w:numPr>
          <w:ilvl w:val="0"/>
          <w:numId w:val="1004"/>
        </w:numPr>
      </w:pPr>
      <w:r>
        <w:rPr>
          <w:bCs/>
          <w:b/>
        </w:rPr>
        <w:t xml:space="preserve">WCP-S:</w:t>
      </w:r>
      <w:r>
        <w:t xml:space="preserve"> </w:t>
      </w:r>
      <w:r>
        <w:t xml:space="preserve">weighted conformal prediction for covariate shift</w:t>
      </w:r>
      <w:r>
        <w:t xml:space="preserve"> </w:t>
      </w:r>
      <w:r>
        <w:t xml:space="preserve">[28]</w:t>
      </w:r>
      <w:r>
        <w:t xml:space="preserve">. Likelihood ratios come from a logistic domain classifier on the PLS scores of source spectra versus transferred, unlabelled target spectra.</w:t>
      </w:r>
    </w:p>
    <w:p>
      <w:pPr>
        <w:numPr>
          <w:ilvl w:val="0"/>
          <w:numId w:val="1004"/>
        </w:numPr>
      </w:pPr>
      <w:r>
        <w:rPr>
          <w:bCs/>
          <w:b/>
        </w:rPr>
        <w:t xml:space="preserve">Transport:</w:t>
      </w:r>
      <w:r>
        <w:t xml:space="preserve"> </w:t>
      </w:r>
      <w:r>
        <w:t xml:space="preserve">a regression analogue of transported conformal calibration</w:t>
      </w:r>
      <w:r>
        <w:t xml:space="preserve"> </w:t>
      </w:r>
      <w:r>
        <w:t xml:space="preserve">[29]</w:t>
      </w:r>
      <w:r>
        <w:t xml:space="preserve">. Source-calibration spectra are mapped into the target space by a master→secondary PDS fitted on the standards, passed through the deployed pipeline, and their residuals calibrate a split-conformal quantile. It applies to paired transfers only.</w:t>
      </w:r>
    </w:p>
    <w:p>
      <w:pPr>
        <w:numPr>
          <w:ilvl w:val="0"/>
          <w:numId w:val="1004"/>
        </w:numPr>
      </w:pPr>
      <w:r>
        <w:rPr>
          <w:bCs/>
          <w:b/>
        </w:rPr>
        <w:t xml:space="preserve">Gauss-LOO:</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m</m:t>
            </m:r>
            <m:r>
              <m:rPr>
                <m:sty m:val="p"/>
              </m:rPr>
              <m:t>−</m:t>
            </m:r>
            <m:r>
              <m:t>1</m:t>
            </m:r>
          </m:sub>
        </m:sSub>
        <m:r>
          <m:t> </m:t>
        </m:r>
        <m:sSub>
          <m:e>
            <m:r>
              <m:rPr>
                <m:sty m:val="p"/>
              </m:rPr>
              <m:t>R</m:t>
            </m:r>
            <m:r>
              <m:rPr>
                <m:sty m:val="p"/>
              </m:rPr>
              <m:t>M</m:t>
            </m:r>
            <m:r>
              <m:rPr>
                <m:sty m:val="p"/>
              </m:rPr>
              <m:t>S</m:t>
            </m:r>
            <m:r>
              <m:rPr>
                <m:sty m:val="p"/>
              </m:rPr>
              <m:t>E</m:t>
            </m:r>
          </m:e>
          <m:sub>
            <m:r>
              <m:rPr>
                <m:nor/>
                <m:sty m:val="p"/>
              </m:rPr>
              <m:t>LOO</m:t>
            </m:r>
          </m:sub>
        </m:sSub>
      </m:oMath>
      <w:r>
        <w:t xml:space="preserve">, using the leave-one-standard-out residuals. This mimics recomputing the RMSEP on the standards.</w:t>
      </w:r>
    </w:p>
    <w:p>
      <w:pPr>
        <w:numPr>
          <w:ilvl w:val="0"/>
          <w:numId w:val="1004"/>
        </w:numPr>
      </w:pPr>
      <w:r>
        <w:rPr>
          <w:bCs/>
          <w:b/>
        </w:rPr>
        <w:t xml:space="preserve">SCP-T-split(-N):</w:t>
      </w:r>
      <w:r>
        <w:t xml:space="preserve"> </w:t>
      </w:r>
      <w:r>
        <w:t xml:space="preserve">the standards are split at random into halves. The first half fits the transfer and the second half calibrates (normalised) split conformal prediction. This is valid, at the cost of halving both sets.</w:t>
      </w:r>
    </w:p>
    <w:p>
      <w:pPr>
        <w:numPr>
          <w:ilvl w:val="0"/>
          <w:numId w:val="1004"/>
        </w:numPr>
      </w:pPr>
      <w:r>
        <w:rPr>
          <w:bCs/>
          <w:b/>
        </w:rPr>
        <w:t xml:space="preserve">MC-dropout</w:t>
      </w:r>
      <w:r>
        <w:t xml:space="preserve"> </w:t>
      </w:r>
      <w:r>
        <w:t xml:space="preserve">(CNN only): Gaussian intervals from 100 stochastic forward passes plus the source residual variance</w:t>
      </w:r>
      <w:r>
        <w:t xml:space="preserve"> </w:t>
      </w:r>
      <w:r>
        <w:t xml:space="preserve">[32]</w:t>
      </w:r>
      <w:r>
        <w:t xml:space="preserve">, followed by SBC.</w:t>
      </w:r>
    </w:p>
    <w:p>
      <w:pPr>
        <w:pStyle w:val="FirstParagraph"/>
      </w:pPr>
      <w:r>
        <w:rPr>
          <w:bCs/>
          <w:b/>
        </w:rPr>
        <w:t xml:space="preserve">Ablations:</w:t>
      </w:r>
    </w:p>
    <w:p>
      <w:pPr>
        <w:numPr>
          <w:ilvl w:val="0"/>
          <w:numId w:val="1005"/>
        </w:numPr>
      </w:pPr>
      <w:r>
        <w:t xml:space="preserve">TJ-naive-N: full-fit centre with leave-one-out residual quantile, i.e. a jackknife without</w:t>
      </w:r>
      <w:r>
        <w:t xml:space="preserve"> </w:t>
      </w:r>
      <w:r>
        <w:t xml:space="preserve">“</w:t>
      </w:r>
      <w:r>
        <w:t xml:space="preserve">+</w:t>
      </w:r>
      <w:r>
        <w:t xml:space="preserve">”</w:t>
      </w:r>
      <w:r>
        <w:t xml:space="preserve">.</w:t>
      </w:r>
    </w:p>
    <w:p>
      <w:pPr>
        <w:numPr>
          <w:ilvl w:val="0"/>
          <w:numId w:val="1005"/>
        </w:numPr>
      </w:pPr>
      <w:r>
        <w:t xml:space="preserve">TJ-insample-N: residuals from the transfer fitted on all standards, without leave-one-out.</w:t>
      </w:r>
    </w:p>
    <w:p>
      <w:pPr>
        <w:numPr>
          <w:ilvl w:val="0"/>
          <w:numId w:val="1005"/>
        </w:numPr>
      </w:pPr>
      <w:r>
        <w:t xml:space="preserve">TCV+N: five-fold CV+.</w:t>
      </w:r>
    </w:p>
    <w:p>
      <w:pPr>
        <w:numPr>
          <w:ilvl w:val="0"/>
          <w:numId w:val="1005"/>
        </w:numPr>
      </w:pPr>
      <w:r>
        <w:t xml:space="preserve">TJ+N[T²] and TJ+N[Q]: σ from a single diagnostic.</w:t>
      </w:r>
    </w:p>
    <w:p>
      <w:pPr>
        <w:pStyle w:val="FirstParagraph"/>
      </w:pPr>
      <w:r>
        <w:rPr>
          <w:bCs/>
          <w:b/>
        </w:rPr>
        <w:t xml:space="preserve">Label-free variant (exploratory, LF-conv).</w:t>
      </w:r>
      <w:r>
        <w:t xml:space="preserve"> </w:t>
      </w:r>
      <w:r>
        <w:t xml:space="preserve">If the paired standards have no reference values, the target error decomposes as</w:t>
      </w:r>
      <w:r>
        <w:t xml:space="preserve"> </w:t>
      </w:r>
      <m:oMath>
        <m:r>
          <m:t>y</m:t>
        </m:r>
        <m:r>
          <m:rPr>
            <m:sty m:val="p"/>
          </m:rPr>
          <m:t>−</m:t>
        </m:r>
        <m:r>
          <m:t>μ</m:t>
        </m:r>
        <m:d>
          <m:dPr>
            <m:begChr m:val="("/>
            <m:endChr m:val=")"/>
            <m:sepChr m:val=""/>
            <m:grow/>
          </m:dPr>
          <m:e>
            <m:sSup>
              <m:e>
                <m:r>
                  <m:rPr>
                    <m:sty m:val="b"/>
                  </m:rPr>
                  <m:t>x</m:t>
                </m:r>
              </m:e>
              <m:sup>
                <m:r>
                  <m:t>T</m:t>
                </m:r>
              </m:sup>
            </m:sSup>
          </m:e>
        </m:d>
        <m:r>
          <m:rPr>
            <m:sty m:val="p"/>
          </m:rPr>
          <m:t>=</m:t>
        </m:r>
        <m:sSup>
          <m:e>
            <m:r>
              <m:t>e</m:t>
            </m:r>
          </m:e>
          <m:sup>
            <m:r>
              <m:t>S</m:t>
            </m:r>
          </m:sup>
        </m:sSup>
        <m:r>
          <m:rPr>
            <m:sty m:val="p"/>
          </m:rPr>
          <m:t>−</m:t>
        </m:r>
        <m:r>
          <m:t>d</m:t>
        </m:r>
      </m:oMath>
      <w:r>
        <w:t xml:space="preserve">. Here</w:t>
      </w:r>
      <w:r>
        <w:t xml:space="preserve"> </w:t>
      </w:r>
      <m:oMath>
        <m:sSup>
          <m:e>
            <m:r>
              <m:t>e</m:t>
            </m:r>
          </m:e>
          <m:sup>
            <m:r>
              <m:t>S</m:t>
            </m:r>
          </m:sup>
        </m:sSup>
        <m:r>
          <m:rPr>
            <m:sty m:val="p"/>
          </m:rPr>
          <m:t>=</m:t>
        </m:r>
        <m:r>
          <m:t>y</m:t>
        </m:r>
        <m:r>
          <m:rPr>
            <m:sty m:val="p"/>
          </m:rPr>
          <m:t>−</m:t>
        </m:r>
        <m:r>
          <m:t>f</m:t>
        </m:r>
        <m:d>
          <m:dPr>
            <m:begChr m:val="("/>
            <m:endChr m:val=")"/>
            <m:sepChr m:val=""/>
            <m:grow/>
          </m:dPr>
          <m:e>
            <m:sSup>
              <m:e>
                <m:r>
                  <m:rPr>
                    <m:sty m:val="b"/>
                  </m:rPr>
                  <m:t>x</m:t>
                </m:r>
              </m:e>
              <m:sup>
                <m:r>
                  <m:t>S</m:t>
                </m:r>
              </m:sup>
            </m:sSup>
          </m:e>
        </m:d>
      </m:oMath>
      <w:r>
        <w:t xml:space="preserve"> </w:t>
      </w:r>
      <w:r>
        <w:t xml:space="preserve">is the source error, estimated by the pooled source residuals</w:t>
      </w:r>
      <w:r>
        <w:t xml:space="preserve"> </w:t>
      </w:r>
      <m:oMath>
        <m:sSub>
          <m:e>
            <m:r>
              <m:t>e</m:t>
            </m:r>
          </m:e>
          <m:sub>
            <m:r>
              <m:t>j</m:t>
            </m:r>
          </m:sub>
        </m:sSub>
      </m:oMath>
      <w:r>
        <w:t xml:space="preserve">. The term</w:t>
      </w:r>
      <w:r>
        <w:t xml:space="preserve"> </w:t>
      </w:r>
      <m:oMath>
        <m:r>
          <m:t>d</m:t>
        </m:r>
        <m:r>
          <m:rPr>
            <m:sty m:val="p"/>
          </m:rPr>
          <m:t>=</m:t>
        </m:r>
        <m:r>
          <m:t>μ</m:t>
        </m:r>
        <m:d>
          <m:dPr>
            <m:begChr m:val="("/>
            <m:endChr m:val=")"/>
            <m:sepChr m:val=""/>
            <m:grow/>
          </m:dPr>
          <m:e>
            <m:sSup>
              <m:e>
                <m:r>
                  <m:rPr>
                    <m:sty m:val="b"/>
                  </m:rPr>
                  <m:t>x</m:t>
                </m:r>
              </m:e>
              <m:sup>
                <m:r>
                  <m:t>T</m:t>
                </m:r>
              </m:sup>
            </m:sSup>
          </m:e>
        </m:d>
        <m:r>
          <m:rPr>
            <m:sty m:val="p"/>
          </m:rPr>
          <m:t>−</m:t>
        </m:r>
        <m:r>
          <m:t>f</m:t>
        </m:r>
        <m:d>
          <m:dPr>
            <m:begChr m:val="("/>
            <m:endChr m:val=")"/>
            <m:sepChr m:val=""/>
            <m:grow/>
          </m:dPr>
          <m:e>
            <m:sSup>
              <m:e>
                <m:r>
                  <m:rPr>
                    <m:sty m:val="b"/>
                  </m:rPr>
                  <m:t>x</m:t>
                </m:r>
              </m:e>
              <m:sup>
                <m:r>
                  <m:t>S</m:t>
                </m:r>
              </m:sup>
            </m:sSup>
          </m:e>
        </m:d>
      </m:oMath>
      <w:r>
        <w:t xml:space="preserve"> </w:t>
      </w:r>
      <w:r>
        <w:t xml:space="preserve">is the transfer discrepancy, estimated from leave-one-out fits on the standards as</w:t>
      </w:r>
      <w:r>
        <w:t xml:space="preserve"> </w:t>
      </w:r>
      <m:oMath>
        <m:sSub>
          <m:e>
            <m:r>
              <m:t>d</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r>
          <m:t>f</m:t>
        </m:r>
        <m:d>
          <m:dPr>
            <m:begChr m:val="("/>
            <m:endChr m:val=")"/>
            <m:sepChr m:val=""/>
            <m:grow/>
          </m:dPr>
          <m:e>
            <m:sSubSup>
              <m:e>
                <m:r>
                  <m:rPr>
                    <m:sty m:val="b"/>
                  </m:rPr>
                  <m:t>x</m:t>
                </m:r>
              </m:e>
              <m:sub>
                <m:r>
                  <m:t>i</m:t>
                </m:r>
              </m:sub>
              <m:sup>
                <m:r>
                  <m:t>S</m:t>
                </m:r>
              </m:sup>
            </m:sSubSup>
          </m:e>
        </m:d>
      </m:oMath>
      <w:r>
        <w:t xml:space="preserve">. The interval is</w:t>
      </w:r>
      <w:r>
        <w:t xml:space="preserve"> </w:t>
      </w:r>
      <m:oMath>
        <m:r>
          <m:t>μ</m:t>
        </m:r>
        <m:d>
          <m:dPr>
            <m:begChr m:val="("/>
            <m:endChr m:val=")"/>
            <m:sepChr m:val=""/>
            <m:grow/>
          </m:dPr>
          <m:e>
            <m:r>
              <m:rPr>
                <m:sty m:val="b"/>
              </m:rPr>
              <m:t>x</m:t>
            </m:r>
          </m:e>
        </m:d>
        <m:r>
          <m:rPr>
            <m:sty m:val="p"/>
          </m:rPr>
          <m:t>+</m:t>
        </m:r>
        <m:d>
          <m:dPr>
            <m:begChr m:val="["/>
            <m:endChr m:val="]"/>
            <m:sepChr m:val=""/>
            <m:grow/>
          </m:dPr>
          <m:e>
            <m:r>
              <m:t> </m:t>
            </m:r>
            <m:sSub>
              <m:e>
                <m:r>
                  <m:t>Q</m:t>
                </m:r>
              </m:e>
              <m:sub>
                <m:r>
                  <m:t>α</m:t>
                </m:r>
                <m:r>
                  <m:rPr>
                    <m:sty m:val="p"/>
                  </m:rPr>
                  <m:t>/</m:t>
                </m:r>
                <m:r>
                  <m:t>2</m:t>
                </m:r>
              </m:sub>
            </m:sSub>
            <m:r>
              <m:rPr>
                <m:sty m:val="p"/>
              </m:rPr>
              <m:t>,</m:t>
            </m:r>
            <m:sSub>
              <m:e>
                <m:r>
                  <m:t>Q</m:t>
                </m:r>
              </m:e>
              <m:sub>
                <m:r>
                  <m:t>1</m:t>
                </m:r>
                <m:r>
                  <m:rPr>
                    <m:sty m:val="p"/>
                  </m:rPr>
                  <m:t>−</m:t>
                </m:r>
                <m:r>
                  <m:t>α</m:t>
                </m:r>
                <m:r>
                  <m:rPr>
                    <m:sty m:val="p"/>
                  </m:rPr>
                  <m:t>/</m:t>
                </m:r>
                <m:r>
                  <m:t>2</m:t>
                </m:r>
              </m:sub>
            </m:sSub>
            <m:r>
              <m:t> </m:t>
            </m:r>
          </m:e>
        </m:d>
      </m:oMath>
      <w:r>
        <w:t xml:space="preserve"> </w:t>
      </w:r>
      <w:r>
        <w:t xml:space="preserve">of</w:t>
      </w:r>
      <w:r>
        <w:t xml:space="preserve"> </w:t>
      </w:r>
      <m:oMath>
        <m:r>
          <m:rPr>
            <m:sty m:val="p"/>
          </m:rPr>
          <m:t>{</m:t>
        </m:r>
        <m:sSub>
          <m:e>
            <m:r>
              <m:t>e</m:t>
            </m:r>
          </m:e>
          <m:sub>
            <m:r>
              <m:t>j</m:t>
            </m:r>
          </m:sub>
        </m:sSub>
        <m:r>
          <m:rPr>
            <m:sty m:val="p"/>
          </m:rPr>
          <m:t>−</m:t>
        </m:r>
        <m:sSub>
          <m:e>
            <m:r>
              <m:t>d</m:t>
            </m:r>
          </m:e>
          <m:sub>
            <m:r>
              <m:t>i</m:t>
            </m:r>
          </m:sub>
        </m:sSub>
        <m:sSub>
          <m:e>
            <m:r>
              <m:rPr>
                <m:sty m:val="p"/>
              </m:rPr>
              <m:t>}</m:t>
            </m:r>
          </m:e>
          <m:sub>
            <m:r>
              <m:t>j</m:t>
            </m:r>
            <m:r>
              <m:rPr>
                <m:sty m:val="p"/>
              </m:rPr>
              <m:t>,</m:t>
            </m:r>
            <m:r>
              <m:t>i</m:t>
            </m:r>
          </m:sub>
        </m:sSub>
      </m:oMath>
      <w:r>
        <w:t xml:space="preserve">. It assumes independence of</w:t>
      </w:r>
      <w:r>
        <w:t xml:space="preserve"> </w:t>
      </w:r>
      <m:oMath>
        <m:sSup>
          <m:e>
            <m:r>
              <m:t>e</m:t>
            </m:r>
          </m:e>
          <m:sup>
            <m:r>
              <m:t>S</m:t>
            </m:r>
          </m:sup>
        </m:sSup>
      </m:oMath>
      <w:r>
        <w:t xml:space="preserve"> </w:t>
      </w:r>
      <w:r>
        <w:t xml:space="preserve">and</w:t>
      </w:r>
      <w:r>
        <w:t xml:space="preserve"> </w:t>
      </w:r>
      <m:oMath>
        <m:r>
          <m:t>d</m:t>
        </m:r>
      </m:oMath>
      <w:r>
        <w:t xml:space="preserve"> </w:t>
      </w:r>
      <w:r>
        <w:t xml:space="preserve">and has no finite-sample guarantee.</w:t>
      </w:r>
    </w:p>
    <w:bookmarkEnd w:id="25"/>
    <w:bookmarkEnd w:id="26"/>
    <w:bookmarkStart w:id="90" w:name="bibliography"/>
    <w:p>
      <w:r>
        <w:br w:type="page"/>
      </w:r>
    </w:p>
    <w:p>
      <w:pPr>
        <w:pStyle w:val="Heading1"/>
      </w:pPr>
      <w:r>
        <w:t xml:space="preserve">References</w:t>
      </w:r>
    </w:p>
    <w:bookmarkStart w:id="89" w:name="refs"/>
    <w:bookmarkStart w:id="28" w:name="ref-pasquini2018"/>
    <w:p>
      <w:pPr>
        <w:pStyle w:val="Bibliography"/>
      </w:pPr>
      <w:r>
        <w:t xml:space="preserve">[1]</w:t>
      </w:r>
      <w:r>
        <w:t xml:space="preserve"> </w:t>
      </w:r>
      <w:r>
        <w:t xml:space="preserve">	</w:t>
      </w:r>
      <w:r>
        <w:t xml:space="preserve">C. Pasquini, Near infrared spectroscopy: A mature analytical technique with new perspectives – A review, Analytica Chimica Acta 1026 (2018) 8–36. https://doi.org/</w:t>
      </w:r>
      <w:hyperlink r:id="rId27">
        <w:r>
          <w:rPr>
            <w:rStyle w:val="Hyperlink"/>
          </w:rPr>
          <w:t xml:space="preserve">10.1016/j.aca.2018.04.004</w:t>
        </w:r>
      </w:hyperlink>
      <w:r>
        <w:t xml:space="preserve">.</w:t>
      </w:r>
    </w:p>
    <w:bookmarkEnd w:id="28"/>
    <w:bookmarkStart w:id="30" w:name="ref-feudale2002"/>
    <w:p>
      <w:pPr>
        <w:pStyle w:val="Bibliography"/>
      </w:pPr>
      <w:r>
        <w:t xml:space="preserve">[2]</w:t>
      </w:r>
      <w:r>
        <w:t xml:space="preserve"> </w:t>
      </w:r>
      <w:r>
        <w:t xml:space="preserve">	</w:t>
      </w:r>
      <w:r>
        <w:t xml:space="preserve">R.N. Feudale, N.A. Woody, H. Tan, A.J. Myles, S.D. Brown, J. Ferré, Transfer of multivariate calibration models: a review, Chemometrics and Intelligent Laboratory Systems 64 (2002) 181–192. https://doi.org/</w:t>
      </w:r>
      <w:hyperlink r:id="rId29">
        <w:r>
          <w:rPr>
            <w:rStyle w:val="Hyperlink"/>
          </w:rPr>
          <w:t xml:space="preserve">10.1016/S0169-7439(02)00085-0</w:t>
        </w:r>
      </w:hyperlink>
      <w:r>
        <w:t xml:space="preserve">.</w:t>
      </w:r>
    </w:p>
    <w:bookmarkEnd w:id="30"/>
    <w:bookmarkStart w:id="32" w:name="ref-workman2018"/>
    <w:p>
      <w:pPr>
        <w:pStyle w:val="Bibliography"/>
      </w:pPr>
      <w:r>
        <w:t xml:space="preserve">[3]</w:t>
      </w:r>
      <w:r>
        <w:t xml:space="preserve"> </w:t>
      </w:r>
      <w:r>
        <w:t xml:space="preserve">	</w:t>
      </w:r>
      <w:r>
        <w:t xml:space="preserve">J.J. Workman, A Review of Calibration Transfer Practices and Instrument Differences in Spectroscopy, Applied Spectroscopy 72 (2018) 340–365. https://doi.org/</w:t>
      </w:r>
      <w:hyperlink r:id="rId31">
        <w:r>
          <w:rPr>
            <w:rStyle w:val="Hyperlink"/>
          </w:rPr>
          <w:t xml:space="preserve">10.1177/0003702817736064</w:t>
        </w:r>
      </w:hyperlink>
      <w:r>
        <w:t xml:space="preserve">.</w:t>
      </w:r>
    </w:p>
    <w:bookmarkEnd w:id="32"/>
    <w:bookmarkStart w:id="34" w:name="ref-anderson2020"/>
    <w:p>
      <w:pPr>
        <w:pStyle w:val="Bibliography"/>
      </w:pPr>
      <w:r>
        <w:t xml:space="preserve">[4]</w:t>
      </w:r>
      <w:r>
        <w:t xml:space="preserve"> </w:t>
      </w:r>
      <w:r>
        <w:t xml:space="preserve">	</w:t>
      </w:r>
      <w:r>
        <w:t xml:space="preserve">N.T. Anderson, K.B. Walsh, P.P. Subedi, C.H. Hayes, Achieving robustness across season, location and cultivar for a NIRS model for intact mango fruit dry matter content, Postharvest Biology and Technology 168 (2020) 111202. https://doi.org/</w:t>
      </w:r>
      <w:hyperlink r:id="rId33">
        <w:r>
          <w:rPr>
            <w:rStyle w:val="Hyperlink"/>
          </w:rPr>
          <w:t xml:space="preserve">10.1016/j.postharvbio.2020.111202</w:t>
        </w:r>
      </w:hyperlink>
      <w:r>
        <w:t xml:space="preserve">.</w:t>
      </w:r>
    </w:p>
    <w:bookmarkEnd w:id="34"/>
    <w:bookmarkStart w:id="36" w:name="ref-wang1991"/>
    <w:p>
      <w:pPr>
        <w:pStyle w:val="Bibliography"/>
      </w:pPr>
      <w:r>
        <w:t xml:space="preserve">[5]</w:t>
      </w:r>
      <w:r>
        <w:t xml:space="preserve"> </w:t>
      </w:r>
      <w:r>
        <w:t xml:space="preserve">	</w:t>
      </w:r>
      <w:r>
        <w:t xml:space="preserve">Yongdong. Wang, D.J. Veltkamp, B.R. Kowalski, Multivariate instrument standardization, Analytical Chemistry 63 (1991) 2750–2756. https://doi.org/</w:t>
      </w:r>
      <w:hyperlink r:id="rId35">
        <w:r>
          <w:rPr>
            <w:rStyle w:val="Hyperlink"/>
          </w:rPr>
          <w:t xml:space="preserve">10.1021/ac00023a016</w:t>
        </w:r>
      </w:hyperlink>
      <w:r>
        <w:t xml:space="preserve">.</w:t>
      </w:r>
    </w:p>
    <w:bookmarkEnd w:id="36"/>
    <w:bookmarkStart w:id="38" w:name="ref-bouveresse1996"/>
    <w:p>
      <w:pPr>
        <w:pStyle w:val="Bibliography"/>
      </w:pPr>
      <w:r>
        <w:t xml:space="preserve">[6]</w:t>
      </w:r>
      <w:r>
        <w:t xml:space="preserve"> </w:t>
      </w:r>
      <w:r>
        <w:t xml:space="preserve">	</w:t>
      </w:r>
      <w:r>
        <w:t xml:space="preserve">E. Bouveresse, D.L. Massart, Improvement of the piecewise direct standardisation procedure for the transfer of NIR spectra for multivariate calibration, Chemometrics and Intelligent Laboratory Systems 32 (1996) 201–213. https://doi.org/</w:t>
      </w:r>
      <w:hyperlink r:id="rId37">
        <w:r>
          <w:rPr>
            <w:rStyle w:val="Hyperlink"/>
          </w:rPr>
          <w:t xml:space="preserve">10.1016/0169-7439(95)00074-7</w:t>
        </w:r>
      </w:hyperlink>
      <w:r>
        <w:t xml:space="preserve">.</w:t>
      </w:r>
    </w:p>
    <w:bookmarkEnd w:id="38"/>
    <w:bookmarkStart w:id="40" w:name="ref-nikzad2018"/>
    <w:p>
      <w:pPr>
        <w:pStyle w:val="Bibliography"/>
      </w:pPr>
      <w:r>
        <w:t xml:space="preserve">[7]</w:t>
      </w:r>
      <w:r>
        <w:t xml:space="preserve"> </w:t>
      </w:r>
      <w:r>
        <w:t xml:space="preserve">	</w:t>
      </w:r>
      <w:r>
        <w:t xml:space="preserve">R. Nikzad-Langerodi, W. Zellinger, E. Lughofer, S. Saminger-Platz, Domain-Invariant Partial-Least-Squares Regression, Analytical Chemistry 90 (2018) 6693–6701. https://doi.org/</w:t>
      </w:r>
      <w:hyperlink r:id="rId39">
        <w:r>
          <w:rPr>
            <w:rStyle w:val="Hyperlink"/>
          </w:rPr>
          <w:t xml:space="preserve">10.1021/acs.analchem.8b00498</w:t>
        </w:r>
      </w:hyperlink>
      <w:r>
        <w:t xml:space="preserve">.</w:t>
      </w:r>
    </w:p>
    <w:bookmarkEnd w:id="40"/>
    <w:bookmarkStart w:id="42" w:name="ref-mishra2020dipls"/>
    <w:p>
      <w:pPr>
        <w:pStyle w:val="Bibliography"/>
      </w:pPr>
      <w:r>
        <w:t xml:space="preserve">[8]</w:t>
      </w:r>
      <w:r>
        <w:t xml:space="preserve"> </w:t>
      </w:r>
      <w:r>
        <w:t xml:space="preserve">	</w:t>
      </w:r>
      <w:r>
        <w:t xml:space="preserve">P. Mishra, R. Nikzad-Langerodi, Partial least square regression versus domain invariant partial least square regression with application to near-infrared spectroscopy of fresh fruit, Infrared Physics &amp;Amp; Technology 111 (2020) 103547. https://doi.org/</w:t>
      </w:r>
      <w:hyperlink r:id="rId41">
        <w:r>
          <w:rPr>
            <w:rStyle w:val="Hyperlink"/>
          </w:rPr>
          <w:t xml:space="preserve">10.1016/j.infrared.2020.103547</w:t>
        </w:r>
      </w:hyperlink>
      <w:r>
        <w:t xml:space="preserve">.</w:t>
      </w:r>
    </w:p>
    <w:bookmarkEnd w:id="42"/>
    <w:bookmarkStart w:id="44" w:name="ref-fonseca2022"/>
    <w:p>
      <w:pPr>
        <w:pStyle w:val="Bibliography"/>
      </w:pPr>
      <w:r>
        <w:t xml:space="preserve">[9]</w:t>
      </w:r>
      <w:r>
        <w:t xml:space="preserve"> </w:t>
      </w:r>
      <w:r>
        <w:t xml:space="preserve">	</w:t>
      </w:r>
      <w:r>
        <w:t xml:space="preserve">V. Fonseca Diaz, J.-M. Roger, W. Saeys, Unsupervised dynamic orthogonal projection. An efficient approach to calibration transfer without standard samples, Analytica Chimica Acta 1225 (2022) 340154. https://doi.org/</w:t>
      </w:r>
      <w:hyperlink r:id="rId43">
        <w:r>
          <w:rPr>
            <w:rStyle w:val="Hyperlink"/>
          </w:rPr>
          <w:t xml:space="preserve">10.1016/j.aca.2022.340154</w:t>
        </w:r>
      </w:hyperlink>
      <w:r>
        <w:t xml:space="preserve">.</w:t>
      </w:r>
    </w:p>
    <w:bookmarkEnd w:id="44"/>
    <w:bookmarkStart w:id="46" w:name="ref-xie2024"/>
    <w:p>
      <w:pPr>
        <w:pStyle w:val="Bibliography"/>
      </w:pPr>
      <w:r>
        <w:t xml:space="preserve">[10]</w:t>
      </w:r>
      <w:r>
        <w:t xml:space="preserve"> </w:t>
      </w:r>
      <w:r>
        <w:t xml:space="preserve">	</w:t>
      </w:r>
      <w:r>
        <w:t xml:space="preserve">Z. Xie, X. Chen, J.-M. Roger, S. Ali, G. Huang, W. Shi, Calibration transfer via filter learning, Analytica Chimica Acta 1298 (2024) 342404. https://doi.org/</w:t>
      </w:r>
      <w:hyperlink r:id="rId45">
        <w:r>
          <w:rPr>
            <w:rStyle w:val="Hyperlink"/>
          </w:rPr>
          <w:t xml:space="preserve">10.1016/j.aca.2024.342404</w:t>
        </w:r>
      </w:hyperlink>
      <w:r>
        <w:t xml:space="preserve">.</w:t>
      </w:r>
    </w:p>
    <w:bookmarkEnd w:id="46"/>
    <w:bookmarkStart w:id="48" w:name="ref-fan2025"/>
    <w:p>
      <w:pPr>
        <w:pStyle w:val="Bibliography"/>
      </w:pPr>
      <w:r>
        <w:t xml:space="preserve">[11]</w:t>
      </w:r>
      <w:r>
        <w:t xml:space="preserve"> </w:t>
      </w:r>
      <w:r>
        <w:t xml:space="preserve">	</w:t>
      </w:r>
      <w:r>
        <w:t xml:space="preserve">X. Fan, L. Gao, J. Lv, B. Li, K. Xu, X. Li, Y. Shao, T. Yang, X. Chen, H. Ji, A systematic calibration transfer and quantification method based on principal components extreme learning machine for near-infrared spectroscopy, Analytica Chimica Acta 1361 (2025) 344151. https://doi.org/</w:t>
      </w:r>
      <w:hyperlink r:id="rId47">
        <w:r>
          <w:rPr>
            <w:rStyle w:val="Hyperlink"/>
          </w:rPr>
          <w:t xml:space="preserve">10.1016/j.aca.2025.344151</w:t>
        </w:r>
      </w:hyperlink>
      <w:r>
        <w:t xml:space="preserve">.</w:t>
      </w:r>
    </w:p>
    <w:bookmarkEnd w:id="48"/>
    <w:bookmarkStart w:id="50" w:name="ref-huang2026"/>
    <w:p>
      <w:pPr>
        <w:pStyle w:val="Bibliography"/>
      </w:pPr>
      <w:r>
        <w:t xml:space="preserve">[12]</w:t>
      </w:r>
      <w:r>
        <w:t xml:space="preserve"> </w:t>
      </w:r>
      <w:r>
        <w:t xml:space="preserve">	</w:t>
      </w:r>
      <w:r>
        <w:t xml:space="preserve">X. Huang, X. Chen, G. Huang, Z. Xie, W. Shi, X. Chen, L. Yuan, P. Liang, J. Zhu, Y. He, UCT-LMIR: A standard-free unsupervised calibration transfer method without model recalibration, Analytica Chimica Acta 1423 (2026) 346104. https://doi.org/</w:t>
      </w:r>
      <w:hyperlink r:id="rId49">
        <w:r>
          <w:rPr>
            <w:rStyle w:val="Hyperlink"/>
          </w:rPr>
          <w:t xml:space="preserve">10.1016/j.aca.2026.346104</w:t>
        </w:r>
      </w:hyperlink>
      <w:r>
        <w:t xml:space="preserve">.</w:t>
      </w:r>
    </w:p>
    <w:bookmarkEnd w:id="50"/>
    <w:bookmarkStart w:id="52" w:name="ref-faber1997"/>
    <w:p>
      <w:pPr>
        <w:pStyle w:val="Bibliography"/>
      </w:pPr>
      <w:r>
        <w:t xml:space="preserve">[13]</w:t>
      </w:r>
      <w:r>
        <w:t xml:space="preserve"> </w:t>
      </w:r>
      <w:r>
        <w:t xml:space="preserve">	</w:t>
      </w:r>
      <w:r>
        <w:t xml:space="preserve">K. Faber, B.R. Kowalski, Propagation of measurement errors for the validation of predictions obtained by principal component regression and partial least squares, Journal of Chemometrics 11 (1997) 181–238. https://doi.org/</w:t>
      </w:r>
      <w:hyperlink r:id="rId51">
        <w:r>
          <w:rPr>
            <w:rStyle w:val="Hyperlink"/>
          </w:rPr>
          <w:t xml:space="preserve">10.1002/(SICI)1099-128X(199705)11:3&lt;181::AID-CEM459&gt;3.0.CO;2-7</w:t>
        </w:r>
      </w:hyperlink>
      <w:r>
        <w:t xml:space="preserve">.</w:t>
      </w:r>
    </w:p>
    <w:bookmarkEnd w:id="52"/>
    <w:bookmarkStart w:id="54" w:name="ref-olivieri2006"/>
    <w:p>
      <w:pPr>
        <w:pStyle w:val="Bibliography"/>
      </w:pPr>
      <w:r>
        <w:t xml:space="preserve">[14]</w:t>
      </w:r>
      <w:r>
        <w:t xml:space="preserve"> </w:t>
      </w:r>
      <w:r>
        <w:t xml:space="preserve">	</w:t>
      </w:r>
      <w:r>
        <w:t xml:space="preserve">A.C. Olivieri, N.M. Faber, J. Ferré, R. Boqué, J.H. Kalivas, H. Mark, Uncertainty estimation and figures of merit for multivariate calibration (IUPAC Technical Report), Pure and Applied Chemistry 78 (2006) 633–661. https://doi.org/</w:t>
      </w:r>
      <w:hyperlink r:id="rId53">
        <w:r>
          <w:rPr>
            <w:rStyle w:val="Hyperlink"/>
          </w:rPr>
          <w:t xml:space="preserve">10.1351/pac200678030633</w:t>
        </w:r>
      </w:hyperlink>
      <w:r>
        <w:t xml:space="preserve">.</w:t>
      </w:r>
    </w:p>
    <w:bookmarkEnd w:id="54"/>
    <w:bookmarkStart w:id="56" w:name="ref-allegrini2016"/>
    <w:p>
      <w:pPr>
        <w:pStyle w:val="Bibliography"/>
      </w:pPr>
      <w:r>
        <w:t xml:space="preserve">[15]</w:t>
      </w:r>
      <w:r>
        <w:t xml:space="preserve"> </w:t>
      </w:r>
      <w:r>
        <w:t xml:space="preserve">	</w:t>
      </w:r>
      <w:r>
        <w:t xml:space="preserve">F. Allegrini, P.D. Wentzell, A.C. Olivieri, Generalized error-dependent prediction uncertainty in multivariate calibration, Analytica Chimica Acta 903 (2016) 51–60. https://doi.org/</w:t>
      </w:r>
      <w:hyperlink r:id="rId55">
        <w:r>
          <w:rPr>
            <w:rStyle w:val="Hyperlink"/>
          </w:rPr>
          <w:t xml:space="preserve">10.1016/j.aca.2015.11.028</w:t>
        </w:r>
      </w:hyperlink>
      <w:r>
        <w:t xml:space="preserve">.</w:t>
      </w:r>
    </w:p>
    <w:bookmarkEnd w:id="56"/>
    <w:bookmarkStart w:id="58" w:name="ref-astm_e1655"/>
    <w:p>
      <w:pPr>
        <w:pStyle w:val="Bibliography"/>
      </w:pPr>
      <w:r>
        <w:t xml:space="preserve">[16]</w:t>
      </w:r>
      <w:r>
        <w:t xml:space="preserve"> </w:t>
      </w:r>
      <w:r>
        <w:t xml:space="preserve">	</w:t>
      </w:r>
      <w:r>
        <w:t xml:space="preserve">ASTM International, ASTM E1655-17, Standard Practices for Infrared Multivariate Quantitative Analysis, ASTM International, West Conshohocken, PA, 2017. https://doi.org/</w:t>
      </w:r>
      <w:hyperlink r:id="rId57">
        <w:r>
          <w:rPr>
            <w:rStyle w:val="Hyperlink"/>
          </w:rPr>
          <w:t xml:space="preserve">10.1520/E1655-17</w:t>
        </w:r>
      </w:hyperlink>
      <w:r>
        <w:t xml:space="preserve">.</w:t>
      </w:r>
    </w:p>
    <w:bookmarkEnd w:id="58"/>
    <w:bookmarkStart w:id="60" w:name="ref-vovk2005"/>
    <w:p>
      <w:pPr>
        <w:pStyle w:val="Bibliography"/>
      </w:pPr>
      <w:r>
        <w:t xml:space="preserve">[17]</w:t>
      </w:r>
      <w:r>
        <w:t xml:space="preserve"> </w:t>
      </w:r>
      <w:r>
        <w:t xml:space="preserve">	</w:t>
      </w:r>
      <w:r>
        <w:t xml:space="preserve">V. Vovk, A. Gammerman, G. Shafer, Algorithmic Learning in a Random World, Springer, 2005. https://doi.org/</w:t>
      </w:r>
      <w:hyperlink r:id="rId59">
        <w:r>
          <w:rPr>
            <w:rStyle w:val="Hyperlink"/>
          </w:rPr>
          <w:t xml:space="preserve">10.1007/b106715</w:t>
        </w:r>
      </w:hyperlink>
      <w:r>
        <w:t xml:space="preserve">.</w:t>
      </w:r>
    </w:p>
    <w:bookmarkEnd w:id="60"/>
    <w:bookmarkStart w:id="62" w:name="ref-lei2018"/>
    <w:p>
      <w:pPr>
        <w:pStyle w:val="Bibliography"/>
      </w:pPr>
      <w:r>
        <w:t xml:space="preserve">[18]</w:t>
      </w:r>
      <w:r>
        <w:t xml:space="preserve"> </w:t>
      </w:r>
      <w:r>
        <w:t xml:space="preserve">	</w:t>
      </w:r>
      <w:r>
        <w:t xml:space="preserve">J. Lei, M. G’Sell, A. Rinaldo, R.J. Tibshirani, L. Wasserman, Distribution-Free Predictive Inference for Regression, Journal of the American Statistical Association 113 (2018) 1094–1111. https://doi.org/</w:t>
      </w:r>
      <w:hyperlink r:id="rId61">
        <w:r>
          <w:rPr>
            <w:rStyle w:val="Hyperlink"/>
          </w:rPr>
          <w:t xml:space="preserve">10.1080/01621459.2017.1307116</w:t>
        </w:r>
      </w:hyperlink>
      <w:r>
        <w:t xml:space="preserve">.</w:t>
      </w:r>
    </w:p>
    <w:bookmarkEnd w:id="62"/>
    <w:bookmarkStart w:id="64" w:name="ref-angelopoulos2023"/>
    <w:p>
      <w:pPr>
        <w:pStyle w:val="Bibliography"/>
      </w:pPr>
      <w:r>
        <w:t xml:space="preserve">[19]</w:t>
      </w:r>
      <w:r>
        <w:t xml:space="preserve"> </w:t>
      </w:r>
      <w:r>
        <w:t xml:space="preserve">	</w:t>
      </w:r>
      <w:r>
        <w:t xml:space="preserve">A.N. Angelopoulos, S. Bates, Conformal Prediction: A Gentle Introduction, Foundations and Trends® in Machine Learning 16 (2023) 494–591. https://doi.org/</w:t>
      </w:r>
      <w:hyperlink r:id="rId63">
        <w:r>
          <w:rPr>
            <w:rStyle w:val="Hyperlink"/>
          </w:rPr>
          <w:t xml:space="preserve">10.1561/2200000101</w:t>
        </w:r>
      </w:hyperlink>
      <w:r>
        <w:t xml:space="preserve">.</w:t>
      </w:r>
    </w:p>
    <w:bookmarkEnd w:id="64"/>
    <w:bookmarkStart w:id="66" w:name="ref-fontana2023"/>
    <w:p>
      <w:pPr>
        <w:pStyle w:val="Bibliography"/>
      </w:pPr>
      <w:r>
        <w:t xml:space="preserve">[20]</w:t>
      </w:r>
      <w:r>
        <w:t xml:space="preserve"> </w:t>
      </w:r>
      <w:r>
        <w:t xml:space="preserve">	</w:t>
      </w:r>
      <w:r>
        <w:t xml:space="preserve">M. Fontana, G. Zeni, S. Vantini, Conformal prediction: A unified review of theory and new challenges, Bernoulli 29 (2023) 1–23. https://doi.org/</w:t>
      </w:r>
      <w:hyperlink r:id="rId65">
        <w:r>
          <w:rPr>
            <w:rStyle w:val="Hyperlink"/>
          </w:rPr>
          <w:t xml:space="preserve">10.3150/21-BEJ1447</w:t>
        </w:r>
      </w:hyperlink>
      <w:r>
        <w:t xml:space="preserve">.</w:t>
      </w:r>
    </w:p>
    <w:bookmarkEnd w:id="66"/>
    <w:bookmarkStart w:id="68" w:name="ref-gu2019"/>
    <w:p>
      <w:pPr>
        <w:pStyle w:val="Bibliography"/>
      </w:pPr>
      <w:r>
        <w:t xml:space="preserve">[21]</w:t>
      </w:r>
      <w:r>
        <w:t xml:space="preserve"> </w:t>
      </w:r>
      <w:r>
        <w:t xml:space="preserve">	</w:t>
      </w:r>
      <w:r>
        <w:t xml:space="preserve">J. Gu, H. Liu, C. Ma, L. Li, C. Zhu, C. Glorieux, G. Chen, Conformal Prediction Based on Raman Spectra for the Classification of Chinese Liquors, Applied Spectroscopy 73 (2019) 759–766. https://doi.org/</w:t>
      </w:r>
      <w:hyperlink r:id="rId67">
        <w:r>
          <w:rPr>
            <w:rStyle w:val="Hyperlink"/>
          </w:rPr>
          <w:t xml:space="preserve">10.1177/0003702819831017</w:t>
        </w:r>
      </w:hyperlink>
      <w:r>
        <w:t xml:space="preserve">.</w:t>
      </w:r>
    </w:p>
    <w:bookmarkEnd w:id="68"/>
    <w:bookmarkStart w:id="70" w:name="ref-redd2024"/>
    <w:p>
      <w:pPr>
        <w:pStyle w:val="Bibliography"/>
      </w:pPr>
      <w:r>
        <w:t xml:space="preserve">[22]</w:t>
      </w:r>
      <w:r>
        <w:t xml:space="preserve"> </w:t>
      </w:r>
      <w:r>
        <w:t xml:space="preserve">	</w:t>
      </w:r>
      <w:r>
        <w:t xml:space="preserve">Hyrum J. Redd, John H. Kalivas, Assessment of Conformal Prediction and Standard Normal Distribution for Autonomous Consensus One‐Class Classification, Journal of Chemometrics 39 (2025) e3639. https://doi.org/</w:t>
      </w:r>
      <w:hyperlink r:id="rId69">
        <w:r>
          <w:rPr>
            <w:rStyle w:val="Hyperlink"/>
          </w:rPr>
          <w:t xml:space="preserve">10.1002/cem.3639</w:t>
        </w:r>
      </w:hyperlink>
      <w:r>
        <w:t xml:space="preserve">.</w:t>
      </w:r>
    </w:p>
    <w:bookmarkEnd w:id="70"/>
    <w:bookmarkStart w:id="72" w:name="ref-qian2024"/>
    <w:p>
      <w:pPr>
        <w:pStyle w:val="Bibliography"/>
      </w:pPr>
      <w:r>
        <w:t xml:space="preserve">[23]</w:t>
      </w:r>
      <w:r>
        <w:t xml:space="preserve"> </w:t>
      </w:r>
      <w:r>
        <w:t xml:space="preserve">	</w:t>
      </w:r>
      <w:r>
        <w:t xml:space="preserve">X. Qian, J. Wu, L. Wei, Y. Lin, Random projection ensemble conformal prediction for high-dimensional classification, Chemometrics and Intelligent Laboratory Systems 253 (2024) 105225. https://doi.org/</w:t>
      </w:r>
      <w:hyperlink r:id="rId71">
        <w:r>
          <w:rPr>
            <w:rStyle w:val="Hyperlink"/>
          </w:rPr>
          <w:t xml:space="preserve">10.1016/j.chemolab.2024.105225</w:t>
        </w:r>
      </w:hyperlink>
      <w:r>
        <w:t xml:space="preserve">.</w:t>
      </w:r>
    </w:p>
    <w:bookmarkEnd w:id="72"/>
    <w:bookmarkStart w:id="74" w:name="ref-booksh2025"/>
    <w:p>
      <w:pPr>
        <w:pStyle w:val="Bibliography"/>
      </w:pPr>
      <w:r>
        <w:t xml:space="preserve">[24]</w:t>
      </w:r>
      <w:r>
        <w:t xml:space="preserve"> </w:t>
      </w:r>
      <w:r>
        <w:t xml:space="preserve">	</w:t>
      </w:r>
      <w:r>
        <w:t xml:space="preserve">Karl S. Booksh, Caelin P. Celani, Nicole M. Ralbovsky, Joseph P. Smith, Assessing Classification Models of Pharmaceuticals With Conformal Prediction, Journal of Chemometrics 39 (2025) e70017. https://doi.org/</w:t>
      </w:r>
      <w:hyperlink r:id="rId73">
        <w:r>
          <w:rPr>
            <w:rStyle w:val="Hyperlink"/>
          </w:rPr>
          <w:t xml:space="preserve">10.1002/cem.70017</w:t>
        </w:r>
      </w:hyperlink>
      <w:r>
        <w:t xml:space="preserve">.</w:t>
      </w:r>
    </w:p>
    <w:bookmarkEnd w:id="74"/>
    <w:bookmarkStart w:id="76" w:name="ref-jovic2025"/>
    <w:p>
      <w:pPr>
        <w:pStyle w:val="Bibliography"/>
      </w:pPr>
      <w:r>
        <w:t xml:space="preserve">[25]</w:t>
      </w:r>
      <w:r>
        <w:t xml:space="preserve"> </w:t>
      </w:r>
      <w:r>
        <w:t xml:space="preserve">	</w:t>
      </w:r>
      <w:r>
        <w:t xml:space="preserve">O. Jovic, Conformal predictors in chemometric study of mid-infrared food adulteration: quantification of prediction uncertainty, Food Chemistry 492 (2025) 145387. https://doi.org/</w:t>
      </w:r>
      <w:hyperlink r:id="rId75">
        <w:r>
          <w:rPr>
            <w:rStyle w:val="Hyperlink"/>
          </w:rPr>
          <w:t xml:space="preserve">10.1016/j.foodchem.2025.145387</w:t>
        </w:r>
      </w:hyperlink>
      <w:r>
        <w:t xml:space="preserve">.</w:t>
      </w:r>
    </w:p>
    <w:bookmarkEnd w:id="76"/>
    <w:bookmarkStart w:id="78" w:name="ref-duma2025"/>
    <w:p>
      <w:pPr>
        <w:pStyle w:val="Bibliography"/>
      </w:pPr>
      <w:r>
        <w:t xml:space="preserve">[26]</w:t>
      </w:r>
      <w:r>
        <w:t xml:space="preserve"> </w:t>
      </w:r>
      <w:r>
        <w:t xml:space="preserve">	</w:t>
      </w:r>
      <w:r>
        <w:t xml:space="preserve">Z.-S. Duma, O. Lamminpää, J. Susiluoto, H. Haario, T. Zheng, T. Sihvonen, A. Braverman, P.A. Townsend, S.-P. Reinikainen, Uncertainty calibration for latent-variable regression models, arXiv Preprint arXiv:2512.23444 (2025).</w:t>
      </w:r>
      <w:r>
        <w:t xml:space="preserve"> </w:t>
      </w:r>
      <w:hyperlink r:id="rId77">
        <w:r>
          <w:rPr>
            <w:rStyle w:val="Hyperlink"/>
          </w:rPr>
          <w:t xml:space="preserve">https://arxiv.org/abs/2512.23444</w:t>
        </w:r>
      </w:hyperlink>
      <w:r>
        <w:t xml:space="preserve">.</w:t>
      </w:r>
    </w:p>
    <w:bookmarkEnd w:id="78"/>
    <w:bookmarkStart w:id="80" w:name="ref-norinder2014"/>
    <w:p>
      <w:pPr>
        <w:pStyle w:val="Bibliography"/>
      </w:pPr>
      <w:r>
        <w:t xml:space="preserve">[27]</w:t>
      </w:r>
      <w:r>
        <w:t xml:space="preserve"> </w:t>
      </w:r>
      <w:r>
        <w:t xml:space="preserve">	</w:t>
      </w:r>
      <w:r>
        <w:t xml:space="preserve">U. Norinder, L. Carlsson, S. Boyer, M. Eklund, Introducing Conformal Prediction in Predictive Modeling. A Transparent and Flexible Alternative to Applicability Domain Determination, Journal of Chemical Information and Modeling 54 (2014) 1596–1603. https://doi.org/</w:t>
      </w:r>
      <w:hyperlink r:id="rId79">
        <w:r>
          <w:rPr>
            <w:rStyle w:val="Hyperlink"/>
          </w:rPr>
          <w:t xml:space="preserve">10.1021/ci5001168</w:t>
        </w:r>
      </w:hyperlink>
      <w:r>
        <w:t xml:space="preserve">.</w:t>
      </w:r>
    </w:p>
    <w:bookmarkEnd w:id="80"/>
    <w:bookmarkStart w:id="81" w:name="ref-tibshirani2019"/>
    <w:p>
      <w:pPr>
        <w:pStyle w:val="Bibliography"/>
      </w:pPr>
      <w:r>
        <w:t xml:space="preserve">[28]</w:t>
      </w:r>
      <w:r>
        <w:t xml:space="preserve"> </w:t>
      </w:r>
      <w:r>
        <w:t xml:space="preserve">	</w:t>
      </w:r>
      <w:r>
        <w:t xml:space="preserve">R.J. Tibshirani, R.F. Barber, E. Candès, A. Ramdas, Conformal prediction under covariate shift, in: Advances in Neural Information Processing Systems 32 (NeurIPS 2019), 2019.</w:t>
      </w:r>
    </w:p>
    <w:bookmarkEnd w:id="81"/>
    <w:bookmarkStart w:id="83" w:name="ref-doula2026"/>
    <w:p>
      <w:pPr>
        <w:pStyle w:val="Bibliography"/>
      </w:pPr>
      <w:r>
        <w:t xml:space="preserve">[29]</w:t>
      </w:r>
      <w:r>
        <w:t xml:space="preserve"> </w:t>
      </w:r>
      <w:r>
        <w:t xml:space="preserve">	</w:t>
      </w:r>
      <w:r>
        <w:t xml:space="preserve">A. Doula, Conformal calibration transfer, arXiv Preprint arXiv:2609.10737 (Accepted at ICML 2026) (2026).</w:t>
      </w:r>
      <w:r>
        <w:t xml:space="preserve"> </w:t>
      </w:r>
      <w:hyperlink r:id="rId82">
        <w:r>
          <w:rPr>
            <w:rStyle w:val="Hyperlink"/>
          </w:rPr>
          <w:t xml:space="preserve">https://arxiv.org/abs/2609.10737</w:t>
        </w:r>
      </w:hyperlink>
      <w:r>
        <w:t xml:space="preserve">.</w:t>
      </w:r>
    </w:p>
    <w:bookmarkEnd w:id="83"/>
    <w:bookmarkStart w:id="85" w:name="ref-barber2021"/>
    <w:p>
      <w:pPr>
        <w:pStyle w:val="Bibliography"/>
      </w:pPr>
      <w:r>
        <w:t xml:space="preserve">[30]</w:t>
      </w:r>
      <w:r>
        <w:t xml:space="preserve"> </w:t>
      </w:r>
      <w:r>
        <w:t xml:space="preserve">	</w:t>
      </w:r>
      <w:r>
        <w:t xml:space="preserve">R.F. Barber, E.J. Candès, A. Ramdas, R.J. Tibshirani, Predictive inference with the jackknife+, The Annals of Statistics 49 (2021) 486–507. https://doi.org/</w:t>
      </w:r>
      <w:hyperlink r:id="rId84">
        <w:r>
          <w:rPr>
            <w:rStyle w:val="Hyperlink"/>
          </w:rPr>
          <w:t xml:space="preserve">10.1214/20-aos1965</w:t>
        </w:r>
      </w:hyperlink>
      <w:r>
        <w:t xml:space="preserve">.</w:t>
      </w:r>
    </w:p>
    <w:bookmarkEnd w:id="85"/>
    <w:bookmarkStart w:id="87" w:name="ref-kennard1969"/>
    <w:p>
      <w:pPr>
        <w:pStyle w:val="Bibliography"/>
      </w:pPr>
      <w:r>
        <w:t xml:space="preserve">[31]</w:t>
      </w:r>
      <w:r>
        <w:t xml:space="preserve"> </w:t>
      </w:r>
      <w:r>
        <w:t xml:space="preserve">	</w:t>
      </w:r>
      <w:r>
        <w:t xml:space="preserve">R.W. Kennard, L.A. Stone, Computer Aided Design of Experiments, Technometrics 11 (1969) 137–148. https://doi.org/</w:t>
      </w:r>
      <w:hyperlink r:id="rId86">
        <w:r>
          <w:rPr>
            <w:rStyle w:val="Hyperlink"/>
          </w:rPr>
          <w:t xml:space="preserve">10.1080/00401706.1969.10490666</w:t>
        </w:r>
      </w:hyperlink>
      <w:r>
        <w:t xml:space="preserve">.</w:t>
      </w:r>
    </w:p>
    <w:bookmarkEnd w:id="87"/>
    <w:bookmarkStart w:id="88" w:name="ref-gal2016"/>
    <w:p>
      <w:pPr>
        <w:pStyle w:val="Bibliography"/>
      </w:pPr>
      <w:r>
        <w:t xml:space="preserve">[32]</w:t>
      </w:r>
      <w:r>
        <w:t xml:space="preserve"> </w:t>
      </w:r>
      <w:r>
        <w:t xml:space="preserve">	</w:t>
      </w:r>
      <w:r>
        <w:t xml:space="preserve">Y. Gal, Z. Ghahramani, Dropout as a Bayesian approximation: representing model uncertainty in deep learning, in: Proceedings of the 33rd International Conference on Machine Learning, PMLR 48, 2016: pp. 1050–1059.</w:t>
      </w:r>
    </w:p>
    <w:bookmarkEnd w:id="88"/>
    <w:bookmarkEnd w:id="89"/>
    <w:bookmarkEnd w:id="90"/>
    <w:sectPr>
      <w:footerReference r:id="rId9" w:type="default"/>
      <w:pgSz w:h="16838" w:w="11906"/>
      <w:pgMar w:bottom="1417" w:left="1417" w:right="1417" w:top="1417"/>
      <w:lnNumType w:countBy="1" w:distance="283"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360"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480"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360"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360"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77" Type="http://schemas.openxmlformats.org/officeDocument/2006/relationships/hyperlink" Target="https://arxiv.org/abs/2512.23444" TargetMode="External"/><Relationship Id="rId82" Type="http://schemas.openxmlformats.org/officeDocument/2006/relationships/hyperlink" Target="https://arxiv.org/abs/2609.10737" TargetMode="External"/><Relationship Id="rId51" Type="http://schemas.openxmlformats.org/officeDocument/2006/relationships/hyperlink" Target="https://doi.org/10.1002/(SICI)1099-128X(199705)11:3&lt;181::AID-CEM459&gt;3.0.CO;2-7" TargetMode="External"/><Relationship Id="rId69" Type="http://schemas.openxmlformats.org/officeDocument/2006/relationships/hyperlink" Target="https://doi.org/10.1002/cem.3639" TargetMode="External"/><Relationship Id="rId73" Type="http://schemas.openxmlformats.org/officeDocument/2006/relationships/hyperlink" Target="https://doi.org/10.1002/cem.70017" TargetMode="External"/><Relationship Id="rId59" Type="http://schemas.openxmlformats.org/officeDocument/2006/relationships/hyperlink" Target="https://doi.org/10.1007/b106715" TargetMode="External"/><Relationship Id="rId37" Type="http://schemas.openxmlformats.org/officeDocument/2006/relationships/hyperlink" Target="https://doi.org/10.1016/0169-7439(95)00074-7" TargetMode="External"/><Relationship Id="rId29" Type="http://schemas.openxmlformats.org/officeDocument/2006/relationships/hyperlink" Target="https://doi.org/10.1016/S0169-7439(02)00085-0" TargetMode="External"/><Relationship Id="rId55" Type="http://schemas.openxmlformats.org/officeDocument/2006/relationships/hyperlink" Target="https://doi.org/10.1016/j.aca.2015.11.028" TargetMode="External"/><Relationship Id="rId27" Type="http://schemas.openxmlformats.org/officeDocument/2006/relationships/hyperlink" Target="https://doi.org/10.1016/j.aca.2018.04.004" TargetMode="External"/><Relationship Id="rId43" Type="http://schemas.openxmlformats.org/officeDocument/2006/relationships/hyperlink" Target="https://doi.org/10.1016/j.aca.2022.340154" TargetMode="External"/><Relationship Id="rId45" Type="http://schemas.openxmlformats.org/officeDocument/2006/relationships/hyperlink" Target="https://doi.org/10.1016/j.aca.2024.342404" TargetMode="External"/><Relationship Id="rId47" Type="http://schemas.openxmlformats.org/officeDocument/2006/relationships/hyperlink" Target="https://doi.org/10.1016/j.aca.2025.344151" TargetMode="External"/><Relationship Id="rId49" Type="http://schemas.openxmlformats.org/officeDocument/2006/relationships/hyperlink" Target="https://doi.org/10.1016/j.aca.2026.346104" TargetMode="External"/><Relationship Id="rId71" Type="http://schemas.openxmlformats.org/officeDocument/2006/relationships/hyperlink" Target="https://doi.org/10.1016/j.chemolab.2024.105225" TargetMode="External"/><Relationship Id="rId75" Type="http://schemas.openxmlformats.org/officeDocument/2006/relationships/hyperlink" Target="https://doi.org/10.1016/j.foodchem.2025.145387" TargetMode="External"/><Relationship Id="rId41" Type="http://schemas.openxmlformats.org/officeDocument/2006/relationships/hyperlink" Target="https://doi.org/10.1016/j.infrared.2020.103547" TargetMode="External"/><Relationship Id="rId33" Type="http://schemas.openxmlformats.org/officeDocument/2006/relationships/hyperlink" Target="https://doi.org/10.1016/j.postharvbio.2020.111202" TargetMode="External"/><Relationship Id="rId35" Type="http://schemas.openxmlformats.org/officeDocument/2006/relationships/hyperlink" Target="https://doi.org/10.1021/ac00023a016" TargetMode="External"/><Relationship Id="rId39" Type="http://schemas.openxmlformats.org/officeDocument/2006/relationships/hyperlink" Target="https://doi.org/10.1021/acs.analchem.8b00498" TargetMode="External"/><Relationship Id="rId79" Type="http://schemas.openxmlformats.org/officeDocument/2006/relationships/hyperlink" Target="https://doi.org/10.1021/ci5001168" TargetMode="External"/><Relationship Id="rId86" Type="http://schemas.openxmlformats.org/officeDocument/2006/relationships/hyperlink" Target="https://doi.org/10.1080/00401706.1969.10490666" TargetMode="External"/><Relationship Id="rId61" Type="http://schemas.openxmlformats.org/officeDocument/2006/relationships/hyperlink" Target="https://doi.org/10.1080/01621459.2017.1307116" TargetMode="External"/><Relationship Id="rId31" Type="http://schemas.openxmlformats.org/officeDocument/2006/relationships/hyperlink" Target="https://doi.org/10.1177/0003702817736064" TargetMode="External"/><Relationship Id="rId67" Type="http://schemas.openxmlformats.org/officeDocument/2006/relationships/hyperlink" Target="https://doi.org/10.1177/0003702819831017" TargetMode="External"/><Relationship Id="rId84" Type="http://schemas.openxmlformats.org/officeDocument/2006/relationships/hyperlink" Target="https://doi.org/10.1214/20-aos1965" TargetMode="External"/><Relationship Id="rId53" Type="http://schemas.openxmlformats.org/officeDocument/2006/relationships/hyperlink" Target="https://doi.org/10.1351/pac200678030633" TargetMode="External"/><Relationship Id="rId57" Type="http://schemas.openxmlformats.org/officeDocument/2006/relationships/hyperlink" Target="https://doi.org/10.1520/E1655-17" TargetMode="External"/><Relationship Id="rId63" Type="http://schemas.openxmlformats.org/officeDocument/2006/relationships/hyperlink" Target="https://doi.org/10.1561/2200000101" TargetMode="External"/><Relationship Id="rId65" Type="http://schemas.openxmlformats.org/officeDocument/2006/relationships/hyperlink" Target="https://doi.org/10.3150/21-BEJ1447" TargetMode="External"/></Relationships>
</file>

<file path=word/_rels/footnotes.xml.rels><?xml version='1.0' encoding='UTF-8' standalone='yes'?>
<Relationships xmlns="http://schemas.openxmlformats.org/package/2006/relationships"><Relationship Id="rId77" Type="http://schemas.openxmlformats.org/officeDocument/2006/relationships/hyperlink" Target="https://arxiv.org/abs/2512.23444" TargetMode="External"/><Relationship Id="rId82" Type="http://schemas.openxmlformats.org/officeDocument/2006/relationships/hyperlink" Target="https://arxiv.org/abs/2609.10737" TargetMode="External"/><Relationship Id="rId51" Type="http://schemas.openxmlformats.org/officeDocument/2006/relationships/hyperlink" Target="https://doi.org/10.1002/(SICI)1099-128X(199705)11:3&lt;181::AID-CEM459&gt;3.0.CO;2-7" TargetMode="External"/><Relationship Id="rId69" Type="http://schemas.openxmlformats.org/officeDocument/2006/relationships/hyperlink" Target="https://doi.org/10.1002/cem.3639" TargetMode="External"/><Relationship Id="rId73" Type="http://schemas.openxmlformats.org/officeDocument/2006/relationships/hyperlink" Target="https://doi.org/10.1002/cem.70017" TargetMode="External"/><Relationship Id="rId59" Type="http://schemas.openxmlformats.org/officeDocument/2006/relationships/hyperlink" Target="https://doi.org/10.1007/b106715" TargetMode="External"/><Relationship Id="rId37" Type="http://schemas.openxmlformats.org/officeDocument/2006/relationships/hyperlink" Target="https://doi.org/10.1016/0169-7439(95)00074-7" TargetMode="External"/><Relationship Id="rId29" Type="http://schemas.openxmlformats.org/officeDocument/2006/relationships/hyperlink" Target="https://doi.org/10.1016/S0169-7439(02)00085-0" TargetMode="External"/><Relationship Id="rId55" Type="http://schemas.openxmlformats.org/officeDocument/2006/relationships/hyperlink" Target="https://doi.org/10.1016/j.aca.2015.11.028" TargetMode="External"/><Relationship Id="rId27" Type="http://schemas.openxmlformats.org/officeDocument/2006/relationships/hyperlink" Target="https://doi.org/10.1016/j.aca.2018.04.004" TargetMode="External"/><Relationship Id="rId43" Type="http://schemas.openxmlformats.org/officeDocument/2006/relationships/hyperlink" Target="https://doi.org/10.1016/j.aca.2022.340154" TargetMode="External"/><Relationship Id="rId45" Type="http://schemas.openxmlformats.org/officeDocument/2006/relationships/hyperlink" Target="https://doi.org/10.1016/j.aca.2024.342404" TargetMode="External"/><Relationship Id="rId47" Type="http://schemas.openxmlformats.org/officeDocument/2006/relationships/hyperlink" Target="https://doi.org/10.1016/j.aca.2025.344151" TargetMode="External"/><Relationship Id="rId49" Type="http://schemas.openxmlformats.org/officeDocument/2006/relationships/hyperlink" Target="https://doi.org/10.1016/j.aca.2026.346104" TargetMode="External"/><Relationship Id="rId71" Type="http://schemas.openxmlformats.org/officeDocument/2006/relationships/hyperlink" Target="https://doi.org/10.1016/j.chemolab.2024.105225" TargetMode="External"/><Relationship Id="rId75" Type="http://schemas.openxmlformats.org/officeDocument/2006/relationships/hyperlink" Target="https://doi.org/10.1016/j.foodchem.2025.145387" TargetMode="External"/><Relationship Id="rId41" Type="http://schemas.openxmlformats.org/officeDocument/2006/relationships/hyperlink" Target="https://doi.org/10.1016/j.infrared.2020.103547" TargetMode="External"/><Relationship Id="rId33" Type="http://schemas.openxmlformats.org/officeDocument/2006/relationships/hyperlink" Target="https://doi.org/10.1016/j.postharvbio.2020.111202" TargetMode="External"/><Relationship Id="rId35" Type="http://schemas.openxmlformats.org/officeDocument/2006/relationships/hyperlink" Target="https://doi.org/10.1021/ac00023a016" TargetMode="External"/><Relationship Id="rId39" Type="http://schemas.openxmlformats.org/officeDocument/2006/relationships/hyperlink" Target="https://doi.org/10.1021/acs.analchem.8b00498" TargetMode="External"/><Relationship Id="rId79" Type="http://schemas.openxmlformats.org/officeDocument/2006/relationships/hyperlink" Target="https://doi.org/10.1021/ci5001168" TargetMode="External"/><Relationship Id="rId86" Type="http://schemas.openxmlformats.org/officeDocument/2006/relationships/hyperlink" Target="https://doi.org/10.1080/00401706.1969.10490666" TargetMode="External"/><Relationship Id="rId61" Type="http://schemas.openxmlformats.org/officeDocument/2006/relationships/hyperlink" Target="https://doi.org/10.1080/01621459.2017.1307116" TargetMode="External"/><Relationship Id="rId31" Type="http://schemas.openxmlformats.org/officeDocument/2006/relationships/hyperlink" Target="https://doi.org/10.1177/0003702817736064" TargetMode="External"/><Relationship Id="rId67" Type="http://schemas.openxmlformats.org/officeDocument/2006/relationships/hyperlink" Target="https://doi.org/10.1177/0003702819831017" TargetMode="External"/><Relationship Id="rId84" Type="http://schemas.openxmlformats.org/officeDocument/2006/relationships/hyperlink" Target="https://doi.org/10.1214/20-aos1965" TargetMode="External"/><Relationship Id="rId53" Type="http://schemas.openxmlformats.org/officeDocument/2006/relationships/hyperlink" Target="https://doi.org/10.1351/pac200678030633" TargetMode="External"/><Relationship Id="rId57" Type="http://schemas.openxmlformats.org/officeDocument/2006/relationships/hyperlink" Target="https://doi.org/10.1520/E1655-17" TargetMode="External"/><Relationship Id="rId63" Type="http://schemas.openxmlformats.org/officeDocument/2006/relationships/hyperlink" Target="https://doi.org/10.1561/2200000101" TargetMode="External"/><Relationship Id="rId65" Type="http://schemas.openxmlformats.org/officeDocument/2006/relationships/hyperlink" Target="https://doi.org/10.3150/21-BEJ14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 prediction intervals for transferred multivariate calibrations: reusing the transfer standards with a leave-one-standard-out jackknife+</dc:title>
  <dc:creator/>
  <cp:keywords/>
  <dcterms:created xsi:type="dcterms:W3CDTF">2026-10-13T13:36:35Z</dcterms:created>
  <dcterms:modified xsi:type="dcterms:W3CDTF">2026-10-13T13:36:35Z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/home/user/rp_c_4/Target_Journal_Submission/manuscript/build/references.json</vt:lpwstr>
  </property>
  <property fmtid="{D5CDD505-2E9C-101B-9397-08002B2CF9AE}" pid="3" name="csl">
    <vt:lpwstr>/home/user/rp_c_4/Target_Journal_Submission/manuscript/build/elsevier-with-titles.csl</vt:lpwstr>
  </property>
  <property fmtid="{D5CDD505-2E9C-101B-9397-08002B2CF9AE}" pid="4" name="link-citations">
    <vt:lpwstr>False</vt:lpwstr>
  </property>
  <property fmtid="{D5CDD505-2E9C-101B-9397-08002B2CF9AE}" pid="5" name="reference-section-title">
    <vt:lpwstr>References</vt:lpwstr>
  </property>
</Properties>
</file>