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NIR</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the transfer step (e.g., piecewise direct standardisation) is re-fitted on the others, and the leave-one-out residuals, normalised by a difficulty function of Hotelling T² and Q residuals learned from source data,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All methods failed under wavelength drift occurring after standardisation.</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 corrects for covariate shift</w:t>
      </w:r>
      <w:r>
        <w:t xml:space="preserve"> </w:t>
      </w:r>
      <w:r>
        <w:t xml:space="preserve">[28]</w:t>
      </w:r>
      <w:r>
        <w:t xml:space="preserve">, but an instrument change alters the relation between spectrum and property, not only the spectral distribution. Transporting calibration data between paired domains has very recently been proposed for classification</w:t>
      </w:r>
      <w:r>
        <w:t xml:space="preserve"> </w:t>
      </w:r>
      <w:r>
        <w:t xml:space="preserve">[29]</w:t>
      </w:r>
      <w:r>
        <w:t xml:space="preserve">.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[30]</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t xml:space="preserve">The contributions of this work are:</w:t>
      </w:r>
    </w:p>
    <w:p>
      <w:pPr>
        <w:numPr>
          <w:ilvl w:val="0"/>
          <w:numId w:val="1001"/>
        </w:numPr>
      </w:pPr>
      <w:r>
        <w:t xml:space="preserve">A transfer jackknife+ (TJ+) for transferred multivariate calibrations, with a finite-sample coverage statement under explicit conditions on how the standards are selected (Appendix A).</w:t>
      </w:r>
    </w:p>
    <w:p>
      <w:pPr>
        <w:numPr>
          <w:ilvl w:val="0"/>
          <w:numId w:val="1001"/>
        </w:numPr>
      </w:pPr>
      <w:r>
        <w:t xml:space="preserve">A chemometric normalisation (TJ+N), using a source-learned difficulty function of Hotelling T² and Q residuals of the</w:t>
      </w:r>
      <w:r>
        <w:t xml:space="preserve"> </w:t>
      </w:r>
      <w:r>
        <w:rPr>
          <w:iCs/>
          <w:i/>
        </w:rPr>
        <w:t xml:space="preserve">transferred</w:t>
      </w:r>
      <w:r>
        <w:t xml:space="preserve"> </w:t>
      </w:r>
      <w:r>
        <w:t xml:space="preserve">spectrum, so that interval width adapts to the sample.</w:t>
      </w:r>
    </w:p>
    <w:p>
      <w:pPr>
        <w:numPr>
          <w:ilvl w:val="0"/>
          <w:numId w:val="1001"/>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1"/>
        </w:numPr>
      </w:pPr>
      <w:r>
        <w:t xml:space="preserve">An exploratory label-free variant for the case in which the transfer standards have no reference values.</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2"/>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2"/>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2"/>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Because the matrix</w:t>
      </w:r>
      <w:r>
        <w:t xml:space="preserve"> </w:t>
      </w:r>
      <m:oMath>
        <m:d>
          <m:dPr>
            <m:begChr m:val="("/>
            <m:endChr m:val=")"/>
            <m:sepChr m:val=""/>
            <m:grow/>
          </m:dPr>
          <m:e>
            <m:sSub>
              <m:e>
                <m:r>
                  <m:t>R</m:t>
                </m:r>
              </m:e>
              <m:sub>
                <m:r>
                  <m:t>i</m:t>
                </m:r>
                <m:r>
                  <m:t>j</m:t>
                </m:r>
              </m:sub>
            </m:sSub>
          </m:e>
        </m:d>
      </m:oMath>
      <w:r>
        <w:t xml:space="preserve"> </w:t>
      </w:r>
      <w:r>
        <w:t xml:space="preserve">is exchangeable under permutations of the</w:t>
      </w:r>
      <w:r>
        <w:t xml:space="preserve"> </w:t>
      </w:r>
      <m:oMath>
        <m:r>
          <m:t>m</m:t>
        </m:r>
        <m:r>
          <m:rPr>
            <m:sty m:val="p"/>
          </m:rPr>
          <m:t>+</m:t>
        </m:r>
        <m:r>
          <m:t>1</m:t>
        </m:r>
      </m:oMath>
      <w:r>
        <w:t xml:space="preserve"> </w:t>
      </w:r>
      <w:r>
        <w:t xml:space="preserve">points, the counting argument of Barber et al.</w:t>
      </w:r>
      <w:r>
        <w:t xml:space="preserve"> </w:t>
      </w:r>
      <w:r>
        <w:t xml:space="preserve">[30, Thm. 1]</w:t>
      </w:r>
      <w:r>
        <w:t xml:space="preserve"> </w:t>
      </w:r>
      <w:r>
        <w:t xml:space="preserve">bounds the probability of this event by</w:t>
      </w:r>
      <w:r>
        <w:t xml:space="preserve"> </w:t>
      </w:r>
      <m:oMath>
        <m:r>
          <m:t>2</m:t>
        </m:r>
        <m:r>
          <m:t>α</m:t>
        </m:r>
      </m:oMath>
      <w:r>
        <w:t xml:space="preserve">. A step-by-step proof, including the role of</w:t>
      </w:r>
      <w:r>
        <w:t xml:space="preserve"> </w:t>
      </w:r>
      <m:oMath>
        <m:r>
          <m:t>ε</m:t>
        </m:r>
        <m:r>
          <m:rPr>
            <m:sty m:val="p"/>
          </m:rPr>
          <m:t>&gt;</m:t>
        </m:r>
        <m:r>
          <m:t>0</m:t>
        </m:r>
      </m:oMath>
      <w:r>
        <w:t xml:space="preserve"> </w:t>
      </w:r>
      <w:r>
        <w:t xml:space="preserve">and of the paired master spectrum, is given in Appendix A.</w:t>
      </w:r>
      <w:r>
        <w:t xml:space="preserve"> </w:t>
      </w:r>
      <m:oMath>
        <m:r>
          <m:rPr>
            <m:sty m:val="p"/>
          </m:rPr>
          <m:t>▫</m:t>
        </m:r>
      </m:oMath>
    </w:p>
    <w:p>
      <w:pPr>
        <w:pStyle w:val="BodyText"/>
      </w:pPr>
      <w:r>
        <w:t xml:space="preserve">Three remarks clarify the scope of the guarantee.</w:t>
      </w:r>
    </w:p>
    <w:p>
      <w:pPr>
        <w:numPr>
          <w:ilvl w:val="0"/>
          <w:numId w:val="1003"/>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3"/>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3"/>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[31]</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4"/>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w:t>
      </w:r>
    </w:p>
    <w:p>
      <w:pPr>
        <w:numPr>
          <w:ilvl w:val="0"/>
          <w:numId w:val="1004"/>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4"/>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w:t>
      </w:r>
    </w:p>
    <w:p>
      <w:pPr>
        <w:numPr>
          <w:ilvl w:val="0"/>
          <w:numId w:val="1004"/>
        </w:numPr>
      </w:pPr>
      <w:r>
        <w:rPr>
          <w:bCs/>
          <w:b/>
        </w:rPr>
        <w:t xml:space="preserve">Transport:</w:t>
      </w:r>
      <w:r>
        <w:t xml:space="preserve"> </w:t>
      </w:r>
      <w:r>
        <w:t xml:space="preserve">a regression analogue of transported conformal calibration</w:t>
      </w:r>
      <w:r>
        <w:t xml:space="preserve"> </w:t>
      </w:r>
      <w:r>
        <w:t xml:space="preserve">[29]</w:t>
      </w:r>
      <w:r>
        <w:t xml:space="preserve">. Source-calibration spectra are mapped into the target space by a master→secondary PDS fitted on the standards, passed through the deployed pipeline, and their residuals calibrate a split-conformal quantile. It applies to paired transfers only.</w:t>
      </w:r>
    </w:p>
    <w:p>
      <w:pPr>
        <w:numPr>
          <w:ilvl w:val="0"/>
          <w:numId w:val="1004"/>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recomputing the RMSEP on the standards.</w:t>
      </w:r>
    </w:p>
    <w:p>
      <w:pPr>
        <w:numPr>
          <w:ilvl w:val="0"/>
          <w:numId w:val="1004"/>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4"/>
        </w:numPr>
      </w:pPr>
      <w:r>
        <w:rPr>
          <w:bCs/>
          <w:b/>
        </w:rPr>
        <w:t xml:space="preserve">MC-dropout</w:t>
      </w:r>
      <w:r>
        <w:t xml:space="preserve"> </w:t>
      </w:r>
      <w:r>
        <w:t xml:space="preserve">(CNN only): Gaussian intervals from 100 stochastic forward passes plus the source residual variance</w:t>
      </w:r>
      <w:r>
        <w:t xml:space="preserve"> </w:t>
      </w:r>
      <w:r>
        <w:t xml:space="preserve">[32]</w:t>
      </w:r>
      <w:r>
        <w:t xml:space="preserve">, followed by SBC.</w:t>
      </w:r>
    </w:p>
    <w:p>
      <w:pPr>
        <w:pStyle w:val="FirstParagraph"/>
      </w:pPr>
      <w:r>
        <w:rPr>
          <w:bCs/>
          <w:b/>
        </w:rPr>
        <w:t xml:space="preserve">Ablations:</w:t>
      </w:r>
    </w:p>
    <w:p>
      <w:pPr>
        <w:numPr>
          <w:ilvl w:val="0"/>
          <w:numId w:val="1005"/>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5"/>
        </w:numPr>
      </w:pPr>
      <w:r>
        <w:t xml:space="preserve">TJ-insample-N: residuals from the transfer fitted on all standards, without leave-one-out.</w:t>
      </w:r>
    </w:p>
    <w:p>
      <w:pPr>
        <w:numPr>
          <w:ilvl w:val="0"/>
          <w:numId w:val="1005"/>
        </w:numPr>
      </w:pPr>
      <w:r>
        <w:t xml:space="preserve">TCV+N: five-fold CV+.</w:t>
      </w:r>
    </w:p>
    <w:p>
      <w:pPr>
        <w:numPr>
          <w:ilvl w:val="0"/>
          <w:numId w:val="1005"/>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[33]</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[33]</w:t>
      </w:r>
      <w:r>
        <w:t xml:space="preserve">. 655 tablets were measured on two spectrometers (600–1898 nm, 650 channels), with reference weight, hardness and active-ingredient assay. The distributed calibrate (155), validate (40) and test (460) partition was retained. Instrument 1 is the master.</w:t>
      </w:r>
    </w:p>
    <w:p>
      <w:pPr>
        <w:pStyle w:val="BodyText"/>
      </w:pPr>
      <w:r>
        <w:rPr>
          <w:bCs/>
          <w:b/>
        </w:rPr>
        <w:t xml:space="preserve">Mango dry matter</w:t>
      </w:r>
      <w:r>
        <w:t xml:space="preserve"> </w:t>
      </w:r>
      <w:r>
        <w:t xml:space="preserve">[4,34]</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giving 4,677 fruit.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[35]</w:t>
      </w:r>
      <w:r>
        <w:t xml:space="preserve">, Savitzky–Golay</w:t>
      </w:r>
      <w:r>
        <w:t xml:space="preserve"> </w:t>
      </w:r>
      <w:r>
        <w:t xml:space="preserve">[36]</w:t>
      </w:r>
      <w:r>
        <w:t xml:space="preserve"> </w:t>
      </w:r>
      <w:r>
        <w:t xml:space="preserve">first derivative (window 11, order 2) and second derivative (window 13, order 2). The number of PLS latent variables</w:t>
      </w:r>
      <w:r>
        <w:t xml:space="preserve"> </w:t>
      </w:r>
      <w:r>
        <w:t xml:space="preserve">[37]</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has two convolutional layers and dropout 0.2, and was trained once on seasons 1–3 with early stopping on a 10% split of the source training data.</w:t>
      </w:r>
    </w:p>
    <w:p>
      <w:pPr>
        <w:pStyle w:val="BodyText"/>
      </w:pPr>
      <w:r>
        <w:rPr>
          <w:bCs/>
          <w:b/>
        </w:rPr>
        <w:t xml:space="preserve">Splits.</w:t>
      </w:r>
    </w:p>
    <w:p>
      <w:pPr>
        <w:numPr>
          <w:ilvl w:val="0"/>
          <w:numId w:val="1006"/>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6"/>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6"/>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7"/>
        </w:numPr>
      </w:pPr>
      <w:r>
        <w:t xml:space="preserve">empirical coverage on the test samples;</w:t>
      </w:r>
    </w:p>
    <w:p>
      <w:pPr>
        <w:numPr>
          <w:ilvl w:val="0"/>
          <w:numId w:val="1007"/>
        </w:numPr>
      </w:pPr>
      <w:r>
        <w:t xml:space="preserve">mean and median interval width;</w:t>
      </w:r>
    </w:p>
    <w:p>
      <w:pPr>
        <w:numPr>
          <w:ilvl w:val="0"/>
          <w:numId w:val="1007"/>
        </w:numPr>
      </w:pPr>
      <w:r>
        <w:t xml:space="preserve">the fraction of unbounded intervals;</w:t>
      </w:r>
    </w:p>
    <w:p>
      <w:pPr>
        <w:numPr>
          <w:ilvl w:val="0"/>
          <w:numId w:val="1007"/>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[38]</w:t>
      </w:r>
      <w:r>
        <w:t xml:space="preserve">;</w:t>
      </w:r>
    </w:p>
    <w:p>
      <w:pPr>
        <w:numPr>
          <w:ilvl w:val="0"/>
          <w:numId w:val="1007"/>
        </w:numPr>
      </w:pPr>
      <w:r>
        <w:t xml:space="preserve">RMSEP of the point prediction;</w:t>
      </w:r>
    </w:p>
    <w:p>
      <w:pPr>
        <w:numPr>
          <w:ilvl w:val="0"/>
          <w:numId w:val="1007"/>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[39]</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[40]</w:t>
      </w:r>
      <w:r>
        <w:t xml:space="preserve">. Repetitions are independent random draws of the splits from fixed data sets, so inferences are conditional on the data sets.</w:t>
      </w:r>
    </w:p>
    <w:p>
      <w:pPr>
        <w:pStyle w:val="BodyText"/>
      </w:pPr>
      <w:r>
        <w:rPr>
          <w:bCs/>
          <w:b/>
        </w:rPr>
        <w:t xml:space="preserve">Robustness and sensitivity.</w:t>
      </w:r>
      <w:r>
        <w:t xml:space="preserve"> </w:t>
      </w:r>
      <w:r>
        <w:t xml:space="preserve">Robustness conditions were:</w:t>
      </w:r>
    </w:p>
    <w:p>
      <w:pPr>
        <w:numPr>
          <w:ilvl w:val="0"/>
          <w:numId w:val="1008"/>
        </w:numPr>
      </w:pPr>
      <w:r>
        <w:t xml:space="preserve">Kennard–Stone selection of the standards from a random half of the target pool (non-exchangeable);</w:t>
      </w:r>
    </w:p>
    <w:p>
      <w:pPr>
        <w:numPr>
          <w:ilvl w:val="0"/>
          <w:numId w:val="1008"/>
        </w:numPr>
      </w:pPr>
      <w:r>
        <w:t xml:space="preserve">Gaussian noise added to all target spectra (SNR 1000, 300, 100);</w:t>
      </w:r>
    </w:p>
    <w:p>
      <w:pPr>
        <w:numPr>
          <w:ilvl w:val="0"/>
          <w:numId w:val="1008"/>
        </w:numPr>
      </w:pPr>
      <w:r>
        <w:t xml:space="preserve">a ±1-channel wavelength shift of the test spectra after the transfer was fitted (post-standardisation drift);</w:t>
      </w:r>
    </w:p>
    <w:p>
      <w:pPr>
        <w:numPr>
          <w:ilvl w:val="0"/>
          <w:numId w:val="1008"/>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72"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09"/>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09"/>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09"/>
        </w:numPr>
      </w:pPr>
      <w:r>
        <w:rPr>
          <w:bCs/>
          <w:b/>
        </w:rPr>
        <w:t xml:space="preserve">Mango:</w:t>
      </w:r>
      <w:r>
        <w:t xml:space="preserve"> </w:t>
      </w:r>
      <w:r>
        <w:t xml:space="preserve">SBC did not improve on the uncorrected source model (RMSEP 1.06–1.15 vs 1.05 %), consistent with reports that models built over several seasons are already fairly robust</w:t>
      </w:r>
      <w:r>
        <w:t xml:space="preserve"> </w:t>
      </w:r>
      <w:r>
        <w:t xml:space="preserve">[4]</w:t>
      </w:r>
      <w:r>
        <w:t xml:space="preserve">.</w:t>
      </w:r>
    </w:p>
    <w:p>
      <w:pPr>
        <w:pStyle w:val="FirstParagraph"/>
      </w:pPr>
      <w:r>
        <w:t xml:space="preserve">The transfer settings (PDS window 5, SBC slope and bias, LV numbers) were fixed in advance and were not tuned on target data. They are therefore not the most accurate possible: on corn, SBC gave lower RMSEP than the pre-registered PDS for all four properties, and a 3-channel PDS window was more accurate than the 5-channel one (§4.8). This does not affect the comparison of interval methods. All interval methods share the same point predictor within a pipeline, so the comparisons isolate the interval construction, and interval validity is reported for every pipeline (§4.3).</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 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whenever the transfer added error that the source calibration had not seen (Fig. 3; Table 3).</w:t>
      </w:r>
    </w:p>
    <w:p>
      <w:pPr>
        <w:numPr>
          <w:ilvl w:val="0"/>
          <w:numId w:val="1010"/>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0"/>
        </w:numPr>
      </w:pPr>
      <w:r>
        <w:rPr>
          <w:bCs/>
          <w:b/>
        </w:rPr>
        <w:t xml:space="preserve">Mango:</w:t>
      </w:r>
      <w:r>
        <w:t xml:space="preserve"> </w:t>
      </w:r>
      <w:r>
        <w:t xml:space="preserve">coverage was 0.71–0.76 (12 of 12 cells under-covering).</w:t>
      </w:r>
    </w:p>
    <w:p>
      <w:pPr>
        <w:numPr>
          <w:ilvl w:val="0"/>
          <w:numId w:val="1010"/>
        </w:numPr>
      </w:pPr>
      <w:r>
        <w:rPr>
          <w:bCs/>
          <w:b/>
        </w:rPr>
        <w:t xml:space="preserve">Tablets:</w:t>
      </w:r>
      <w:r>
        <w:t xml:space="preserve"> </w:t>
      </w:r>
      <w:r>
        <w:t xml:space="preserve">the picture was mixed (0.81–0.95; 11 of 36 cells under-covering). Severe under-coverage occurred for the assay with</w:t>
      </w:r>
      <w:r>
        <w:t xml:space="preserve"> </w:t>
      </w:r>
      <w:r>
        <w:rPr>
          <w:iCs/>
          <w:i/>
        </w:rPr>
        <w:t xml:space="preserve">m</w:t>
      </w:r>
      <w:r>
        <w:t xml:space="preserve"> </w:t>
      </w:r>
      <w:r>
        <w:t xml:space="preserve">= 10 (all three methods, coverage 0.81–0.85), where PDS fitted on ten standards inflated the error. For weight, SCP-S and WCP-S under-covered slightly but systematically at every</w:t>
      </w:r>
      <w:r>
        <w:t xml:space="preserve"> </w:t>
      </w:r>
      <w:r>
        <w:rPr>
          <w:iCs/>
          <w:i/>
        </w:rPr>
        <w:t xml:space="preserve">m</w:t>
      </w:r>
      <w:r>
        <w:t xml:space="preserve"> </w:t>
      </w:r>
      <w:r>
        <w:t xml:space="preserve">(0.894–0.895), while hardness intervals were valid.</w:t>
      </w:r>
    </w:p>
    <w:p>
      <w:pPr>
        <w:pStyle w:val="FirstParagraph"/>
      </w:pPr>
      <w:r>
        <w:t xml:space="preserve">Weighting the source residuals for covariate shift (WCP-S) did not repair coverage,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 In practice, this conservativeness means somewhat wider intervals than necessary when few standards are available; it decreases as</w:t>
      </w:r>
      <w:r>
        <w:t xml:space="preserve"> </w:t>
      </w:r>
      <w:r>
        <w:rPr>
          <w:iCs/>
          <w:i/>
        </w:rPr>
        <w:t xml:space="preserve">m</w:t>
      </w:r>
      <w:r>
        <w:t xml:space="preserve"> </w:t>
      </w:r>
      <w:r>
        <w:t xml:space="preserve">grows (Fig. 3).</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1"/>
        </w:numPr>
      </w:pPr>
      <w:r>
        <w:t xml:space="preserve">It was never flagged as under-covering at this level.</w:t>
      </w:r>
    </w:p>
    <w:p>
      <w:pPr>
        <w:numPr>
          <w:ilvl w:val="0"/>
          <w:numId w:val="1011"/>
        </w:numPr>
      </w:pPr>
      <w:r>
        <w:t xml:space="preserve">It had the best mean rank of interval score in the Friedman analysis (Fig. S2; χ² = 145.5,</w:t>
      </w:r>
      <w:r>
        <w:t xml:space="preserve"> </w:t>
      </w:r>
      <w:r>
        <w:rPr>
          <w:iCs/>
          <w:i/>
        </w:rPr>
        <w:t xml:space="preserve">p</w:t>
      </w:r>
      <w:r>
        <w:t xml:space="preserve"> </w:t>
      </w:r>
      <w:r>
        <w:t xml:space="preserve">= 3.6×10</w:t>
      </w:r>
      <w:r>
        <w:rPr>
          <w:vertAlign w:val="superscript"/>
        </w:rPr>
        <w:t xml:space="preserve">−</w:t>
      </w:r>
      <w:r>
        <w:t xml:space="preserve">28; mean ranks Gauss-LOO 2.17, TJ+N 2.52, TJ+ 3.12).</w:t>
      </w:r>
    </w:p>
    <w:p>
      <w:pPr>
        <w:numPr>
          <w:ilvl w:val="0"/>
          <w:numId w:val="1011"/>
        </w:numPr>
      </w:pPr>
      <w:r>
        <w:t xml:space="preserve">It did not differ significantly from TJ+N after Holm correction (</w:t>
      </w:r>
      <w:r>
        <w:rPr>
          <w:iCs/>
          <w:i/>
        </w:rPr>
        <w:t xml:space="preserve">p</w:t>
      </w:r>
      <w:r>
        <w:t xml:space="preserve"> </w:t>
      </w:r>
      <w:r>
        <w:t xml:space="preserve">= 0.11).</w:t>
      </w:r>
    </w:p>
    <w:p>
      <w:pPr>
        <w:numPr>
          <w:ilvl w:val="0"/>
          <w:numId w:val="1011"/>
        </w:numPr>
      </w:pPr>
      <w:r>
        <w:t xml:space="preserve">Per scenario (Holm-adjusted</w:t>
      </w:r>
      <w:r>
        <w:t xml:space="preserve"> </w:t>
      </w:r>
      <w:r>
        <w:rPr>
          <w:iCs/>
          <w:i/>
        </w:rPr>
        <w:t xml:space="preserve">p</w:t>
      </w:r>
      <w:r>
        <w:t xml:space="preserve"> </w:t>
      </w:r>
      <w:r>
        <w:t xml:space="preserve">&lt; 0.05), Gauss-LOO had the lower interval score in 14 of 24 corn scenarios. On tablets and mango, TJ+N was better in 9 and Gauss-LOO in 5 of 16 scenarios.</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 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2"/>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2"/>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2"/>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was not flagged as under-covering here, but it carries no finite-sample guarantee.</w:t>
      </w:r>
    </w:p>
    <w:p>
      <w:pPr>
        <w:numPr>
          <w:ilvl w:val="0"/>
          <w:numId w:val="1012"/>
        </w:numPr>
      </w:pPr>
      <w:r>
        <w:rPr>
          <w:bCs/>
          <w:b/>
        </w:rPr>
        <w:t xml:space="preserve">Difficulty normalisation.</w:t>
      </w:r>
      <w:r>
        <w:t xml:space="preserve"> </w:t>
      </w:r>
      <w:r>
        <w:t xml:space="preserve">Normalisation improved efficiency in most scenarios.</w:t>
      </w:r>
    </w:p>
    <w:p>
      <w:pPr>
        <w:numPr>
          <w:ilvl w:val="1"/>
          <w:numId w:val="1013"/>
        </w:numPr>
      </w:pPr>
      <w:r>
        <w:t xml:space="preserve">TJ+N had a significantly lower interval score than unnormalised TJ+ in 24 of 40 scenarios, and a higher one in 5.</w:t>
      </w:r>
    </w:p>
    <w:p>
      <w:pPr>
        <w:numPr>
          <w:ilvl w:val="1"/>
          <w:numId w:val="1013"/>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3"/>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3"/>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Apart from post-standardisation drift, TJ+N was not flagged as under-covering in any of the 30 robustness scenarios (Table 6; Fig. 7). These were Kennard–Stone selection of the standards,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4"/>
        </w:numPr>
      </w:pPr>
      <w:r>
        <w:t xml:space="preserve">Tablets: TJ+N coverage was 0.04–0.07; Gauss-LOO 0.02–0.04.</w:t>
      </w:r>
    </w:p>
    <w:p>
      <w:pPr>
        <w:numPr>
          <w:ilvl w:val="0"/>
          <w:numId w:val="1014"/>
        </w:numPr>
      </w:pPr>
      <w:r>
        <w:t xml:space="preserve">Corn: TJ+N 0.60–0.94, against 0.05–0.45 for unnormalised TJ+ and 0.02–0.29 for Gauss-LOO.</w:t>
      </w:r>
    </w:p>
    <w:p>
      <w:pPr>
        <w:numPr>
          <w:ilvl w:val="0"/>
          <w:numId w:val="1014"/>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Drift after standardisation must therefore be detected (for example by monitoring Q) and corrected by re-standardisation. No interval method compensates for it reliably.</w:t>
      </w:r>
    </w:p>
    <w:p>
      <w:pPr>
        <w:pStyle w:val="TableCaption"/>
        <w:keepNext/>
      </w:pPr>
      <w:r>
        <w:rPr>
          <w:bCs/>
          <w:b/>
        </w:rPr>
        <w:t xml:space="preserve">Table 6.</w:t>
      </w:r>
      <w:r>
        <w:t xml:space="preserve"> </w:t>
      </w:r>
      <w:r>
        <w:t xml:space="preserve">Robustness (E4; α = 0.10; corn m = 15, tablets assay and mango m = 20; 200 repetitions). Mean coverage with under-covering scenarios / scenarios in parentheses.</w:t>
      </w:r>
    </w:p>
    <w:tbl>
      <w:tblPr>
        <w:tblStyle w:val="Table"/>
        <w:tblW w:type="pct" w:w="5000"/>
        <w:jc w:val="center"/>
        <w:tblLook w:firstRow="1" w:lastRow="0" w:firstColumn="0" w:lastColumn="0" w:noHBand="0" w:noVBand="0" w:val="0020"/>
        <w:tblCaption w:val="Table 6. Robustness (E4; α = 0.10; corn m = 15, tablets assay and mango m = 20; 200 repetitions). Mean coverage with under-covering scenarios / scenarios in parentheses."/>
      </w:tblPr>
      <w:tblGrid>
        <w:gridCol w:w="990"/>
        <w:gridCol w:w="990"/>
        <w:gridCol w:w="990"/>
        <w:gridCol w:w="990"/>
        <w:gridCol w:w="990"/>
        <w:gridCol w:w="990"/>
        <w:gridCol w:w="990"/>
        <w:gridCol w:w="990"/>
      </w:tblGrid>
      <w:tr>
        <w:trPr>
          <w:tblHeader w:val="true"/>
        </w:trPr>
        <w:tc>
          <w:tcPr>
            <w:tcBorders>
              <w:top w:val="single" w:sz="8" w:color="000000"/>
              <w:bottom w:val="single" w:sz="8" w:color="000000"/>
            </w:tcBorders>
          </w:tcPr>
          <w:p>
            <w:pPr>
              <w:pStyle w:val="Compact"/>
              <w:spacing w:after="0"/>
              <w:jc w:val="left"/>
            </w:pPr>
            <w:r>
              <w:t xml:space="preserve">Condition</w:t>
            </w:r>
          </w:p>
        </w:tc>
        <w:tc>
          <w:tcPr>
            <w:tcBorders>
              <w:top w:val="single" w:sz="8" w:color="000000"/>
              <w:bottom w:val="single" w:sz="8" w:color="000000"/>
            </w:tcBorders>
          </w:tcPr>
          <w:p>
            <w:pPr>
              <w:pStyle w:val="Compact"/>
              <w:spacing w:after="0"/>
              <w:jc w:val="right"/>
            </w:pPr>
            <w:r>
              <w:t xml:space="preserve">Data</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r>
      <w:tr>
        <w:tc>
          <w:tcPr/>
          <w:p>
            <w:pPr>
              <w:pStyle w:val="Compact"/>
              <w:spacing w:after="0"/>
              <w:jc w:val="left"/>
            </w:pPr>
            <w:r>
              <w:t xml:space="preserve">Kennard–Stone standards</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Kennard–Stone standards</w:t>
            </w:r>
          </w:p>
        </w:tc>
        <w:tc>
          <w:tcPr/>
          <w:p>
            <w:pPr>
              <w:pStyle w:val="Compact"/>
              <w:spacing w:after="0"/>
              <w:jc w:val="right"/>
            </w:pPr>
            <w:r>
              <w:t xml:space="preserve">Tablets</w:t>
            </w:r>
          </w:p>
        </w:tc>
        <w:tc>
          <w:tcPr/>
          <w:p>
            <w:pPr>
              <w:pStyle w:val="Compact"/>
              <w:spacing w:after="0"/>
              <w:jc w:val="right"/>
            </w:pPr>
            <w:r>
              <w:t xml:space="preserve">0.93 (0/1)</w:t>
            </w:r>
          </w:p>
        </w:tc>
        <w:tc>
          <w:tcPr/>
          <w:p>
            <w:pPr>
              <w:pStyle w:val="Compact"/>
              <w:spacing w:after="0"/>
              <w:jc w:val="right"/>
            </w:pPr>
            <w:r>
              <w:t xml:space="preserve">0.96 (0/1)</w:t>
            </w:r>
          </w:p>
        </w:tc>
        <w:tc>
          <w:tcPr/>
          <w:p>
            <w:pPr>
              <w:pStyle w:val="Compact"/>
              <w:spacing w:after="0"/>
              <w:jc w:val="right"/>
            </w:pPr>
            <w:r>
              <w:t xml:space="preserve">0.95 (0/1)</w:t>
            </w:r>
          </w:p>
        </w:tc>
        <w:tc>
          <w:tcPr/>
          <w:p>
            <w:pPr>
              <w:pStyle w:val="Compact"/>
              <w:spacing w:after="0"/>
              <w:jc w:val="right"/>
            </w:pPr>
            <w:r>
              <w:t xml:space="preserve">0.92 (0/1)</w:t>
            </w:r>
          </w:p>
        </w:tc>
        <w:tc>
          <w:tcPr/>
          <w:p>
            <w:pPr>
              <w:pStyle w:val="Compact"/>
              <w:spacing w:after="0"/>
              <w:jc w:val="right"/>
            </w:pPr>
            <w:r>
              <w:t xml:space="preserve">0.94 (0/1)</w:t>
            </w:r>
          </w:p>
        </w:tc>
        <w:tc>
          <w:tcPr/>
          <w:p>
            <w:pPr>
              <w:pStyle w:val="Compact"/>
              <w:spacing w:after="0"/>
              <w:jc w:val="right"/>
            </w:pPr>
            <w:r>
              <w:t xml:space="preserve">0.92 (0/1)</w:t>
            </w:r>
          </w:p>
        </w:tc>
      </w:tr>
      <w:tr>
        <w:tc>
          <w:tcPr/>
          <w:p>
            <w:pPr>
              <w:pStyle w:val="Compact"/>
              <w:spacing w:after="0"/>
              <w:jc w:val="left"/>
            </w:pPr>
            <w:r>
              <w:t xml:space="preserve">Kennard–Stone standards</w:t>
            </w:r>
          </w:p>
        </w:tc>
        <w:tc>
          <w:tcPr/>
          <w:p>
            <w:pPr>
              <w:pStyle w:val="Compact"/>
              <w:spacing w:after="0"/>
              <w:jc w:val="right"/>
            </w:pPr>
            <w:r>
              <w:t xml:space="preserve">Mango</w:t>
            </w:r>
          </w:p>
        </w:tc>
        <w:tc>
          <w:tcPr/>
          <w:p>
            <w:pPr>
              <w:pStyle w:val="Compact"/>
              <w:spacing w:after="0"/>
              <w:jc w:val="right"/>
            </w:pPr>
            <w:r>
              <w:t xml:space="preserve">0.96 (0/1)</w:t>
            </w:r>
          </w:p>
        </w:tc>
        <w:tc>
          <w:tcPr/>
          <w:p>
            <w:pPr>
              <w:pStyle w:val="Compact"/>
              <w:spacing w:after="0"/>
              <w:jc w:val="right"/>
            </w:pPr>
            <w:r>
              <w:t xml:space="preserve">0.97 (0/1)</w:t>
            </w:r>
          </w:p>
        </w:tc>
        <w:tc>
          <w:tcPr/>
          <w:p>
            <w:pPr>
              <w:pStyle w:val="Compact"/>
              <w:spacing w:after="0"/>
              <w:jc w:val="right"/>
            </w:pPr>
            <w:r>
              <w:t xml:space="preserve">0.97 (0/1)</w:t>
            </w:r>
          </w:p>
        </w:tc>
        <w:tc>
          <w:tcPr/>
          <w:p>
            <w:pPr>
              <w:pStyle w:val="Compact"/>
              <w:spacing w:after="0"/>
              <w:jc w:val="right"/>
            </w:pPr>
            <w:r>
              <w:t xml:space="preserve">0.96 (0/1)</w:t>
            </w:r>
          </w:p>
        </w:tc>
        <w:tc>
          <w:tcPr/>
          <w:p>
            <w:pPr>
              <w:pStyle w:val="Compact"/>
              <w:spacing w:after="0"/>
              <w:jc w:val="right"/>
            </w:pPr>
            <w:r>
              <w:t xml:space="preserve">0.75 (1/1)</w:t>
            </w:r>
          </w:p>
        </w:tc>
        <w:tc>
          <w:tcPr/>
          <w:p>
            <w:pPr>
              <w:pStyle w:val="Compact"/>
              <w:spacing w:after="0"/>
              <w:jc w:val="right"/>
            </w:pPr>
            <w:r>
              <w:t xml:space="preserve">0.73 (1/1)</w:t>
            </w:r>
          </w:p>
        </w:tc>
      </w:tr>
      <w:tr>
        <w:tc>
          <w:tcPr/>
          <w:p>
            <w:pPr>
              <w:pStyle w:val="Compact"/>
              <w:spacing w:after="0"/>
              <w:jc w:val="left"/>
            </w:pPr>
            <w:r>
              <w:t xml:space="preserve">Noise SNR 1000</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0.90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0.46 (4/4)</w:t>
            </w:r>
          </w:p>
        </w:tc>
      </w:tr>
      <w:tr>
        <w:tc>
          <w:tcPr/>
          <w:p>
            <w:pPr>
              <w:pStyle w:val="Compact"/>
              <w:spacing w:after="0"/>
              <w:jc w:val="left"/>
            </w:pPr>
            <w:r>
              <w:t xml:space="preserve">Noise SNR 1000</w:t>
            </w:r>
          </w:p>
        </w:tc>
        <w:tc>
          <w:tcPr/>
          <w:p>
            <w:pPr>
              <w:pStyle w:val="Compact"/>
              <w:spacing w:after="0"/>
              <w:jc w:val="right"/>
            </w:pPr>
            <w:r>
              <w:t xml:space="preserve">Tablets</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0.74 (1/1)</w:t>
            </w:r>
          </w:p>
        </w:tc>
        <w:tc>
          <w:tcPr/>
          <w:p>
            <w:pPr>
              <w:pStyle w:val="Compact"/>
              <w:spacing w:after="0"/>
              <w:jc w:val="right"/>
            </w:pPr>
            <w:r>
              <w:t xml:space="preserve">0.73 (1/1)</w:t>
            </w:r>
          </w:p>
        </w:tc>
      </w:tr>
      <w:tr>
        <w:tc>
          <w:tcPr/>
          <w:p>
            <w:pPr>
              <w:pStyle w:val="Compact"/>
              <w:spacing w:after="0"/>
              <w:jc w:val="left"/>
            </w:pPr>
            <w:r>
              <w:t xml:space="preserve">Noise SNR 300</w:t>
            </w:r>
          </w:p>
        </w:tc>
        <w:tc>
          <w:tcPr/>
          <w:p>
            <w:pPr>
              <w:pStyle w:val="Compact"/>
              <w:spacing w:after="0"/>
              <w:jc w:val="right"/>
            </w:pPr>
            <w:r>
              <w:t xml:space="preserve">Corn</w:t>
            </w:r>
          </w:p>
        </w:tc>
        <w:tc>
          <w:tcPr/>
          <w:p>
            <w:pPr>
              <w:pStyle w:val="Compact"/>
              <w:spacing w:after="0"/>
              <w:jc w:val="right"/>
            </w:pPr>
            <w:r>
              <w:t xml:space="preserve">0.94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Noise SNR 300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300</w:t>
            </w:r>
          </w:p>
        </w:tc>
        <w:tc>
          <w:tcPr/>
          <w:p>
            <w:pPr>
              <w:pStyle w:val="Compact"/>
              <w:spacing w:after="0"/>
              <w:jc w:val="right"/>
            </w:pPr>
            <w:r>
              <w:t xml:space="preserve">Mango</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0.69 (1/1)</w:t>
            </w:r>
          </w:p>
        </w:tc>
        <w:tc>
          <w:tcPr/>
          <w:p>
            <w:pPr>
              <w:pStyle w:val="Compact"/>
              <w:spacing w:after="0"/>
              <w:jc w:val="right"/>
            </w:pPr>
            <w:r>
              <w:t xml:space="preserve">0.67 (1/1)</w:t>
            </w:r>
          </w:p>
        </w:tc>
      </w:tr>
      <w:tr>
        <w:tc>
          <w:tcPr/>
          <w:p>
            <w:pPr>
              <w:pStyle w:val="Compact"/>
              <w:spacing w:after="0"/>
              <w:jc w:val="left"/>
            </w:pPr>
            <w:r>
              <w:t xml:space="preserve">Noise SNR 100</w:t>
            </w:r>
          </w:p>
        </w:tc>
        <w:tc>
          <w:tcPr/>
          <w:p>
            <w:pPr>
              <w:pStyle w:val="Compact"/>
              <w:spacing w:after="0"/>
              <w:jc w:val="right"/>
            </w:pPr>
            <w:r>
              <w:t xml:space="preserve">Corn</w:t>
            </w:r>
          </w:p>
        </w:tc>
        <w:tc>
          <w:tcPr/>
          <w:p>
            <w:pPr>
              <w:pStyle w:val="Compact"/>
              <w:spacing w:after="0"/>
              <w:jc w:val="right"/>
            </w:pPr>
            <w:r>
              <w:t xml:space="preserve">0.96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0.18 (4/4)</w:t>
            </w:r>
          </w:p>
        </w:tc>
        <w:tc>
          <w:tcPr/>
          <w:p>
            <w:pPr>
              <w:pStyle w:val="Compact"/>
              <w:spacing w:after="0"/>
              <w:jc w:val="right"/>
            </w:pPr>
            <w:r>
              <w:t xml:space="preserve">0.33 (4/4)</w:t>
            </w:r>
          </w:p>
        </w:tc>
      </w:tr>
      <w:tr>
        <w:tc>
          <w:tcPr/>
          <w:p>
            <w:pPr>
              <w:pStyle w:val="Compact"/>
              <w:spacing w:after="0"/>
              <w:jc w:val="left"/>
            </w:pPr>
            <w:r>
              <w:t xml:space="preserve">Noise SNR 100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0.89 (0/1)</w:t>
            </w:r>
          </w:p>
        </w:tc>
        <w:tc>
          <w:tcPr/>
          <w:p>
            <w:pPr>
              <w:pStyle w:val="Compact"/>
              <w:spacing w:after="0"/>
              <w:jc w:val="right"/>
            </w:pPr>
            <w:r>
              <w:t xml:space="preserve">0.91 (0/1)</w:t>
            </w:r>
          </w:p>
        </w:tc>
        <w:tc>
          <w:tcPr/>
          <w:p>
            <w:pPr>
              <w:pStyle w:val="Compact"/>
              <w:spacing w:after="0"/>
              <w:jc w:val="right"/>
            </w:pPr>
            <w:r>
              <w:t xml:space="preserve">0.51 (1/1)</w:t>
            </w:r>
          </w:p>
        </w:tc>
        <w:tc>
          <w:tcPr/>
          <w:p>
            <w:pPr>
              <w:pStyle w:val="Compact"/>
              <w:spacing w:after="0"/>
              <w:jc w:val="right"/>
            </w:pPr>
            <w:r>
              <w:t xml:space="preserve">0.49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0.82 (2/4)</w:t>
            </w:r>
          </w:p>
        </w:tc>
        <w:tc>
          <w:tcPr/>
          <w:p>
            <w:pPr>
              <w:pStyle w:val="Compact"/>
              <w:spacing w:after="0"/>
              <w:jc w:val="right"/>
            </w:pPr>
            <w:r>
              <w:t xml:space="preserve">0.26 (4/4)</w:t>
            </w:r>
          </w:p>
        </w:tc>
        <w:tc>
          <w:tcPr/>
          <w:p>
            <w:pPr>
              <w:pStyle w:val="Compact"/>
              <w:spacing w:after="0"/>
              <w:jc w:val="right"/>
            </w:pPr>
            <w:r>
              <w:t xml:space="preserve">0.15 (4/4)</w:t>
            </w:r>
          </w:p>
        </w:tc>
        <w:tc>
          <w:tcPr/>
          <w:p>
            <w:pPr>
              <w:pStyle w:val="Compact"/>
              <w:spacing w:after="0"/>
              <w:jc w:val="right"/>
            </w:pPr>
            <w:r>
              <w:t xml:space="preserve">1.00 (0/4)</w:t>
            </w:r>
          </w:p>
        </w:tc>
        <w:tc>
          <w:tcPr/>
          <w:p>
            <w:pPr>
              <w:pStyle w:val="Compact"/>
              <w:spacing w:after="0"/>
              <w:jc w:val="right"/>
            </w:pPr>
            <w:r>
              <w:t xml:space="preserve">0.08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0.04 (1/1)</w:t>
            </w:r>
          </w:p>
        </w:tc>
        <w:tc>
          <w:tcPr/>
          <w:p>
            <w:pPr>
              <w:pStyle w:val="Compact"/>
              <w:spacing w:after="0"/>
              <w:jc w:val="right"/>
            </w:pPr>
            <w:r>
              <w:t xml:space="preserve">0.01 (1/1)</w:t>
            </w:r>
          </w:p>
        </w:tc>
        <w:tc>
          <w:tcPr/>
          <w:p>
            <w:pPr>
              <w:pStyle w:val="Compact"/>
              <w:spacing w:after="0"/>
              <w:jc w:val="right"/>
            </w:pPr>
            <w:r>
              <w:t xml:space="preserve">0.02 (1/1)</w:t>
            </w:r>
          </w:p>
        </w:tc>
        <w:tc>
          <w:tcPr/>
          <w:p>
            <w:pPr>
              <w:pStyle w:val="Compact"/>
              <w:spacing w:after="0"/>
              <w:jc w:val="right"/>
            </w:pPr>
            <w:r>
              <w:t xml:space="preserve">0.22 (1/1)</w:t>
            </w:r>
          </w:p>
        </w:tc>
        <w:tc>
          <w:tcPr/>
          <w:p>
            <w:pPr>
              <w:pStyle w:val="Compact"/>
              <w:spacing w:after="0"/>
              <w:jc w:val="right"/>
            </w:pPr>
            <w:r>
              <w:t xml:space="preserve">0.01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0.97 (0/1)</w:t>
            </w:r>
          </w:p>
        </w:tc>
        <w:tc>
          <w:tcPr/>
          <w:p>
            <w:pPr>
              <w:pStyle w:val="Compact"/>
              <w:spacing w:after="0"/>
              <w:jc w:val="right"/>
            </w:pPr>
            <w:r>
              <w:t xml:space="preserve">0.22 (1/1)</w:t>
            </w:r>
          </w:p>
        </w:tc>
        <w:tc>
          <w:tcPr/>
          <w:p>
            <w:pPr>
              <w:pStyle w:val="Compact"/>
              <w:spacing w:after="0"/>
              <w:jc w:val="right"/>
            </w:pPr>
            <w:r>
              <w:t xml:space="preserve">0.21 (1/1)</w:t>
            </w:r>
          </w:p>
        </w:tc>
        <w:tc>
          <w:tcPr/>
          <w:p>
            <w:pPr>
              <w:pStyle w:val="Compact"/>
              <w:spacing w:after="0"/>
              <w:jc w:val="right"/>
            </w:pPr>
            <w:r>
              <w:t xml:space="preserve">0.97 (0/1)</w:t>
            </w:r>
          </w:p>
        </w:tc>
        <w:tc>
          <w:tcPr/>
          <w:p>
            <w:pPr>
              <w:pStyle w:val="Compact"/>
              <w:spacing w:after="0"/>
              <w:jc w:val="right"/>
            </w:pPr>
            <w:r>
              <w:t xml:space="preserve">0.11 (1/1)</w:t>
            </w:r>
          </w:p>
        </w:tc>
        <w:tc>
          <w:tcPr/>
          <w:p>
            <w:pPr>
              <w:pStyle w:val="Compact"/>
              <w:spacing w:after="0"/>
              <w:jc w:val="right"/>
            </w:pPr>
            <w:r>
              <w:t xml:space="preserve">0.07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0.84 (2/4)</w:t>
            </w:r>
          </w:p>
        </w:tc>
        <w:tc>
          <w:tcPr/>
          <w:p>
            <w:pPr>
              <w:pStyle w:val="Compact"/>
              <w:spacing w:after="0"/>
              <w:jc w:val="right"/>
            </w:pPr>
            <w:r>
              <w:t xml:space="preserve">0.29 (4/4)</w:t>
            </w:r>
          </w:p>
        </w:tc>
        <w:tc>
          <w:tcPr/>
          <w:p>
            <w:pPr>
              <w:pStyle w:val="Compact"/>
              <w:spacing w:after="0"/>
              <w:jc w:val="right"/>
            </w:pPr>
            <w:r>
              <w:t xml:space="preserve">0.17 (4/4)</w:t>
            </w:r>
          </w:p>
        </w:tc>
        <w:tc>
          <w:tcPr/>
          <w:p>
            <w:pPr>
              <w:pStyle w:val="Compact"/>
              <w:spacing w:after="0"/>
              <w:jc w:val="right"/>
            </w:pPr>
            <w:r>
              <w:t xml:space="preserve">1.00 (0/4)</w:t>
            </w:r>
          </w:p>
        </w:tc>
        <w:tc>
          <w:tcPr/>
          <w:p>
            <w:pPr>
              <w:pStyle w:val="Compact"/>
              <w:spacing w:after="0"/>
              <w:jc w:val="right"/>
            </w:pPr>
            <w:r>
              <w:t xml:space="preserve">0.09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0.07 (1/1)</w:t>
            </w:r>
          </w:p>
        </w:tc>
        <w:tc>
          <w:tcPr/>
          <w:p>
            <w:pPr>
              <w:pStyle w:val="Compact"/>
              <w:spacing w:after="0"/>
              <w:jc w:val="right"/>
            </w:pPr>
            <w:r>
              <w:t xml:space="preserve">0.03 (1/1)</w:t>
            </w:r>
          </w:p>
        </w:tc>
        <w:tc>
          <w:tcPr/>
          <w:p>
            <w:pPr>
              <w:pStyle w:val="Compact"/>
              <w:spacing w:after="0"/>
              <w:jc w:val="right"/>
            </w:pPr>
            <w:r>
              <w:t xml:space="preserve">0.04 (1/1)</w:t>
            </w:r>
          </w:p>
        </w:tc>
        <w:tc>
          <w:tcPr/>
          <w:p>
            <w:pPr>
              <w:pStyle w:val="Compact"/>
              <w:spacing w:after="0"/>
              <w:jc w:val="right"/>
            </w:pPr>
            <w:r>
              <w:t xml:space="preserve">0.25 (1/1)</w:t>
            </w:r>
          </w:p>
        </w:tc>
        <w:tc>
          <w:tcPr/>
          <w:p>
            <w:pPr>
              <w:pStyle w:val="Compact"/>
              <w:spacing w:after="0"/>
              <w:jc w:val="right"/>
            </w:pPr>
            <w:r>
              <w:t xml:space="preserve">0.02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0.73 (1/1)</w:t>
            </w:r>
          </w:p>
        </w:tc>
        <w:tc>
          <w:tcPr/>
          <w:p>
            <w:pPr>
              <w:pStyle w:val="Compact"/>
              <w:spacing w:after="0"/>
              <w:jc w:val="right"/>
            </w:pPr>
            <w:r>
              <w:t xml:space="preserve">0.08 (1/1)</w:t>
            </w:r>
          </w:p>
        </w:tc>
        <w:tc>
          <w:tcPr/>
          <w:p>
            <w:pPr>
              <w:pStyle w:val="Compact"/>
              <w:spacing w:after="0"/>
              <w:jc w:val="right"/>
            </w:pPr>
            <w:r>
              <w:t xml:space="preserve">0.07 (1/1)</w:t>
            </w:r>
          </w:p>
        </w:tc>
        <w:tc>
          <w:tcPr/>
          <w:p>
            <w:pPr>
              <w:pStyle w:val="Compact"/>
              <w:spacing w:after="0"/>
              <w:jc w:val="right"/>
            </w:pPr>
            <w:r>
              <w:t xml:space="preserve">0.79 (1/1)</w:t>
            </w:r>
          </w:p>
        </w:tc>
        <w:tc>
          <w:tcPr/>
          <w:p>
            <w:pPr>
              <w:pStyle w:val="Compact"/>
              <w:spacing w:after="0"/>
              <w:jc w:val="right"/>
            </w:pPr>
            <w:r>
              <w:t xml:space="preserve">0.02 (1/1)</w:t>
            </w:r>
          </w:p>
        </w:tc>
        <w:tc>
          <w:tcPr/>
          <w:p>
            <w:pPr>
              <w:pStyle w:val="Compact"/>
              <w:spacing w:after="0"/>
              <w:jc w:val="right"/>
            </w:pPr>
            <w:r>
              <w:t xml:space="preserve">0.02 (1/1)</w:t>
            </w:r>
          </w:p>
        </w:tc>
      </w:tr>
      <w:tr>
        <w:tc>
          <w:tcPr/>
          <w:p>
            <w:pPr>
              <w:pStyle w:val="Compact"/>
              <w:spacing w:after="0"/>
              <w:jc w:val="left"/>
            </w:pPr>
            <w:r>
              <w:t xml:space="preserve">Half source data</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0.33 (4/4)</w:t>
            </w:r>
          </w:p>
        </w:tc>
        <w:tc>
          <w:tcPr/>
          <w:p>
            <w:pPr>
              <w:pStyle w:val="Compact"/>
              <w:spacing w:after="0"/>
              <w:jc w:val="right"/>
            </w:pPr>
            <w:r>
              <w:t xml:space="preserve">0.61 (4/4)</w:t>
            </w:r>
          </w:p>
        </w:tc>
      </w:tr>
      <w:tr>
        <w:tc>
          <w:tcPr/>
          <w:p>
            <w:pPr>
              <w:pStyle w:val="Compact"/>
              <w:spacing w:after="0"/>
              <w:jc w:val="left"/>
            </w:pPr>
            <w:r>
              <w:t xml:space="preserve">Half source data</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0.97 (0/1)</w:t>
            </w:r>
          </w:p>
        </w:tc>
        <w:tc>
          <w:tcPr/>
          <w:p>
            <w:pPr>
              <w:pStyle w:val="Compact"/>
              <w:spacing w:after="0"/>
              <w:jc w:val="right"/>
            </w:pPr>
            <w:r>
              <w:t xml:space="preserve">0.96 (0/1)</w:t>
            </w:r>
          </w:p>
        </w:tc>
      </w:tr>
      <w:tr>
        <w:tc>
          <w:tcPr>
            <w:tcBorders>
              <w:bottom w:val="single" w:sz="8" w:color="000000"/>
            </w:tcBorders>
          </w:tcPr>
          <w:p>
            <w:pPr>
              <w:pStyle w:val="Compact"/>
              <w:spacing w:after="0"/>
              <w:jc w:val="left"/>
            </w:pPr>
            <w:r>
              <w:t xml:space="preserve">Half source data</w:t>
            </w:r>
          </w:p>
        </w:tc>
        <w:tc>
          <w:tcPr>
            <w:tcBorders>
              <w:bottom w:val="single" w:sz="8" w:color="000000"/>
            </w:tcBorders>
          </w:tcPr>
          <w:p>
            <w:pPr>
              <w:pStyle w:val="Compact"/>
              <w:spacing w:after="0"/>
              <w:jc w:val="right"/>
            </w:pPr>
            <w:r>
              <w:t xml:space="preserve">Mango</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0.75 (1/1)</w:t>
            </w:r>
          </w:p>
        </w:tc>
        <w:tc>
          <w:tcPr>
            <w:tcBorders>
              <w:bottom w:val="single" w:sz="8" w:color="000000"/>
            </w:tcBorders>
          </w:tcPr>
          <w:p>
            <w:pPr>
              <w:pStyle w:val="Compact"/>
              <w:spacing w:after="0"/>
              <w:jc w:val="right"/>
            </w:pPr>
            <w:r>
              <w:t xml:space="preserve">0.75 (1/1)</w:t>
            </w:r>
          </w:p>
        </w:tc>
      </w:tr>
    </w:tbl>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8e8ab3d411f7961fc5ed7c92101cf36cb68b707"/>
    <w:p>
      <w:pPr>
        <w:pStyle w:val="Heading2"/>
      </w:pPr>
      <w:r>
        <w:t xml:space="preserve">4.6. Generalisation across pipelines, directions and model classes (RQ5)</w:t>
      </w:r>
    </w:p>
    <w:p>
      <w:pPr>
        <w:pStyle w:val="FirstParagraph"/>
      </w:pPr>
      <w:r>
        <w:t xml:space="preserve">The conclusions did not depend on the primary pipeline, the transfer direction or the model class (Table 7).</w:t>
      </w:r>
    </w:p>
    <w:p>
      <w:pPr>
        <w:numPr>
          <w:ilvl w:val="0"/>
          <w:numId w:val="1015"/>
        </w:numPr>
      </w:pPr>
      <w:r>
        <w:rPr>
          <w:bCs/>
          <w:b/>
        </w:rPr>
        <w:t xml:space="preserve">Transfer pipelines.</w:t>
      </w:r>
      <w:r>
        <w:t xml:space="preserve"> </w:t>
      </w:r>
      <w:r>
        <w:t xml:space="preserve">With DS, SBC or no transfer instead of PDS, TJ+N and TJ+ were never flagged as under-covering (§4.3).</w:t>
      </w:r>
    </w:p>
    <w:p>
      <w:pPr>
        <w:numPr>
          <w:ilvl w:val="0"/>
          <w:numId w:val="1015"/>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15"/>
        </w:numPr>
      </w:pPr>
      <w:r>
        <w:rPr>
          <w:bCs/>
          <w:b/>
        </w:rPr>
        <w:t xml:space="preserve">Ridge regression.</w:t>
      </w:r>
      <w:r>
        <w:t xml:space="preserve"> </w:t>
      </w:r>
      <w:r>
        <w:t xml:space="preserve">With ridge source models, TJ+N was valid on all three data sets.</w:t>
      </w:r>
    </w:p>
    <w:p>
      <w:pPr>
        <w:numPr>
          <w:ilvl w:val="0"/>
          <w:numId w:val="1015"/>
        </w:numPr>
      </w:pPr>
      <w:r>
        <w:rPr>
          <w:bCs/>
          <w:b/>
        </w:rPr>
        <w:t xml:space="preserve">1D-CNN on mango.</w:t>
      </w:r>
      <w:r>
        <w:t xml:space="preserve"> </w:t>
      </w:r>
      <w:r>
        <w:t xml:space="preserve">The CNN (110,369 parameters, early stopping after 101 epochs, 36 s on a CPU) reached RMSEP 1.22 % after SBC. On top of it:</w:t>
      </w:r>
    </w:p>
    <w:p>
      <w:pPr>
        <w:numPr>
          <w:ilvl w:val="1"/>
          <w:numId w:val="1016"/>
        </w:numPr>
      </w:pPr>
      <w:r>
        <w:t xml:space="preserve">TJ+N gave coverage 0.910 with the lowest interval score (5.24).</w:t>
      </w:r>
    </w:p>
    <w:p>
      <w:pPr>
        <w:numPr>
          <w:ilvl w:val="1"/>
          <w:numId w:val="1016"/>
        </w:numPr>
      </w:pPr>
      <w:r>
        <w:t xml:space="preserve">Gauss-LOO under-covered in 2/4 scenarios (coverage 0.894; score 5.42).</w:t>
      </w:r>
    </w:p>
    <w:p>
      <w:pPr>
        <w:numPr>
          <w:ilvl w:val="1"/>
          <w:numId w:val="1016"/>
        </w:numPr>
      </w:pPr>
      <w:r>
        <w:t xml:space="preserve">MC-dropout intervals</w:t>
      </w:r>
      <w:r>
        <w:t xml:space="preserve"> </w:t>
      </w:r>
      <w:r>
        <w:t xml:space="preserve">[32]</w:t>
      </w:r>
      <w:r>
        <w:t xml:space="preserve">, a common deep-learning uncertainty estimate for spectra</w:t>
      </w:r>
      <w:r>
        <w:t xml:space="preserve"> </w:t>
      </w:r>
      <w:r>
        <w:t xml:space="preserve">[41]</w:t>
      </w:r>
      <w:r>
        <w:t xml:space="preserve">, under-covered in 4/4 scenarios (coverage 0.807), presumably because dropout variance captures model uncertainty but not the systematic error introduced by the season shift.</w:t>
      </w:r>
    </w:p>
    <w:p>
      <w:pPr>
        <w:pStyle w:val="FirstParagraph"/>
      </w:pPr>
      <w:r>
        <w:t xml:space="preserve">Over all generalisation settings, TJ+N under-covered in 0 of 22 scenarios.</w:t>
      </w:r>
    </w:p>
    <w:p>
      <w:pPr>
        <w:pStyle w:val="TableCaption"/>
        <w:keepNext/>
      </w:pPr>
      <w:r>
        <w:rPr>
          <w:bCs/>
          <w:b/>
        </w:rPr>
        <w:t xml:space="preserve">Table 7.</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7.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(11/12);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mean corn RMSEP with</w:t>
      </w:r>
      <w:r>
        <w:t xml:space="preserve"> </w:t>
      </w:r>
      <w:r>
        <w:rPr>
          <w:iCs/>
          <w:i/>
        </w:rPr>
        <w:t xml:space="preserve">m</w:t>
      </w:r>
      <w:r>
        <w:t xml:space="preserve"> </w:t>
      </w:r>
      <w:r>
        <w:t xml:space="preserve">= 15 was 0.281 with the pre-registered 5-channel window and 0.237 (3 channels), 0.348 (7 channels), 0.503 (11 channels) with the other windows. The pre-registered window was thus not the most accurate choice for corn; it was nevertheless kept, since it was fixed before any target data were analysed. Interval validity was unaffected: TJ+N under-covered in 0 of 27 sensitivity scenarios (coverage 0.899–0.972; Table S3). The source-calibrated intervals under-covered in 49 of 54 cases. Their validity also depended on the setting; for example, ASTM-PI coverage fell to 0.78 for the tablet assay with two latent variables fewer.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9"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10). The source model is never re-fitted. The added cost is therefore negligible for routine laboratory use, and it scales linearly with</w:t>
      </w:r>
      <w:r>
        <w:t xml:space="preserve"> </w:t>
      </w:r>
      <w:r>
        <w:rPr>
          <w:iCs/>
          <w:i/>
        </w:rPr>
        <w:t xml:space="preserve">m</w:t>
      </w:r>
      <w:r>
        <w:t xml:space="preserve"> </w:t>
      </w:r>
      <w:r>
        <w:t xml:space="preserve">and with the cost of one transfer fit.</w:t>
      </w:r>
    </w:p>
    <w:p>
      <w:pPr>
        <w:pStyle w:val="CaptionedFigure"/>
        <w:keepNext/>
        <w:jc w:val="center"/>
      </w:pPr>
      <w:r>
        <w:drawing>
          <wp:inline>
            <wp:extent cx="5753100" cy="3318645"/>
            <wp:effectExtent b="0" l="0" r="0" t="0"/>
            <wp:docPr descr="Fig. 10. Wall-clock time per test batch (single CPU core, median of 20 runs, logarithmic scale)." title="" id="67" name="Picture"/>
            <a:graphic>
              <a:graphicData uri="http://schemas.openxmlformats.org/drawingml/2006/picture">
                <pic:pic>
                  <pic:nvPicPr>
                    <pic:cNvPr descr="figures/fig9_timing.png" id="68" name="Picture"/>
                    <pic:cNvPicPr>
                      <a:picLocks noChangeArrowheads="1" noChangeAspect="1"/>
                    </pic:cNvPicPr>
                  </pic:nvPicPr>
                  <pic:blipFill>
                    <a:blip r:embed="rId66"/>
                    <a:stretch>
                      <a:fillRect/>
                    </a:stretch>
                  </pic:blipFill>
                  <pic:spPr bwMode="auto">
                    <a:xfrm>
                      <a:off x="0" y="0"/>
                      <a:ext cx="5753100" cy="3318645"/>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Wall-clock time per test batch (single CPU core, median of 20 runs, logarithmic scale).</w:t>
      </w:r>
    </w:p>
    <w:bookmarkEnd w:id="69"/>
    <w:bookmarkStart w:id="70" w:name="Xbee438485c0f551ce74fd4f49e5841838c057f4"/>
    <w:p>
      <w:pPr>
        <w:pStyle w:val="Heading2"/>
      </w:pPr>
      <w:r>
        <w:t xml:space="preserve">4.11. Relation to analytical measurement uncertainty</w:t>
      </w:r>
    </w:p>
    <w:p>
      <w:pPr>
        <w:pStyle w:val="FirstParagraph"/>
      </w:pPr>
      <w:r>
        <w:t xml:space="preserve">A TJ+ interval is a</w:t>
      </w:r>
      <w:r>
        <w:t xml:space="preserve"> </w:t>
      </w:r>
      <w:r>
        <w:rPr>
          <w:iCs/>
          <w:i/>
        </w:rPr>
        <w:t xml:space="preserve">prediction</w:t>
      </w:r>
      <w:r>
        <w:t xml:space="preserve"> </w:t>
      </w:r>
      <w:r>
        <w:t xml:space="preserve">interval for the reference value of an individual routine sample. Its target is the value that the reference method would return. Its width therefore reflects, jointly, the error of the reference method, spectral noise, model error and the error introduced by the transfer. All of these enter the leave-one-standard-out residuals.</w:t>
      </w:r>
    </w:p>
    <w:p>
      <w:pPr>
        <w:pStyle w:val="BodyText"/>
      </w:pPr>
      <w:r>
        <w:t xml:space="preserve">It is not a GUM-type uncertainty budget, in which components are estimated separately and propagated. Nor is it conditional on the particular sample: the 1−2α (empirically ≈1−α) statement concerns samples drawn from the routine population. Error-propagation approaches to multivariate prediction uncertainty</w:t>
      </w:r>
      <w:r>
        <w:t xml:space="preserve"> </w:t>
      </w:r>
      <w:r>
        <w:t xml:space="preserve">[13–15]</w:t>
      </w:r>
      <w:r>
        <w:t xml:space="preserve"> </w:t>
      </w:r>
      <w:r>
        <w:t xml:space="preserve">give sample-specific uncertainties, but they rest on a calibration error model that, as shown in §4.2, no longer holds after transfer.</w:t>
      </w:r>
    </w:p>
    <w:p>
      <w:pPr>
        <w:pStyle w:val="BodyText"/>
      </w:pPr>
      <w:r>
        <w:t xml:space="preserve">TJ+N is complementary. It provides an empirically calibrated coverage statement for the transferred method, it can be used to check whether a parametric uncertainty statement still holds after transfer, and, through σ(x), it retains sample-specific widths. Where the reference-method repeatability is known, comparing it with the TJ+N interval width shows how much of the uncertainty after transfer stems from the NIR method itself.</w:t>
      </w:r>
    </w:p>
    <w:bookmarkEnd w:id="70"/>
    <w:bookmarkStart w:id="71" w:name="practical-recommendations"/>
    <w:p>
      <w:pPr>
        <w:pStyle w:val="Heading2"/>
      </w:pPr>
      <w:r>
        <w:t xml:space="preserve">4.12. Practical recommendations</w:t>
      </w:r>
    </w:p>
    <w:p>
      <w:pPr>
        <w:numPr>
          <w:ilvl w:val="0"/>
          <w:numId w:val="1017"/>
        </w:numPr>
      </w:pPr>
      <w:r>
        <w:t xml:space="preserve">Do not reuse source-domain interval formulas after transfer without checking them on target data.</w:t>
      </w:r>
    </w:p>
    <w:p>
      <w:pPr>
        <w:numPr>
          <w:ilvl w:val="0"/>
          <w:numId w:val="1017"/>
        </w:numPr>
      </w:pPr>
      <w:r>
        <w:t xml:space="preserve">Draw at least part of the transfer standards at random from the routine target population, and obtain their reference values.</w:t>
      </w:r>
    </w:p>
    <w:p>
      <w:pPr>
        <w:numPr>
          <w:ilvl w:val="0"/>
          <w:numId w:val="1017"/>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17"/>
        </w:numPr>
      </w:pPr>
      <w:r>
        <w:t xml:space="preserve">Report the leave-one-standard-out RMSE as well. Gaussian intervals built from it are a reasonable approximation at 90% but can under-cover at 95%.</w:t>
      </w:r>
    </w:p>
    <w:p>
      <w:pPr>
        <w:numPr>
          <w:ilvl w:val="0"/>
          <w:numId w:val="1017"/>
        </w:numPr>
      </w:pPr>
      <w:r>
        <w:t xml:space="preserve">Flag predictions with large Q residuals after transfer.</w:t>
      </w:r>
    </w:p>
    <w:bookmarkEnd w:id="71"/>
    <w:bookmarkEnd w:id="72"/>
    <w:bookmarkStart w:id="73" w:name="limitations"/>
    <w:p>
      <w:pPr>
        <w:pStyle w:val="Heading1"/>
      </w:pPr>
      <w:r>
        <w:t xml:space="preserve">5. Limitations</w:t>
      </w:r>
    </w:p>
    <w:p>
      <w:pPr>
        <w:numPr>
          <w:ilvl w:val="0"/>
          <w:numId w:val="1018"/>
        </w:numPr>
      </w:pPr>
      <w:r>
        <w:rPr>
          <w:bCs/>
          <w:b/>
        </w:rPr>
        <w:t xml:space="preserve">Reference values for the standards.</w:t>
      </w:r>
    </w:p>
    <w:p>
      <w:pPr>
        <w:numPr>
          <w:ilvl w:val="1"/>
          <w:numId w:val="1019"/>
        </w:numPr>
      </w:pPr>
      <w:r>
        <w:t xml:space="preserve">TJ+ needs the reference values of the transfer standards.</w:t>
      </w:r>
    </w:p>
    <w:p>
      <w:pPr>
        <w:numPr>
          <w:ilvl w:val="1"/>
          <w:numId w:val="1019"/>
        </w:numPr>
      </w:pPr>
      <w:r>
        <w:t xml:space="preserve">SBC needs them anyway, and PDS/DS standards are usually calibration samples with known values.</w:t>
      </w:r>
    </w:p>
    <w:p>
      <w:pPr>
        <w:numPr>
          <w:ilvl w:val="1"/>
          <w:numId w:val="1019"/>
        </w:numPr>
      </w:pPr>
      <w:r>
        <w:t xml:space="preserve">When reference values are unavailable, only the exploratory label-free variant applies, and it carries no guarantee and under-covered in our tests (§4.7).</w:t>
      </w:r>
    </w:p>
    <w:p>
      <w:pPr>
        <w:numPr>
          <w:ilvl w:val="0"/>
          <w:numId w:val="1018"/>
        </w:numPr>
      </w:pPr>
      <w:r>
        <w:rPr>
          <w:bCs/>
          <w:b/>
        </w:rPr>
        <w:t xml:space="preserve">How the standards are selected.</w:t>
      </w:r>
    </w:p>
    <w:p>
      <w:pPr>
        <w:numPr>
          <w:ilvl w:val="1"/>
          <w:numId w:val="1020"/>
        </w:numPr>
      </w:pPr>
      <w:r>
        <w:t xml:space="preserve">The guarantee assumes the standards are a random sample of the target population, exchangeable with future samples.</w:t>
      </w:r>
    </w:p>
    <w:p>
      <w:pPr>
        <w:numPr>
          <w:ilvl w:val="1"/>
          <w:numId w:val="1020"/>
        </w:numPr>
      </w:pPr>
      <w:r>
        <w:t xml:space="preserve">Kennard–Stone and other representative designs violate this assumption. Kennard–Stone selection made TJ+N conservative in our tests (§4.5), but it is not covered by Proposition 1.</w:t>
      </w:r>
    </w:p>
    <w:p>
      <w:pPr>
        <w:numPr>
          <w:ilvl w:val="1"/>
          <w:numId w:val="1020"/>
        </w:numPr>
      </w:pPr>
      <w:r>
        <w:t xml:space="preserve">In practice, a random subset of standards can be reserved for interval calibration.</w:t>
      </w:r>
    </w:p>
    <w:p>
      <w:pPr>
        <w:numPr>
          <w:ilvl w:val="0"/>
          <w:numId w:val="1018"/>
        </w:numPr>
      </w:pPr>
      <w:r>
        <w:rPr>
          <w:bCs/>
          <w:b/>
        </w:rPr>
        <w:t xml:space="preserve">Marginal, not conditional, guarantee.</w:t>
      </w:r>
    </w:p>
    <w:p>
      <w:pPr>
        <w:numPr>
          <w:ilvl w:val="1"/>
          <w:numId w:val="1021"/>
        </w:numPr>
      </w:pPr>
      <w:r>
        <w:t xml:space="preserve">Coverage holds on average over the draw of standards and future samples.</w:t>
      </w:r>
    </w:p>
    <w:p>
      <w:pPr>
        <w:numPr>
          <w:ilvl w:val="1"/>
          <w:numId w:val="1021"/>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1"/>
        </w:numPr>
      </w:pPr>
      <w:r>
        <w:t xml:space="preserve">The worst-case bound is 1−2α, although the observed coverage was close to or above 1−α.</w:t>
      </w:r>
    </w:p>
    <w:p>
      <w:pPr>
        <w:numPr>
          <w:ilvl w:val="0"/>
          <w:numId w:val="1018"/>
        </w:numPr>
      </w:pPr>
      <w:r>
        <w:rPr>
          <w:bCs/>
          <w:b/>
        </w:rPr>
        <w:t xml:space="preserve">Scope of the evidence.</w:t>
      </w:r>
    </w:p>
    <w:p>
      <w:pPr>
        <w:numPr>
          <w:ilvl w:val="1"/>
          <w:numId w:val="1022"/>
        </w:numPr>
      </w:pPr>
      <w:r>
        <w:t xml:space="preserve">Three public NIR data sets were used, one of them small (corn,</w:t>
      </w:r>
      <w:r>
        <w:t xml:space="preserve"> </w:t>
      </w:r>
      <w:r>
        <w:rPr>
          <w:iCs/>
          <w:i/>
        </w:rPr>
        <w:t xml:space="preserve">n</w:t>
      </w:r>
      <w:r>
        <w:t xml:space="preserve"> </w:t>
      </w:r>
      <w:r>
        <w:t xml:space="preserve">= 80), with two instrument pairs and one season shift.</w:t>
      </w:r>
    </w:p>
    <w:p>
      <w:pPr>
        <w:numPr>
          <w:ilvl w:val="1"/>
          <w:numId w:val="1022"/>
        </w:numPr>
      </w:pPr>
      <w:r>
        <w:t xml:space="preserve">The noise, wavelength-shift and source-size perturbations are simulated.</w:t>
      </w:r>
    </w:p>
    <w:p>
      <w:pPr>
        <w:numPr>
          <w:ilvl w:val="1"/>
          <w:numId w:val="1022"/>
        </w:numPr>
      </w:pPr>
      <w:r>
        <w:t xml:space="preserve">Other techniques (Raman, MIR), non-linear or deep domain-adaptation transfers, and process data streams with drift were not tested.</w:t>
      </w:r>
    </w:p>
    <w:p>
      <w:pPr>
        <w:numPr>
          <w:ilvl w:val="0"/>
          <w:numId w:val="1018"/>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18"/>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18"/>
        </w:numPr>
      </w:pPr>
      <w:r>
        <w:rPr>
          <w:bCs/>
          <w:b/>
        </w:rPr>
        <w:t xml:space="preserve">Drift after standardisation.</w:t>
      </w:r>
      <w:r>
        <w:t xml:space="preserve"> </w:t>
      </w:r>
      <w:r>
        <w:t xml:space="preserve">A shift of the routine spectra after the transfer has been fitted (simulated as a one-channel wavelength shift) invalidated all intervals, including TJ+N (§4.5). The guarantee presupposes a stable target instrument between standardisation and use.</w:t>
      </w:r>
    </w:p>
    <w:bookmarkEnd w:id="73"/>
    <w:bookmarkStart w:id="74"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w:t>
      </w:r>
    </w:p>
    <w:p>
      <w:pPr>
        <w:pStyle w:val="BodyText"/>
      </w:pPr>
      <w:r>
        <w:t xml:space="preserve">We recommend:</w:t>
      </w:r>
    </w:p>
    <w:p>
      <w:pPr>
        <w:numPr>
          <w:ilvl w:val="0"/>
          <w:numId w:val="1023"/>
        </w:numPr>
      </w:pPr>
      <w:r>
        <w:t xml:space="preserve">drawing at least a random subset of transfer standards from the target population;</w:t>
      </w:r>
    </w:p>
    <w:p>
      <w:pPr>
        <w:numPr>
          <w:ilvl w:val="0"/>
          <w:numId w:val="1023"/>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23"/>
        </w:numPr>
      </w:pPr>
      <w:r>
        <w:t xml:space="preserve">reporting TJ+-type intervals, or at least Gaussian leave-one-standard-out intervals, alongside RMSEP whenever a calibration is transferred.</w:t>
      </w:r>
    </w:p>
    <w:bookmarkEnd w:id="74"/>
    <w:bookmarkStart w:id="75"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[33]</w:t>
      </w:r>
      <w:r>
        <w:t xml:space="preserve">, and mango DMC from Mendeley Data (doi:10.17632/46htwnp833, CC BY 4.0)</w:t>
      </w:r>
      <w:r>
        <w:t xml:space="preserve"> </w:t>
      </w:r>
      <w:r>
        <w:t xml:space="preserve">[34]</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5"/>
    <w:bookmarkStart w:id="76"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(2)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(3),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24"/>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(4),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24"/>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r>
          <m:rPr>
            <m:sty m:val="p"/>
          </m:rPr>
          <m:t>|</m:t>
        </m:r>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d>
                <m:dPr>
                  <m:begChr m:val="["/>
                  <m:endChr m:val="]"/>
                  <m:sepChr m:val=""/>
                  <m:grow/>
                </m:dPr>
                <m:e>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d>
          <m:dPr>
            <m:begChr m:val="["/>
            <m:endChr m:val="]"/>
            <m:sepChr m:val=""/>
            <m:grow/>
          </m:dPr>
          <m:e>
            <m:sSub>
              <m:e>
                <m:r>
                  <m:t>R</m:t>
                </m:r>
              </m:e>
              <m:sub>
                <m:r>
                  <m:t>j</m:t>
                </m:r>
                <m:r>
                  <m:t>i</m:t>
                </m:r>
              </m:sub>
            </m:sSub>
            <m:r>
              <m:rPr>
                <m:sty m:val="p"/>
              </m:rPr>
              <m:t>&gt;</m:t>
            </m:r>
            <m:sSub>
              <m:e>
                <m:r>
                  <m:t>R</m:t>
                </m:r>
              </m:e>
              <m:sub>
                <m:r>
                  <m:t>i</m:t>
                </m:r>
                <m:r>
                  <m:t>j</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[30]</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d>
          <m:dPr>
            <m:begChr m:val="["/>
            <m:endChr m:val="]"/>
            <m:sepChr m:val=""/>
            <m:grow/>
          </m:dPr>
          <m:e>
            <m:r>
              <m:rPr>
                <m:sty m:val="p"/>
              </m:rPr>
              <m:t>#</m:t>
            </m:r>
            <m:r>
              <m:rPr>
                <m:nor/>
                <m:sty m:val="p"/>
              </m:rPr>
              <m:t>strange</m:t>
            </m:r>
          </m:e>
        </m:d>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25"/>
        </w:numPr>
      </w:pPr>
      <w:r>
        <w:t xml:space="preserve">The normalisation enters only through the definition of the scores. Steps 2–4 hold for any score of the form</w:t>
      </w:r>
      <w:r>
        <w:t xml:space="preserve"> </w:t>
      </w:r>
      <m:oMath>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25"/>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§4.4.</w:t>
      </w:r>
    </w:p>
    <w:p>
      <w:pPr>
        <w:numPr>
          <w:ilvl w:val="0"/>
          <w:numId w:val="1025"/>
        </w:numPr>
      </w:pPr>
      <w:r>
        <w:t xml:space="preserve">If the standards are chosen by a data-dependent design such as Kennard–Stone, they are no longer exchangeable with a random future sample, and Step 4 does not apply.</w:t>
      </w:r>
    </w:p>
    <w:bookmarkEnd w:id="76"/>
    <w:bookmarkStart w:id="157" w:name="bibliography"/>
    <w:p>
      <w:r>
        <w:br w:type="page"/>
      </w:r>
    </w:p>
    <w:p>
      <w:pPr>
        <w:pStyle w:val="Heading1"/>
      </w:pPr>
      <w:r>
        <w:t xml:space="preserve">References</w:t>
      </w:r>
    </w:p>
    <w:bookmarkStart w:id="156" w:name="refs"/>
    <w:bookmarkStart w:id="78"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7">
        <w:r>
          <w:rPr>
            <w:rStyle w:val="Hyperlink"/>
          </w:rPr>
          <w:t xml:space="preserve">10.1016/j.aca.2018.04.004</w:t>
        </w:r>
      </w:hyperlink>
      <w:r>
        <w:t xml:space="preserve">.</w:t>
      </w:r>
    </w:p>
    <w:bookmarkEnd w:id="78"/>
    <w:bookmarkStart w:id="80"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9">
        <w:r>
          <w:rPr>
            <w:rStyle w:val="Hyperlink"/>
          </w:rPr>
          <w:t xml:space="preserve">10.1016/S0169-7439(02)00085-0</w:t>
        </w:r>
      </w:hyperlink>
      <w:r>
        <w:t xml:space="preserve">.</w:t>
      </w:r>
    </w:p>
    <w:bookmarkEnd w:id="80"/>
    <w:bookmarkStart w:id="82"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81">
        <w:r>
          <w:rPr>
            <w:rStyle w:val="Hyperlink"/>
          </w:rPr>
          <w:t xml:space="preserve">10.1177/0003702817736064</w:t>
        </w:r>
      </w:hyperlink>
      <w:r>
        <w:t xml:space="preserve">.</w:t>
      </w:r>
    </w:p>
    <w:bookmarkEnd w:id="82"/>
    <w:bookmarkStart w:id="84"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3">
        <w:r>
          <w:rPr>
            <w:rStyle w:val="Hyperlink"/>
          </w:rPr>
          <w:t xml:space="preserve">10.1016/j.postharvbio.2020.111202</w:t>
        </w:r>
      </w:hyperlink>
      <w:r>
        <w:t xml:space="preserve">.</w:t>
      </w:r>
    </w:p>
    <w:bookmarkEnd w:id="84"/>
    <w:bookmarkStart w:id="86"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5">
        <w:r>
          <w:rPr>
            <w:rStyle w:val="Hyperlink"/>
          </w:rPr>
          <w:t xml:space="preserve">10.1021/ac00023a016</w:t>
        </w:r>
      </w:hyperlink>
      <w:r>
        <w:t xml:space="preserve">.</w:t>
      </w:r>
    </w:p>
    <w:bookmarkEnd w:id="86"/>
    <w:bookmarkStart w:id="88"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7">
        <w:r>
          <w:rPr>
            <w:rStyle w:val="Hyperlink"/>
          </w:rPr>
          <w:t xml:space="preserve">10.1016/0169-7439(95)00074-7</w:t>
        </w:r>
      </w:hyperlink>
      <w:r>
        <w:t xml:space="preserve">.</w:t>
      </w:r>
    </w:p>
    <w:bookmarkEnd w:id="88"/>
    <w:bookmarkStart w:id="90"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9">
        <w:r>
          <w:rPr>
            <w:rStyle w:val="Hyperlink"/>
          </w:rPr>
          <w:t xml:space="preserve">10.1021/acs.analchem.8b00498</w:t>
        </w:r>
      </w:hyperlink>
      <w:r>
        <w:t xml:space="preserve">.</w:t>
      </w:r>
    </w:p>
    <w:bookmarkEnd w:id="90"/>
    <w:bookmarkStart w:id="92"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&amp;Amp; Technology 111 (2020) 103547. https://doi.org/</w:t>
      </w:r>
      <w:hyperlink r:id="rId91">
        <w:r>
          <w:rPr>
            <w:rStyle w:val="Hyperlink"/>
          </w:rPr>
          <w:t xml:space="preserve">10.1016/j.infrared.2020.103547</w:t>
        </w:r>
      </w:hyperlink>
      <w:r>
        <w:t xml:space="preserve">.</w:t>
      </w:r>
    </w:p>
    <w:bookmarkEnd w:id="92"/>
    <w:bookmarkStart w:id="94"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3">
        <w:r>
          <w:rPr>
            <w:rStyle w:val="Hyperlink"/>
          </w:rPr>
          <w:t xml:space="preserve">10.1016/j.aca.2022.340154</w:t>
        </w:r>
      </w:hyperlink>
      <w:r>
        <w:t xml:space="preserve">.</w:t>
      </w:r>
    </w:p>
    <w:bookmarkEnd w:id="94"/>
    <w:bookmarkStart w:id="96"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5">
        <w:r>
          <w:rPr>
            <w:rStyle w:val="Hyperlink"/>
          </w:rPr>
          <w:t xml:space="preserve">10.1016/j.aca.2024.342404</w:t>
        </w:r>
      </w:hyperlink>
      <w:r>
        <w:t xml:space="preserve">.</w:t>
      </w:r>
    </w:p>
    <w:bookmarkEnd w:id="96"/>
    <w:bookmarkStart w:id="98"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7">
        <w:r>
          <w:rPr>
            <w:rStyle w:val="Hyperlink"/>
          </w:rPr>
          <w:t xml:space="preserve">10.1016/j.aca.2025.344151</w:t>
        </w:r>
      </w:hyperlink>
      <w:r>
        <w:t xml:space="preserve">.</w:t>
      </w:r>
    </w:p>
    <w:bookmarkEnd w:id="98"/>
    <w:bookmarkStart w:id="100"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9">
        <w:r>
          <w:rPr>
            <w:rStyle w:val="Hyperlink"/>
          </w:rPr>
          <w:t xml:space="preserve">10.1016/j.aca.2026.346104</w:t>
        </w:r>
      </w:hyperlink>
      <w:r>
        <w:t xml:space="preserve">.</w:t>
      </w:r>
    </w:p>
    <w:bookmarkEnd w:id="100"/>
    <w:bookmarkStart w:id="102"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101">
        <w:r>
          <w:rPr>
            <w:rStyle w:val="Hyperlink"/>
          </w:rPr>
          <w:t xml:space="preserve">10.1002/(SICI)1099-128X(199705)11:3&lt;181::AID-CEM459&gt;3.0.CO;2-7</w:t>
        </w:r>
      </w:hyperlink>
      <w:r>
        <w:t xml:space="preserve">.</w:t>
      </w:r>
    </w:p>
    <w:bookmarkEnd w:id="102"/>
    <w:bookmarkStart w:id="104"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3">
        <w:r>
          <w:rPr>
            <w:rStyle w:val="Hyperlink"/>
          </w:rPr>
          <w:t xml:space="preserve">10.1351/pac200678030633</w:t>
        </w:r>
      </w:hyperlink>
      <w:r>
        <w:t xml:space="preserve">.</w:t>
      </w:r>
    </w:p>
    <w:bookmarkEnd w:id="104"/>
    <w:bookmarkStart w:id="106"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5">
        <w:r>
          <w:rPr>
            <w:rStyle w:val="Hyperlink"/>
          </w:rPr>
          <w:t xml:space="preserve">10.1016/j.aca.2015.11.028</w:t>
        </w:r>
      </w:hyperlink>
      <w:r>
        <w:t xml:space="preserve">.</w:t>
      </w:r>
    </w:p>
    <w:bookmarkEnd w:id="106"/>
    <w:bookmarkStart w:id="108"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7">
        <w:r>
          <w:rPr>
            <w:rStyle w:val="Hyperlink"/>
          </w:rPr>
          <w:t xml:space="preserve">10.1520/E1655-17</w:t>
        </w:r>
      </w:hyperlink>
      <w:r>
        <w:t xml:space="preserve">.</w:t>
      </w:r>
    </w:p>
    <w:bookmarkEnd w:id="108"/>
    <w:bookmarkStart w:id="110"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9">
        <w:r>
          <w:rPr>
            <w:rStyle w:val="Hyperlink"/>
          </w:rPr>
          <w:t xml:space="preserve">10.1007/b106715</w:t>
        </w:r>
      </w:hyperlink>
      <w:r>
        <w:t xml:space="preserve">.</w:t>
      </w:r>
    </w:p>
    <w:bookmarkEnd w:id="110"/>
    <w:bookmarkStart w:id="112"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11">
        <w:r>
          <w:rPr>
            <w:rStyle w:val="Hyperlink"/>
          </w:rPr>
          <w:t xml:space="preserve">10.1080/01621459.2017.1307116</w:t>
        </w:r>
      </w:hyperlink>
      <w:r>
        <w:t xml:space="preserve">.</w:t>
      </w:r>
    </w:p>
    <w:bookmarkEnd w:id="112"/>
    <w:bookmarkStart w:id="114"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3">
        <w:r>
          <w:rPr>
            <w:rStyle w:val="Hyperlink"/>
          </w:rPr>
          <w:t xml:space="preserve">10.1561/2200000101</w:t>
        </w:r>
      </w:hyperlink>
      <w:r>
        <w:t xml:space="preserve">.</w:t>
      </w:r>
    </w:p>
    <w:bookmarkEnd w:id="114"/>
    <w:bookmarkStart w:id="116"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5">
        <w:r>
          <w:rPr>
            <w:rStyle w:val="Hyperlink"/>
          </w:rPr>
          <w:t xml:space="preserve">10.3150/21-BEJ1447</w:t>
        </w:r>
      </w:hyperlink>
      <w:r>
        <w:t xml:space="preserve">.</w:t>
      </w:r>
    </w:p>
    <w:bookmarkEnd w:id="116"/>
    <w:bookmarkStart w:id="118"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7">
        <w:r>
          <w:rPr>
            <w:rStyle w:val="Hyperlink"/>
          </w:rPr>
          <w:t xml:space="preserve">10.1177/0003702819831017</w:t>
        </w:r>
      </w:hyperlink>
      <w:r>
        <w:t xml:space="preserve">.</w:t>
      </w:r>
    </w:p>
    <w:bookmarkEnd w:id="118"/>
    <w:bookmarkStart w:id="120"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9">
        <w:r>
          <w:rPr>
            <w:rStyle w:val="Hyperlink"/>
          </w:rPr>
          <w:t xml:space="preserve">10.1002/cem.3639</w:t>
        </w:r>
      </w:hyperlink>
      <w:r>
        <w:t xml:space="preserve">.</w:t>
      </w:r>
    </w:p>
    <w:bookmarkEnd w:id="120"/>
    <w:bookmarkStart w:id="122"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21">
        <w:r>
          <w:rPr>
            <w:rStyle w:val="Hyperlink"/>
          </w:rPr>
          <w:t xml:space="preserve">10.1016/j.chemolab.2024.105225</w:t>
        </w:r>
      </w:hyperlink>
      <w:r>
        <w:t xml:space="preserve">.</w:t>
      </w:r>
    </w:p>
    <w:bookmarkEnd w:id="122"/>
    <w:bookmarkStart w:id="124"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3">
        <w:r>
          <w:rPr>
            <w:rStyle w:val="Hyperlink"/>
          </w:rPr>
          <w:t xml:space="preserve">10.1002/cem.70017</w:t>
        </w:r>
      </w:hyperlink>
      <w:r>
        <w:t xml:space="preserve">.</w:t>
      </w:r>
    </w:p>
    <w:bookmarkEnd w:id="124"/>
    <w:bookmarkStart w:id="126"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5">
        <w:r>
          <w:rPr>
            <w:rStyle w:val="Hyperlink"/>
          </w:rPr>
          <w:t xml:space="preserve">10.1016/j.foodchem.2025.145387</w:t>
        </w:r>
      </w:hyperlink>
      <w:r>
        <w:t xml:space="preserve">.</w:t>
      </w:r>
    </w:p>
    <w:bookmarkEnd w:id="126"/>
    <w:bookmarkStart w:id="128"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7">
        <w:r>
          <w:rPr>
            <w:rStyle w:val="Hyperlink"/>
          </w:rPr>
          <w:t xml:space="preserve">https://arxiv.org/abs/2512.23444</w:t>
        </w:r>
      </w:hyperlink>
      <w:r>
        <w:t xml:space="preserve">.</w:t>
      </w:r>
    </w:p>
    <w:bookmarkEnd w:id="128"/>
    <w:bookmarkStart w:id="130"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9">
        <w:r>
          <w:rPr>
            <w:rStyle w:val="Hyperlink"/>
          </w:rPr>
          <w:t xml:space="preserve">10.1021/ci5001168</w:t>
        </w:r>
      </w:hyperlink>
      <w:r>
        <w:t xml:space="preserve">.</w:t>
      </w:r>
    </w:p>
    <w:bookmarkEnd w:id="130"/>
    <w:bookmarkStart w:id="131"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31"/>
    <w:bookmarkStart w:id="133" w:name="ref-doula2026"/>
    <w:p>
      <w:pPr>
        <w:pStyle w:val="Bibliography"/>
      </w:pPr>
      <w:r>
        <w:t xml:space="preserve">[29]</w:t>
      </w:r>
      <w:r>
        <w:t xml:space="preserve"> </w:t>
      </w:r>
      <w:r>
        <w:t xml:space="preserve">	</w:t>
      </w:r>
      <w:r>
        <w:t xml:space="preserve">A. Doula, Conformal calibration transfer, arXiv Preprint arXiv:2609.10737 (Accepted at ICML 2026) (2026).</w:t>
      </w:r>
      <w:r>
        <w:t xml:space="preserve"> </w:t>
      </w:r>
      <w:hyperlink r:id="rId132">
        <w:r>
          <w:rPr>
            <w:rStyle w:val="Hyperlink"/>
          </w:rPr>
          <w:t xml:space="preserve">https://arxiv.org/abs/2609.10737</w:t>
        </w:r>
      </w:hyperlink>
      <w:r>
        <w:t xml:space="preserve">.</w:t>
      </w:r>
    </w:p>
    <w:bookmarkEnd w:id="133"/>
    <w:bookmarkStart w:id="135" w:name="ref-barber2021"/>
    <w:p>
      <w:pPr>
        <w:pStyle w:val="Bibliography"/>
      </w:pPr>
      <w:r>
        <w:t xml:space="preserve">[30]</w:t>
      </w:r>
      <w:r>
        <w:t xml:space="preserve"> </w:t>
      </w:r>
      <w:r>
        <w:t xml:space="preserve">	</w:t>
      </w:r>
      <w:r>
        <w:t xml:space="preserve">R.F. Barber, E.J. Candès, A. Ramdas, R.J. Tibshirani, Predictive inference with the jackknife+, The Annals of Statistics 49 (2021) 486–507. https://doi.org/</w:t>
      </w:r>
      <w:hyperlink r:id="rId134">
        <w:r>
          <w:rPr>
            <w:rStyle w:val="Hyperlink"/>
          </w:rPr>
          <w:t xml:space="preserve">10.1214/20-aos1965</w:t>
        </w:r>
      </w:hyperlink>
      <w:r>
        <w:t xml:space="preserve">.</w:t>
      </w:r>
    </w:p>
    <w:bookmarkEnd w:id="135"/>
    <w:bookmarkStart w:id="137" w:name="ref-kennard1969"/>
    <w:p>
      <w:pPr>
        <w:pStyle w:val="Bibliography"/>
      </w:pPr>
      <w:r>
        <w:t xml:space="preserve">[31]</w:t>
      </w:r>
      <w:r>
        <w:t xml:space="preserve"> </w:t>
      </w:r>
      <w:r>
        <w:t xml:space="preserve">	</w:t>
      </w:r>
      <w:r>
        <w:t xml:space="preserve">R.W. Kennard, L.A. Stone, Computer Aided Design of Experiments, Technometrics 11 (1969) 137–148. https://doi.org/</w:t>
      </w:r>
      <w:hyperlink r:id="rId136">
        <w:r>
          <w:rPr>
            <w:rStyle w:val="Hyperlink"/>
          </w:rPr>
          <w:t xml:space="preserve">10.1080/00401706.1969.10490666</w:t>
        </w:r>
      </w:hyperlink>
      <w:r>
        <w:t xml:space="preserve">.</w:t>
      </w:r>
    </w:p>
    <w:bookmarkEnd w:id="137"/>
    <w:bookmarkStart w:id="138" w:name="ref-gal2016"/>
    <w:p>
      <w:pPr>
        <w:pStyle w:val="Bibliography"/>
      </w:pPr>
      <w:r>
        <w:t xml:space="preserve">[32]</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38"/>
    <w:bookmarkStart w:id="140" w:name="ref-eigenvector_data"/>
    <w:p>
      <w:pPr>
        <w:pStyle w:val="Bibliography"/>
      </w:pPr>
      <w:r>
        <w:t xml:space="preserve">[33]</w:t>
      </w:r>
      <w:r>
        <w:t xml:space="preserve"> </w:t>
      </w:r>
      <w:r>
        <w:t xml:space="preserve">	</w:t>
      </w:r>
      <w:r>
        <w:t xml:space="preserve">Eigenvector Research, Inc., Data sets: Corn and NIR Shootout 2002 (IDRC), (n.d.).</w:t>
      </w:r>
      <w:r>
        <w:t xml:space="preserve"> </w:t>
      </w:r>
      <w:hyperlink r:id="rId139">
        <w:r>
          <w:rPr>
            <w:rStyle w:val="Hyperlink"/>
          </w:rPr>
          <w:t xml:space="preserve">https://eigenvector.com/resources/data-sets/</w:t>
        </w:r>
      </w:hyperlink>
      <w:r>
        <w:t xml:space="preserve"> </w:t>
      </w:r>
      <w:r>
        <w:t xml:space="preserve">(accessed October 13, 2026).</w:t>
      </w:r>
    </w:p>
    <w:bookmarkEnd w:id="140"/>
    <w:bookmarkStart w:id="142" w:name="ref-mango_data"/>
    <w:p>
      <w:pPr>
        <w:pStyle w:val="Bibliography"/>
      </w:pPr>
      <w:r>
        <w:t xml:space="preserve">[34]</w:t>
      </w:r>
      <w:r>
        <w:t xml:space="preserve"> </w:t>
      </w:r>
      <w:r>
        <w:t xml:space="preserve">	</w:t>
      </w:r>
      <w:r>
        <w:t xml:space="preserve">N. Anderson, K. Walsh, P. Subedi, J. Walsh, Mango DMC and NIR spectra (Version 6), (2026). https://doi.org/</w:t>
      </w:r>
      <w:hyperlink r:id="rId141">
        <w:r>
          <w:rPr>
            <w:rStyle w:val="Hyperlink"/>
          </w:rPr>
          <w:t xml:space="preserve">10.17632/46htwnp833.6</w:t>
        </w:r>
      </w:hyperlink>
      <w:r>
        <w:t xml:space="preserve">.</w:t>
      </w:r>
    </w:p>
    <w:bookmarkEnd w:id="142"/>
    <w:bookmarkStart w:id="144" w:name="ref-barnes1989"/>
    <w:p>
      <w:pPr>
        <w:pStyle w:val="Bibliography"/>
      </w:pPr>
      <w:r>
        <w:t xml:space="preserve">[35]</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3">
        <w:r>
          <w:rPr>
            <w:rStyle w:val="Hyperlink"/>
          </w:rPr>
          <w:t xml:space="preserve">10.1366/0003702894202201</w:t>
        </w:r>
      </w:hyperlink>
      <w:r>
        <w:t xml:space="preserve">.</w:t>
      </w:r>
    </w:p>
    <w:bookmarkEnd w:id="144"/>
    <w:bookmarkStart w:id="146" w:name="ref-savitzky1964"/>
    <w:p>
      <w:pPr>
        <w:pStyle w:val="Bibliography"/>
      </w:pPr>
      <w:r>
        <w:t xml:space="preserve">[36]</w:t>
      </w:r>
      <w:r>
        <w:t xml:space="preserve"> </w:t>
      </w:r>
      <w:r>
        <w:t xml:space="preserve">	</w:t>
      </w:r>
      <w:r>
        <w:t xml:space="preserve">Abraham. Savitzky, M.J.E. Golay, Smoothing and Differentiation of Data by Simplified Least Squares Procedures., Analytical Chemistry 36 (1964) 1627–1639. https://doi.org/</w:t>
      </w:r>
      <w:hyperlink r:id="rId145">
        <w:r>
          <w:rPr>
            <w:rStyle w:val="Hyperlink"/>
          </w:rPr>
          <w:t xml:space="preserve">10.1021/ac60214a047</w:t>
        </w:r>
      </w:hyperlink>
      <w:r>
        <w:t xml:space="preserve">.</w:t>
      </w:r>
    </w:p>
    <w:bookmarkEnd w:id="146"/>
    <w:bookmarkStart w:id="148" w:name="ref-wold2001"/>
    <w:p>
      <w:pPr>
        <w:pStyle w:val="Bibliography"/>
      </w:pPr>
      <w:r>
        <w:t xml:space="preserve">[37]</w:t>
      </w:r>
      <w:r>
        <w:t xml:space="preserve"> </w:t>
      </w:r>
      <w:r>
        <w:t xml:space="preserve">	</w:t>
      </w:r>
      <w:r>
        <w:t xml:space="preserve">S. Wold, M. Sjöström, L. Eriksson, PLS-regression: a basic tool of chemometrics, Chemometrics and Intelligent Laboratory Systems 58 (2001) 109–130. https://doi.org/</w:t>
      </w:r>
      <w:hyperlink r:id="rId147">
        <w:r>
          <w:rPr>
            <w:rStyle w:val="Hyperlink"/>
          </w:rPr>
          <w:t xml:space="preserve">10.1016/S0169-7439(01)00155-1</w:t>
        </w:r>
      </w:hyperlink>
      <w:r>
        <w:t xml:space="preserve">.</w:t>
      </w:r>
    </w:p>
    <w:bookmarkEnd w:id="148"/>
    <w:bookmarkStart w:id="150" w:name="ref-gneiting2007"/>
    <w:p>
      <w:pPr>
        <w:pStyle w:val="Bibliography"/>
      </w:pPr>
      <w:r>
        <w:t xml:space="preserve">[38]</w:t>
      </w:r>
      <w:r>
        <w:t xml:space="preserve"> </w:t>
      </w:r>
      <w:r>
        <w:t xml:space="preserve">	</w:t>
      </w:r>
      <w:r>
        <w:t xml:space="preserve">T. Gneiting, A.E. Raftery, Strictly Proper Scoring Rules, Prediction, and Estimation, Journal of the American Statistical Association 102 (2007) 359–378. https://doi.org/</w:t>
      </w:r>
      <w:hyperlink r:id="rId149">
        <w:r>
          <w:rPr>
            <w:rStyle w:val="Hyperlink"/>
          </w:rPr>
          <w:t xml:space="preserve">10.1198/016214506000001437</w:t>
        </w:r>
      </w:hyperlink>
      <w:r>
        <w:t xml:space="preserve">.</w:t>
      </w:r>
    </w:p>
    <w:bookmarkEnd w:id="150"/>
    <w:bookmarkStart w:id="152" w:name="ref-holm1979"/>
    <w:p>
      <w:pPr>
        <w:pStyle w:val="Bibliography"/>
      </w:pPr>
      <w:r>
        <w:t xml:space="preserve">[39]</w:t>
      </w:r>
      <w:r>
        <w:t xml:space="preserve"> </w:t>
      </w:r>
      <w:r>
        <w:t xml:space="preserve">	</w:t>
      </w:r>
      <w:r>
        <w:t xml:space="preserve">S. Holm, A simple sequentially rejective multiple test procedure, Scandinavian Journal of Statistics 6 (1979) 65–70. https://doi.org/</w:t>
      </w:r>
      <w:hyperlink r:id="rId151">
        <w:r>
          <w:rPr>
            <w:rStyle w:val="Hyperlink"/>
          </w:rPr>
          <w:t xml:space="preserve">10.2307/4615733</w:t>
        </w:r>
      </w:hyperlink>
      <w:r>
        <w:t xml:space="preserve">.</w:t>
      </w:r>
    </w:p>
    <w:bookmarkEnd w:id="152"/>
    <w:bookmarkStart w:id="153" w:name="ref-demsar2006"/>
    <w:p>
      <w:pPr>
        <w:pStyle w:val="Bibliography"/>
      </w:pPr>
      <w:r>
        <w:t xml:space="preserve">[40]</w:t>
      </w:r>
      <w:r>
        <w:t xml:space="preserve"> </w:t>
      </w:r>
      <w:r>
        <w:t xml:space="preserve">	</w:t>
      </w:r>
      <w:r>
        <w:t xml:space="preserve">J. Demšar, Statistical comparisons of classifiers over multiple data sets, Journal of Machine Learning Research 7 (2006) 1–30.</w:t>
      </w:r>
    </w:p>
    <w:bookmarkEnd w:id="153"/>
    <w:bookmarkStart w:id="155" w:name="ref-maxime2025"/>
    <w:p>
      <w:pPr>
        <w:pStyle w:val="Bibliography"/>
      </w:pPr>
      <w:r>
        <w:t xml:space="preserve">[41]</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4">
        <w:r>
          <w:rPr>
            <w:rStyle w:val="Hyperlink"/>
          </w:rPr>
          <w:t xml:space="preserve">10.1016/j.chemolab.2025.105532</w:t>
        </w:r>
      </w:hyperlink>
      <w:r>
        <w:t xml:space="preserve">.</w:t>
      </w:r>
    </w:p>
    <w:bookmarkEnd w:id="155"/>
    <w:bookmarkEnd w:id="156"/>
    <w:bookmarkEnd w:id="157"/>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66" Type="http://schemas.openxmlformats.org/officeDocument/2006/relationships/image" Target="media/rId66.png"/><Relationship Id="rId127"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101" Type="http://schemas.openxmlformats.org/officeDocument/2006/relationships/hyperlink" Target="https://doi.org/10.1002/(SICI)1099-128X(199705)11:3&lt;181::AID-CEM459&gt;3.0.CO;2-7" TargetMode="External"/><Relationship Id="rId119" Type="http://schemas.openxmlformats.org/officeDocument/2006/relationships/hyperlink" Target="https://doi.org/10.1002/cem.3639" TargetMode="External"/><Relationship Id="rId123" Type="http://schemas.openxmlformats.org/officeDocument/2006/relationships/hyperlink" Target="https://doi.org/10.1002/cem.70017" TargetMode="External"/><Relationship Id="rId109" Type="http://schemas.openxmlformats.org/officeDocument/2006/relationships/hyperlink" Target="https://doi.org/10.1007/b106715" TargetMode="External"/><Relationship Id="rId87" Type="http://schemas.openxmlformats.org/officeDocument/2006/relationships/hyperlink" Target="https://doi.org/10.1016/0169-7439(95)00074-7" TargetMode="External"/><Relationship Id="rId147" Type="http://schemas.openxmlformats.org/officeDocument/2006/relationships/hyperlink" Target="https://doi.org/10.1016/S0169-7439(01)00155-1" TargetMode="External"/><Relationship Id="rId79" Type="http://schemas.openxmlformats.org/officeDocument/2006/relationships/hyperlink" Target="https://doi.org/10.1016/S0169-7439(02)00085-0" TargetMode="External"/><Relationship Id="rId105" Type="http://schemas.openxmlformats.org/officeDocument/2006/relationships/hyperlink" Target="https://doi.org/10.1016/j.aca.2015.11.028" TargetMode="External"/><Relationship Id="rId77" Type="http://schemas.openxmlformats.org/officeDocument/2006/relationships/hyperlink" Target="https://doi.org/10.1016/j.aca.2018.04.004" TargetMode="External"/><Relationship Id="rId93" Type="http://schemas.openxmlformats.org/officeDocument/2006/relationships/hyperlink" Target="https://doi.org/10.1016/j.aca.2022.340154" TargetMode="External"/><Relationship Id="rId95" Type="http://schemas.openxmlformats.org/officeDocument/2006/relationships/hyperlink" Target="https://doi.org/10.1016/j.aca.2024.342404" TargetMode="External"/><Relationship Id="rId97" Type="http://schemas.openxmlformats.org/officeDocument/2006/relationships/hyperlink" Target="https://doi.org/10.1016/j.aca.2025.344151" TargetMode="External"/><Relationship Id="rId99" Type="http://schemas.openxmlformats.org/officeDocument/2006/relationships/hyperlink" Target="https://doi.org/10.1016/j.aca.2026.346104" TargetMode="External"/><Relationship Id="rId121" Type="http://schemas.openxmlformats.org/officeDocument/2006/relationships/hyperlink" Target="https://doi.org/10.1016/j.chemolab.2024.105225" TargetMode="External"/><Relationship Id="rId154" Type="http://schemas.openxmlformats.org/officeDocument/2006/relationships/hyperlink" Target="https://doi.org/10.1016/j.chemolab.2025.105532" TargetMode="External"/><Relationship Id="rId125" Type="http://schemas.openxmlformats.org/officeDocument/2006/relationships/hyperlink" Target="https://doi.org/10.1016/j.foodchem.2025.145387" TargetMode="External"/><Relationship Id="rId91" Type="http://schemas.openxmlformats.org/officeDocument/2006/relationships/hyperlink" Target="https://doi.org/10.1016/j.infrared.2020.103547" TargetMode="External"/><Relationship Id="rId83" Type="http://schemas.openxmlformats.org/officeDocument/2006/relationships/hyperlink" Target="https://doi.org/10.1016/j.postharvbio.2020.111202" TargetMode="External"/><Relationship Id="rId85" Type="http://schemas.openxmlformats.org/officeDocument/2006/relationships/hyperlink" Target="https://doi.org/10.1021/ac00023a016" TargetMode="External"/><Relationship Id="rId145" Type="http://schemas.openxmlformats.org/officeDocument/2006/relationships/hyperlink" Target="https://doi.org/10.1021/ac60214a047" TargetMode="External"/><Relationship Id="rId89" Type="http://schemas.openxmlformats.org/officeDocument/2006/relationships/hyperlink" Target="https://doi.org/10.1021/acs.analchem.8b00498" TargetMode="External"/><Relationship Id="rId129" Type="http://schemas.openxmlformats.org/officeDocument/2006/relationships/hyperlink" Target="https://doi.org/10.1021/ci5001168" TargetMode="External"/><Relationship Id="rId136" Type="http://schemas.openxmlformats.org/officeDocument/2006/relationships/hyperlink" Target="https://doi.org/10.1080/00401706.1969.10490666" TargetMode="External"/><Relationship Id="rId111" Type="http://schemas.openxmlformats.org/officeDocument/2006/relationships/hyperlink" Target="https://doi.org/10.1080/01621459.2017.1307116" TargetMode="External"/><Relationship Id="rId81" Type="http://schemas.openxmlformats.org/officeDocument/2006/relationships/hyperlink" Target="https://doi.org/10.1177/0003702817736064" TargetMode="External"/><Relationship Id="rId117" Type="http://schemas.openxmlformats.org/officeDocument/2006/relationships/hyperlink" Target="https://doi.org/10.1177/0003702819831017" TargetMode="External"/><Relationship Id="rId149"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3" Type="http://schemas.openxmlformats.org/officeDocument/2006/relationships/hyperlink" Target="https://doi.org/10.1351/pac200678030633" TargetMode="External"/><Relationship Id="rId143" Type="http://schemas.openxmlformats.org/officeDocument/2006/relationships/hyperlink" Target="https://doi.org/10.1366/0003702894202201" TargetMode="External"/><Relationship Id="rId107" Type="http://schemas.openxmlformats.org/officeDocument/2006/relationships/hyperlink" Target="https://doi.org/10.1520/E1655-17" TargetMode="External"/><Relationship Id="rId113" Type="http://schemas.openxmlformats.org/officeDocument/2006/relationships/hyperlink" Target="https://doi.org/10.1561/2200000101" TargetMode="External"/><Relationship Id="rId141" Type="http://schemas.openxmlformats.org/officeDocument/2006/relationships/hyperlink" Target="https://doi.org/10.17632/46htwnp833.6" TargetMode="External"/><Relationship Id="rId151" Type="http://schemas.openxmlformats.org/officeDocument/2006/relationships/hyperlink" Target="https://doi.org/10.2307/4615733" TargetMode="External"/><Relationship Id="rId115" Type="http://schemas.openxmlformats.org/officeDocument/2006/relationships/hyperlink" Target="https://doi.org/10.3150/21-BEJ1447" TargetMode="External"/><Relationship Id="rId139"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101" Type="http://schemas.openxmlformats.org/officeDocument/2006/relationships/hyperlink" Target="https://doi.org/10.1002/(SICI)1099-128X(199705)11:3&lt;181::AID-CEM459&gt;3.0.CO;2-7" TargetMode="External"/><Relationship Id="rId119" Type="http://schemas.openxmlformats.org/officeDocument/2006/relationships/hyperlink" Target="https://doi.org/10.1002/cem.3639" TargetMode="External"/><Relationship Id="rId123" Type="http://schemas.openxmlformats.org/officeDocument/2006/relationships/hyperlink" Target="https://doi.org/10.1002/cem.70017" TargetMode="External"/><Relationship Id="rId109" Type="http://schemas.openxmlformats.org/officeDocument/2006/relationships/hyperlink" Target="https://doi.org/10.1007/b106715" TargetMode="External"/><Relationship Id="rId87" Type="http://schemas.openxmlformats.org/officeDocument/2006/relationships/hyperlink" Target="https://doi.org/10.1016/0169-7439(95)00074-7" TargetMode="External"/><Relationship Id="rId147" Type="http://schemas.openxmlformats.org/officeDocument/2006/relationships/hyperlink" Target="https://doi.org/10.1016/S0169-7439(01)00155-1" TargetMode="External"/><Relationship Id="rId79" Type="http://schemas.openxmlformats.org/officeDocument/2006/relationships/hyperlink" Target="https://doi.org/10.1016/S0169-7439(02)00085-0" TargetMode="External"/><Relationship Id="rId105" Type="http://schemas.openxmlformats.org/officeDocument/2006/relationships/hyperlink" Target="https://doi.org/10.1016/j.aca.2015.11.028" TargetMode="External"/><Relationship Id="rId77" Type="http://schemas.openxmlformats.org/officeDocument/2006/relationships/hyperlink" Target="https://doi.org/10.1016/j.aca.2018.04.004" TargetMode="External"/><Relationship Id="rId93" Type="http://schemas.openxmlformats.org/officeDocument/2006/relationships/hyperlink" Target="https://doi.org/10.1016/j.aca.2022.340154" TargetMode="External"/><Relationship Id="rId95" Type="http://schemas.openxmlformats.org/officeDocument/2006/relationships/hyperlink" Target="https://doi.org/10.1016/j.aca.2024.342404" TargetMode="External"/><Relationship Id="rId97" Type="http://schemas.openxmlformats.org/officeDocument/2006/relationships/hyperlink" Target="https://doi.org/10.1016/j.aca.2025.344151" TargetMode="External"/><Relationship Id="rId99" Type="http://schemas.openxmlformats.org/officeDocument/2006/relationships/hyperlink" Target="https://doi.org/10.1016/j.aca.2026.346104" TargetMode="External"/><Relationship Id="rId121" Type="http://schemas.openxmlformats.org/officeDocument/2006/relationships/hyperlink" Target="https://doi.org/10.1016/j.chemolab.2024.105225" TargetMode="External"/><Relationship Id="rId154" Type="http://schemas.openxmlformats.org/officeDocument/2006/relationships/hyperlink" Target="https://doi.org/10.1016/j.chemolab.2025.105532" TargetMode="External"/><Relationship Id="rId125" Type="http://schemas.openxmlformats.org/officeDocument/2006/relationships/hyperlink" Target="https://doi.org/10.1016/j.foodchem.2025.145387" TargetMode="External"/><Relationship Id="rId91" Type="http://schemas.openxmlformats.org/officeDocument/2006/relationships/hyperlink" Target="https://doi.org/10.1016/j.infrared.2020.103547" TargetMode="External"/><Relationship Id="rId83" Type="http://schemas.openxmlformats.org/officeDocument/2006/relationships/hyperlink" Target="https://doi.org/10.1016/j.postharvbio.2020.111202" TargetMode="External"/><Relationship Id="rId85" Type="http://schemas.openxmlformats.org/officeDocument/2006/relationships/hyperlink" Target="https://doi.org/10.1021/ac00023a016" TargetMode="External"/><Relationship Id="rId145" Type="http://schemas.openxmlformats.org/officeDocument/2006/relationships/hyperlink" Target="https://doi.org/10.1021/ac60214a047" TargetMode="External"/><Relationship Id="rId89" Type="http://schemas.openxmlformats.org/officeDocument/2006/relationships/hyperlink" Target="https://doi.org/10.1021/acs.analchem.8b00498" TargetMode="External"/><Relationship Id="rId129" Type="http://schemas.openxmlformats.org/officeDocument/2006/relationships/hyperlink" Target="https://doi.org/10.1021/ci5001168" TargetMode="External"/><Relationship Id="rId136" Type="http://schemas.openxmlformats.org/officeDocument/2006/relationships/hyperlink" Target="https://doi.org/10.1080/00401706.1969.10490666" TargetMode="External"/><Relationship Id="rId111" Type="http://schemas.openxmlformats.org/officeDocument/2006/relationships/hyperlink" Target="https://doi.org/10.1080/01621459.2017.1307116" TargetMode="External"/><Relationship Id="rId81" Type="http://schemas.openxmlformats.org/officeDocument/2006/relationships/hyperlink" Target="https://doi.org/10.1177/0003702817736064" TargetMode="External"/><Relationship Id="rId117" Type="http://schemas.openxmlformats.org/officeDocument/2006/relationships/hyperlink" Target="https://doi.org/10.1177/0003702819831017" TargetMode="External"/><Relationship Id="rId149"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3" Type="http://schemas.openxmlformats.org/officeDocument/2006/relationships/hyperlink" Target="https://doi.org/10.1351/pac200678030633" TargetMode="External"/><Relationship Id="rId143" Type="http://schemas.openxmlformats.org/officeDocument/2006/relationships/hyperlink" Target="https://doi.org/10.1366/0003702894202201" TargetMode="External"/><Relationship Id="rId107" Type="http://schemas.openxmlformats.org/officeDocument/2006/relationships/hyperlink" Target="https://doi.org/10.1520/E1655-17" TargetMode="External"/><Relationship Id="rId113" Type="http://schemas.openxmlformats.org/officeDocument/2006/relationships/hyperlink" Target="https://doi.org/10.1561/2200000101" TargetMode="External"/><Relationship Id="rId141" Type="http://schemas.openxmlformats.org/officeDocument/2006/relationships/hyperlink" Target="https://doi.org/10.17632/46htwnp833.6" TargetMode="External"/><Relationship Id="rId151" Type="http://schemas.openxmlformats.org/officeDocument/2006/relationships/hyperlink" Target="https://doi.org/10.2307/4615733" TargetMode="External"/><Relationship Id="rId115" Type="http://schemas.openxmlformats.org/officeDocument/2006/relationships/hyperlink" Target="https://doi.org/10.3150/21-BEJ1447" TargetMode="External"/><Relationship Id="rId139"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NIR calibrations: reusing the transfer standards with a leave-one-standard-out jackknife+</dc:title>
  <dc:creator/>
  <cp:keywords/>
  <dcterms:created xsi:type="dcterms:W3CDTF">2026-10-13T23:15:33Z</dcterms:created>
  <dcterms:modified xsi:type="dcterms:W3CDTF">2026-10-13T23:15:33Z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