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Valid</w:t>
      </w:r>
      <w:r>
        <w:t xml:space="preserve"> </w:t>
      </w:r>
      <w:r>
        <w:t xml:space="preserve">prediction</w:t>
      </w:r>
      <w:r>
        <w:t xml:space="preserve"> </w:t>
      </w:r>
      <w:r>
        <w:t xml:space="preserve">intervals</w:t>
      </w:r>
      <w:r>
        <w:t xml:space="preserve"> </w:t>
      </w:r>
      <w:r>
        <w:t xml:space="preserve">for</w:t>
      </w:r>
      <w:r>
        <w:t xml:space="preserve"> </w:t>
      </w:r>
      <w:r>
        <w:t xml:space="preserve">transferred</w:t>
      </w:r>
      <w:r>
        <w:t xml:space="preserve"> </w:t>
      </w:r>
      <w:r>
        <w:t xml:space="preserve">NIR</w:t>
      </w:r>
      <w:r>
        <w:t xml:space="preserve"> </w:t>
      </w:r>
      <w:r>
        <w:t xml:space="preserve">calibrations:</w:t>
      </w:r>
      <w:r>
        <w:t xml:space="preserve"> </w:t>
      </w:r>
      <w:r>
        <w:t xml:space="preserve">reusing</w:t>
      </w:r>
      <w:r>
        <w:t xml:space="preserve"> </w:t>
      </w:r>
      <w:r>
        <w:t xml:space="preserve">the</w:t>
      </w:r>
      <w:r>
        <w:t xml:space="preserve"> </w:t>
      </w:r>
      <w:r>
        <w:t xml:space="preserve">transfer</w:t>
      </w:r>
      <w:r>
        <w:t xml:space="preserve"> </w:t>
      </w:r>
      <w:r>
        <w:t xml:space="preserve">standards</w:t>
      </w:r>
      <w:r>
        <w:t xml:space="preserve"> </w:t>
      </w:r>
      <w:r>
        <w:t xml:space="preserve">with</w:t>
      </w:r>
      <w:r>
        <w:t xml:space="preserve"> </w:t>
      </w:r>
      <w:r>
        <w:t xml:space="preserve">a</w:t>
      </w:r>
      <w:r>
        <w:t xml:space="preserve"> </w:t>
      </w:r>
      <w:r>
        <w:t xml:space="preserve">leave-one-standard-out</w:t>
      </w:r>
      <w:r>
        <w:t xml:space="preserve"> </w:t>
      </w:r>
      <w:r>
        <w:t xml:space="preserve">jackknife+</w:t>
      </w:r>
    </w:p>
    <w:p>
      <w:pPr>
        <w:pStyle w:val="FirstParagraph"/>
      </w:pPr>
      <w:r>
        <w:rPr>
          <w:bCs/>
          <w:b/>
        </w:rPr>
        <w:t xml:space="preserve">Authors:</w:t>
      </w:r>
      <w:r>
        <w:t xml:space="preserve"> </w:t>
      </w:r>
      <w:r>
        <w:t xml:space="preserve">[Author 1]</w:t>
      </w:r>
      <w:r>
        <w:rPr>
          <w:vertAlign w:val="superscript"/>
        </w:rPr>
        <w:t xml:space="preserve">a</w:t>
      </w:r>
      <w:r>
        <w:t xml:space="preserve">, [Author 2]</w:t>
      </w:r>
      <w:r>
        <w:rPr>
          <w:vertAlign w:val="superscript"/>
        </w:rPr>
        <w:t xml:space="preserve">a,*</w:t>
      </w:r>
    </w:p>
    <w:p>
      <w:pPr>
        <w:pStyle w:val="BodyText"/>
      </w:pPr>
      <w:r>
        <w:rPr>
          <w:vertAlign w:val="superscript"/>
        </w:rPr>
        <w:t xml:space="preserve">a</w:t>
      </w:r>
      <w:r>
        <w:t xml:space="preserve"> </w:t>
      </w:r>
      <w:r>
        <w:t xml:space="preserve">[Affiliation, address, country]</w:t>
      </w:r>
    </w:p>
    <w:p>
      <w:pPr>
        <w:pStyle w:val="BodyText"/>
      </w:pPr>
      <w:r>
        <w:t xml:space="preserve">* Corresponding author: [e-mail address]</w:t>
      </w:r>
    </w:p>
    <w:bookmarkStart w:id="20" w:name="abstract"/>
    <w:p>
      <w:pPr>
        <w:pStyle w:val="Heading1"/>
      </w:pPr>
      <w:r>
        <w:t xml:space="preserve">Abstract</w:t>
      </w:r>
    </w:p>
    <w:p>
      <w:pPr>
        <w:pStyle w:val="FirstParagraph"/>
      </w:pPr>
      <w:r>
        <w:rPr>
          <w:bCs/>
          <w:b/>
        </w:rPr>
        <w:t xml:space="preserve">Background:</w:t>
      </w:r>
      <w:r>
        <w:t xml:space="preserve"> </w:t>
      </w:r>
      <w:r>
        <w:t xml:space="preserve">Calibrations built on one spectrometer or season are routinely transferred to others using a few transfer standards. Whether the prediction intervals of a transferred calibration keep their nominal coverage has not been studied systematically, and splitting the scarce standards between transfer and uncertainty calibration wastes them.</w:t>
      </w:r>
    </w:p>
    <w:p>
      <w:pPr>
        <w:pStyle w:val="BodyText"/>
      </w:pPr>
      <w:r>
        <w:rPr>
          <w:bCs/>
          <w:b/>
        </w:rPr>
        <w:t xml:space="preserve">Results:</w:t>
      </w:r>
      <w:r>
        <w:t xml:space="preserve"> </w:t>
      </w:r>
      <w:r>
        <w:t xml:space="preserve">We propose a transfer jackknife+ (TJ+N). Each standard is left out in turn and the transfer step (e.g., piecewise direct standardisation) is re-fitted on the others. The leave-one-out residuals, normalised by a source-learned function of Hotelling T² and Q residuals, define distribution-free intervals with coverage ≥ 1−2α for exchangeable standards. On three public NIR data sets (instrument and season shift; 40 pre-registered scenarios, up to 500 repetitions each), source-calibrated intervals under-covered after transfer, with coverage as low as 0.03 for a nominal 0.90. TJ+N had a mean coverage of 0.922 and was never flagged as under-covering, at α = 0.05, 0.10 or 0.20, under four transfer pipelines, or with PLS, ridge and 1D-CNN models, including an independent transfer between handheld fruit spectrometers. Splitting the standards gave unbounded intervals for</w:t>
      </w:r>
      <w:r>
        <w:t xml:space="preserve"> </w:t>
      </w:r>
      <w:r>
        <w:rPr>
          <w:iCs/>
          <w:i/>
        </w:rPr>
        <w:t xml:space="preserve">m</w:t>
      </w:r>
      <w:r>
        <w:t xml:space="preserve"> </w:t>
      </w:r>
      <w:r>
        <w:t xml:space="preserve">≤ 15. Gaussian intervals from leave-one-out residuals were similarly efficient at 90% but under-covered in 14 of 40 scenarios at 95%. Wavelength drift after standardisation, even by a quarter channel, compromised all methods.</w:t>
      </w:r>
    </w:p>
    <w:p>
      <w:pPr>
        <w:pStyle w:val="BodyText"/>
      </w:pPr>
      <w:r>
        <w:rPr>
          <w:bCs/>
          <w:b/>
        </w:rPr>
        <w:t xml:space="preserve">Significance:</w:t>
      </w:r>
      <w:r>
        <w:t xml:space="preserve"> </w:t>
      </w:r>
      <w:r>
        <w:t xml:space="preserve">TJ+N gives finite-sample-valid uncertainty for transferred NIR calibrations from the standards that calibration transfer already requires, at the cost of</w:t>
      </w:r>
      <w:r>
        <w:t xml:space="preserve"> </w:t>
      </w:r>
      <w:r>
        <w:rPr>
          <w:iCs/>
          <w:i/>
        </w:rPr>
        <w:t xml:space="preserve">m</w:t>
      </w:r>
      <w:r>
        <w:t xml:space="preserve"> </w:t>
      </w:r>
      <w:r>
        <w:t xml:space="preserve">refits of the transfer step (seconds or less).</w:t>
      </w:r>
    </w:p>
    <w:p>
      <w:pPr>
        <w:pStyle w:val="BodyText"/>
      </w:pPr>
      <w:r>
        <w:rPr>
          <w:bCs/>
          <w:b/>
        </w:rPr>
        <w:t xml:space="preserve">Keywords:</w:t>
      </w:r>
      <w:r>
        <w:t xml:space="preserve"> </w:t>
      </w:r>
      <w:r>
        <w:t xml:space="preserve">calibration transfer; prediction interval; conformal prediction; jackknife+; near-infrared spectroscopy; measurement uncertainty</w:t>
      </w:r>
    </w:p>
    <w:bookmarkEnd w:id="20"/>
    <w:bookmarkStart w:id="21" w:name="introduction"/>
    <w:p>
      <w:pPr>
        <w:pStyle w:val="Heading1"/>
      </w:pPr>
      <w:r>
        <w:t xml:space="preserve">1. Introduction</w:t>
      </w:r>
    </w:p>
    <w:p>
      <w:pPr>
        <w:pStyle w:val="FirstParagraph"/>
      </w:pPr>
      <w:r>
        <w:t xml:space="preserve">Near-infrared (NIR) spectroscopy with multivariate calibration is a mature analytical technique</w:t>
      </w:r>
      <w:r>
        <w:t xml:space="preserve"> </w:t>
      </w:r>
      <w:r>
        <w:t xml:space="preserve">[1]</w:t>
      </w:r>
      <w:r>
        <w:t xml:space="preserve">. Its calibrations, however, are tied to the instrument, measurement conditions and sample population on which they were built. When a model developed on a master instrument is moved to a secondary instrument, or applied to a new harvest season, its predictions degrade unless the model or the spectra are corrected</w:t>
      </w:r>
      <w:r>
        <w:t xml:space="preserve"> </w:t>
      </w:r>
      <w:r>
        <w:t xml:space="preserve">[2–4]</w:t>
      </w:r>
      <w:r>
        <w:t xml:space="preserve">. Calibration transfer addresses this. Direct and piecewise direct standardisation (DS, PDS) map secondary-instrument spectra onto the master space using transfer standards measured on both instruments</w:t>
      </w:r>
      <w:r>
        <w:t xml:space="preserve"> </w:t>
      </w:r>
      <w:r>
        <w:t xml:space="preserve">[5,6]</w:t>
      </w:r>
      <w:r>
        <w:t xml:space="preserve">. Slope/bias correction (SBC) adjusts the predictions using standards with reference values</w:t>
      </w:r>
      <w:r>
        <w:t xml:space="preserve"> </w:t>
      </w:r>
      <w:r>
        <w:t xml:space="preserve">[2]</w:t>
      </w:r>
      <w:r>
        <w:t xml:space="preserve">. Domain-adaptation methods such as di-PLS and standard-free approaches remain an active topic, including in this journal</w:t>
      </w:r>
      <w:r>
        <w:t xml:space="preserve"> </w:t>
      </w:r>
      <w:r>
        <w:t xml:space="preserve">[7–12]</w:t>
      </w:r>
      <w:r>
        <w:t xml:space="preserve">.</w:t>
      </w:r>
    </w:p>
    <w:p>
      <w:pPr>
        <w:pStyle w:val="BodyText"/>
      </w:pPr>
      <w:r>
        <w:t xml:space="preserve">Calibration-transfer studies are almost always judged by point-prediction accuracy (RMSEP, bias). Analytical results, however, must be accompanied by a statement of uncertainty, and multivariate calibration has a long tradition of uncertainty estimation and figures of merit</w:t>
      </w:r>
      <w:r>
        <w:t xml:space="preserve"> </w:t>
      </w:r>
      <w:r>
        <w:t xml:space="preserve">[13–15]</w:t>
      </w:r>
      <w:r>
        <w:t xml:space="preserve">. In routine practice, approximate prediction intervals are derived from the calibration error and the leverage of the new sample, as in ASTM E1655-type procedures</w:t>
      </w:r>
      <w:r>
        <w:t xml:space="preserve"> </w:t>
      </w:r>
      <w:r>
        <w:t xml:space="preserve">[16]</w:t>
      </w:r>
      <w:r>
        <w:t xml:space="preserve">. These intervals use the</w:t>
      </w:r>
      <w:r>
        <w:t xml:space="preserve"> </w:t>
      </w:r>
      <w:r>
        <w:rPr>
          <w:iCs/>
          <w:i/>
        </w:rPr>
        <w:t xml:space="preserve">source</w:t>
      </w:r>
      <w:r>
        <w:t xml:space="preserve"> </w:t>
      </w:r>
      <w:r>
        <w:t xml:space="preserve">calibration error model. After an instrument or season change, that error model no longer describes the deployed predictor. The transfer step adds its own error, and the standardisation is estimated from only a few standards.</w:t>
      </w:r>
    </w:p>
    <w:p>
      <w:pPr>
        <w:pStyle w:val="BodyText"/>
      </w:pPr>
      <w:r>
        <w:t xml:space="preserve">Conformal prediction provides intervals with finite-sample, distribution-free coverage guarantees under exchangeability</w:t>
      </w:r>
      <w:r>
        <w:t xml:space="preserve"> </w:t>
      </w:r>
      <w:r>
        <w:t xml:space="preserve">[17–20]</w:t>
      </w:r>
      <w:r>
        <w:t xml:space="preserve">. In chemometrics it has been used mainly for classification</w:t>
      </w:r>
      <w:r>
        <w:t xml:space="preserve"> </w:t>
      </w:r>
      <w:r>
        <w:t xml:space="preserve">[21–24]</w:t>
      </w:r>
      <w:r>
        <w:t xml:space="preserve"> </w:t>
      </w:r>
      <w:r>
        <w:t xml:space="preserve">and for in-distribution regression. Examples are normalised conformal regression of mid-infrared spectra</w:t>
      </w:r>
      <w:r>
        <w:t xml:space="preserve"> </w:t>
      </w:r>
      <w:r>
        <w:t xml:space="preserve">[25]</w:t>
      </w:r>
      <w:r>
        <w:t xml:space="preserve">, conformal-inspired intervals for PLS and PCR</w:t>
      </w:r>
      <w:r>
        <w:t xml:space="preserve"> </w:t>
      </w:r>
      <w:r>
        <w:t xml:space="preserve">[26]</w:t>
      </w:r>
      <w:r>
        <w:t xml:space="preserve">, and QSAR applicability domains</w:t>
      </w:r>
      <w:r>
        <w:t xml:space="preserve"> </w:t>
      </w:r>
      <w:r>
        <w:t xml:space="preserve">[27]</w:t>
      </w:r>
      <w:r>
        <w:t xml:space="preserve">. Coverage guarantees break when calibration and deployment data are not exchangeable, which is exactly the calibration-transfer situation. Weighted conformal prediction</w:t>
      </w:r>
      <w:r>
        <w:t xml:space="preserve"> </w:t>
      </w:r>
      <w:r>
        <w:t xml:space="preserve">[28]</w:t>
      </w:r>
      <w:r>
        <w:t xml:space="preserve"> </w:t>
      </w:r>
      <w:r>
        <w:t xml:space="preserve">and its jackknife+ counterpart JAWS</w:t>
      </w:r>
      <w:r>
        <w:t xml:space="preserve"> </w:t>
      </w:r>
      <w:r>
        <w:t xml:space="preserve">[29]</w:t>
      </w:r>
      <w:r>
        <w:t xml:space="preserve"> </w:t>
      </w:r>
      <w:r>
        <w:t xml:space="preserve">correct for covariate shift using labelled source data. An instrument change, however, alters the relation between spectrum and property, not only the spectral distribution, which violates the covariate-shift assumption. Outside spectroscopy, the growth of uncertainty after calibration transfer has been characterised empirically for networks of low-cost air-quality sensors</w:t>
      </w:r>
      <w:r>
        <w:t xml:space="preserve"> </w:t>
      </w:r>
      <w:r>
        <w:t xml:space="preserve">[30]</w:t>
      </w:r>
      <w:r>
        <w:t xml:space="preserve">, without finite-sample guarantees. Transporting calibration data between paired domains has very recently been proposed for classification</w:t>
      </w:r>
      <w:r>
        <w:t xml:space="preserve"> </w:t>
      </w:r>
      <w:r>
        <w:t xml:space="preserve">[31]</w:t>
      </w:r>
      <w:r>
        <w:t xml:space="preserve">. In searches of Crossref, arXiv and the web (2015–2026; terms combining conformal prediction, jackknife+, prediction intervals and uncertainty with calibration transfer, model transfer, standardisation, near-infrared and spectroscopy), we found no study of interval validity for transferred spectroscopic calibrations.</w:t>
      </w:r>
    </w:p>
    <w:p>
      <w:pPr>
        <w:pStyle w:val="BodyText"/>
      </w:pPr>
      <w:r>
        <w:t xml:space="preserve">A practical constraint shapes the problem. The only target-domain data with reference values are typically the</w:t>
      </w:r>
      <w:r>
        <w:t xml:space="preserve"> </w:t>
      </w:r>
      <w:r>
        <w:rPr>
          <w:iCs/>
          <w:i/>
        </w:rPr>
        <w:t xml:space="preserve">m</w:t>
      </w:r>
      <w:r>
        <w:t xml:space="preserve"> </w:t>
      </w:r>
      <w:r>
        <w:t xml:space="preserve">transfer standards, often 10–30 samples, and they are already needed to fit the transfer. A valid but naïve solution splits them: half fit the transfer and half calibrate a split-conformal interval. With</w:t>
      </w:r>
      <w:r>
        <w:t xml:space="preserve"> </w:t>
      </w:r>
      <w:r>
        <w:rPr>
          <w:iCs/>
          <w:i/>
        </w:rPr>
        <w:t xml:space="preserve">m</w:t>
      </w:r>
      <w:r>
        <w:t xml:space="preserve"> </w:t>
      </w:r>
      <w:r>
        <w:t xml:space="preserve">&lt; 18 at α = 0.1, the calibration half is too small to give finite intervals. The jackknife+</w:t>
      </w:r>
      <w:r>
        <w:t xml:space="preserve"> </w:t>
      </w:r>
      <w:r>
        <w:t xml:space="preserve">[32]</w:t>
      </w:r>
      <w:r>
        <w:t xml:space="preserve"> </w:t>
      </w:r>
      <w:r>
        <w:t xml:space="preserve">avoids sample splitting through leave-one-out refits, with a coverage guarantee of 1−2α. We use this to construct intervals for</w:t>
      </w:r>
      <w:r>
        <w:t xml:space="preserve"> </w:t>
      </w:r>
      <w:r>
        <w:rPr>
          <w:iCs/>
          <w:i/>
        </w:rPr>
        <w:t xml:space="preserve">transferred</w:t>
      </w:r>
      <w:r>
        <w:t xml:space="preserve"> </w:t>
      </w:r>
      <w:r>
        <w:t xml:space="preserve">calibrations by re-fitting the transfer step, not the source model, inside the leave-one-out loop. All standards are therefore reused for both purposes.</w:t>
      </w:r>
    </w:p>
    <w:p>
      <w:pPr>
        <w:pStyle w:val="BodyText"/>
      </w:pPr>
      <w:r>
        <w:rPr>
          <w:bCs/>
          <w:b/>
        </w:rPr>
        <w:t xml:space="preserve">What is and is not new.</w:t>
      </w:r>
      <w:r>
        <w:t xml:space="preserve"> </w:t>
      </w:r>
      <w:r>
        <w:t xml:space="preserve">The inference engine is the jackknife+</w:t>
      </w:r>
      <w:r>
        <w:t xml:space="preserve"> </w:t>
      </w:r>
      <w:r>
        <w:t xml:space="preserve">[32]</w:t>
      </w:r>
      <w:r>
        <w:t xml:space="preserve">, and normalised nonconformity scores are established</w:t>
      </w:r>
      <w:r>
        <w:t xml:space="preserve"> </w:t>
      </w:r>
      <w:r>
        <w:t xml:space="preserve">[25,33]</w:t>
      </w:r>
      <w:r>
        <w:t xml:space="preserve">; we claim no new conformal theory. What we contribute is the instantiation of the method for calibration transfer, together with the evidence that it is needed:</w:t>
      </w:r>
    </w:p>
    <w:p>
      <w:pPr>
        <w:numPr>
          <w:ilvl w:val="0"/>
          <w:numId w:val="1001"/>
        </w:numPr>
      </w:pPr>
      <w:r>
        <w:rPr>
          <w:bCs/>
          <w:b/>
        </w:rPr>
        <w:t xml:space="preserve">Which step to re-fit.</w:t>
      </w:r>
      <w:r>
        <w:t xml:space="preserve"> </w:t>
      </w:r>
      <w:r>
        <w:t xml:space="preserve">Only the transfer step is placed inside the leave-one-out loop. The source model is kept fixed, and in practice it often cannot be re-fitted because it belongs to another instrument or season.</w:t>
      </w:r>
    </w:p>
    <w:p>
      <w:pPr>
        <w:numPr>
          <w:ilvl w:val="0"/>
          <w:numId w:val="1001"/>
        </w:numPr>
      </w:pPr>
      <w:r>
        <w:rPr>
          <w:bCs/>
          <w:b/>
        </w:rPr>
        <w:t xml:space="preserve">Why the obvious alternatives fall short.</w:t>
      </w:r>
      <w:r>
        <w:t xml:space="preserve"> </w:t>
      </w:r>
      <w:r>
        <w:t xml:space="preserve">The two natural practices are residuals of the fitted transfer and Gaussian intervals from the leave-one-standard-out RMSE. Neither carries a guarantee, and both are shown to fail in identifiable conditions.</w:t>
      </w:r>
    </w:p>
    <w:p>
      <w:pPr>
        <w:numPr>
          <w:ilvl w:val="0"/>
          <w:numId w:val="1001"/>
        </w:numPr>
      </w:pPr>
      <w:r>
        <w:rPr>
          <w:bCs/>
          <w:b/>
        </w:rPr>
        <w:t xml:space="preserve">Practical consequences</w:t>
      </w:r>
      <w:r>
        <w:t xml:space="preserve"> </w:t>
      </w:r>
      <w:r>
        <w:t xml:space="preserve">for analytical laboratories: the minimum number of standards, the requirement on how standards are selected, and the failure under drift after standardisation.</w:t>
      </w:r>
    </w:p>
    <w:p>
      <w:pPr>
        <w:pStyle w:val="FirstParagraph"/>
      </w:pPr>
      <w:r>
        <w:t xml:space="preserve">The contributions of this work are:</w:t>
      </w:r>
    </w:p>
    <w:p>
      <w:pPr>
        <w:numPr>
          <w:ilvl w:val="0"/>
          <w:numId w:val="1002"/>
        </w:numPr>
      </w:pPr>
      <w:r>
        <w:t xml:space="preserve">A transfer jackknife+ (TJ+) for transferred multivariate calibrations, with a finite-sample coverage statement under explicit conditions on how the standards are selected (Appendix A).</w:t>
      </w:r>
    </w:p>
    <w:p>
      <w:pPr>
        <w:numPr>
          <w:ilvl w:val="0"/>
          <w:numId w:val="1002"/>
        </w:numPr>
      </w:pPr>
      <w:r>
        <w:t xml:space="preserve">A chemometric normalisation (TJ+N). A source-learned difficulty function of Hotelling T² and Q residuals is evaluated on the</w:t>
      </w:r>
      <w:r>
        <w:t xml:space="preserve"> </w:t>
      </w:r>
      <w:r>
        <w:rPr>
          <w:iCs/>
          <w:i/>
        </w:rPr>
        <w:t xml:space="preserve">transferred</w:t>
      </w:r>
      <w:r>
        <w:t xml:space="preserve"> </w:t>
      </w:r>
      <w:r>
        <w:t xml:space="preserve">spectrum within each leave-one-out fit, so that interval width adapts to the sample and to spectra that the transfer maps poorly.</w:t>
      </w:r>
    </w:p>
    <w:p>
      <w:pPr>
        <w:numPr>
          <w:ilvl w:val="0"/>
          <w:numId w:val="1002"/>
        </w:numPr>
      </w:pPr>
      <w:r>
        <w:t xml:space="preserve">A pre-registered benchmark on three public NIR data sets covering instrument and season shift. It compares classical, source-calibrated, shift-weighted, transport-based, split-standards and Gaussian intervals, and includes ablation, robustness, model-class (PLS, ridge, 1D-CNN), sensitivity, computational and error analyses.</w:t>
      </w:r>
    </w:p>
    <w:p>
      <w:pPr>
        <w:numPr>
          <w:ilvl w:val="0"/>
          <w:numId w:val="1002"/>
        </w:numPr>
      </w:pPr>
      <w:r>
        <w:t xml:space="preserve">An exploratory label-free variant for the case in which the transfer standards have no reference values.</w:t>
      </w:r>
    </w:p>
    <w:p>
      <w:pPr>
        <w:pStyle w:val="FirstParagraph"/>
      </w:pPr>
      <w:r>
        <w:t xml:space="preserve">The study addresses the following research questions:</w:t>
      </w:r>
    </w:p>
    <w:p>
      <w:pPr>
        <w:numPr>
          <w:ilvl w:val="0"/>
          <w:numId w:val="1003"/>
        </w:numPr>
      </w:pPr>
      <w:r>
        <w:rPr>
          <w:bCs/>
          <w:b/>
        </w:rPr>
        <w:t xml:space="preserve">RQ1.</w:t>
      </w:r>
      <w:r>
        <w:t xml:space="preserve"> </w:t>
      </w:r>
      <w:r>
        <w:t xml:space="preserve">Do conventional intervals remain valid after transfer?</w:t>
      </w:r>
    </w:p>
    <w:p>
      <w:pPr>
        <w:numPr>
          <w:ilvl w:val="0"/>
          <w:numId w:val="1003"/>
        </w:numPr>
      </w:pPr>
      <w:r>
        <w:rPr>
          <w:bCs/>
          <w:b/>
        </w:rPr>
        <w:t xml:space="preserve">RQ2.</w:t>
      </w:r>
      <w:r>
        <w:t xml:space="preserve"> </w:t>
      </w:r>
      <w:r>
        <w:t xml:space="preserve">Is TJ+N valid and efficient for realistic numbers of standards?</w:t>
      </w:r>
    </w:p>
    <w:p>
      <w:pPr>
        <w:numPr>
          <w:ilvl w:val="0"/>
          <w:numId w:val="1003"/>
        </w:numPr>
      </w:pPr>
      <w:r>
        <w:rPr>
          <w:bCs/>
          <w:b/>
        </w:rPr>
        <w:t xml:space="preserve">RQ3.</w:t>
      </w:r>
      <w:r>
        <w:t xml:space="preserve"> </w:t>
      </w:r>
      <w:r>
        <w:t xml:space="preserve">Which components of TJ+N matter?</w:t>
      </w:r>
    </w:p>
    <w:p>
      <w:pPr>
        <w:numPr>
          <w:ilvl w:val="0"/>
          <w:numId w:val="1003"/>
        </w:numPr>
      </w:pPr>
      <w:r>
        <w:rPr>
          <w:bCs/>
          <w:b/>
        </w:rPr>
        <w:t xml:space="preserve">RQ4.</w:t>
      </w:r>
      <w:r>
        <w:t xml:space="preserve"> </w:t>
      </w:r>
      <w:r>
        <w:t xml:space="preserve">How robust is it to standard selection, noise, drift and reduced source data?</w:t>
      </w:r>
    </w:p>
    <w:p>
      <w:pPr>
        <w:numPr>
          <w:ilvl w:val="0"/>
          <w:numId w:val="1003"/>
        </w:numPr>
      </w:pPr>
      <w:r>
        <w:rPr>
          <w:bCs/>
          <w:b/>
        </w:rPr>
        <w:t xml:space="preserve">RQ5.</w:t>
      </w:r>
      <w:r>
        <w:t xml:space="preserve"> </w:t>
      </w:r>
      <w:r>
        <w:t xml:space="preserve">Does it generalise across transfer pipelines, directions, model classes and instruments?</w:t>
      </w:r>
    </w:p>
    <w:p>
      <w:pPr>
        <w:numPr>
          <w:ilvl w:val="0"/>
          <w:numId w:val="1003"/>
        </w:numPr>
      </w:pPr>
      <w:r>
        <w:rPr>
          <w:bCs/>
          <w:b/>
        </w:rPr>
        <w:t xml:space="preserve">RQ6.</w:t>
      </w:r>
      <w:r>
        <w:t xml:space="preserve"> </w:t>
      </w:r>
      <w:r>
        <w:t xml:space="preserve">What does it cost?</w:t>
      </w:r>
    </w:p>
    <w:p>
      <w:pPr>
        <w:pStyle w:val="FirstParagraph"/>
      </w:pPr>
      <w:r>
        <w:t xml:space="preserve">All code and the complete reproduction pipeline are publicly available.</w:t>
      </w:r>
    </w:p>
    <w:bookmarkEnd w:id="21"/>
    <w:bookmarkStart w:id="29" w:name="theory"/>
    <w:p>
      <w:pPr>
        <w:pStyle w:val="Heading1"/>
      </w:pPr>
      <w:r>
        <w:t xml:space="preserve">2. Theory</w:t>
      </w:r>
    </w:p>
    <w:bookmarkStart w:id="22" w:name="problem-formulation"/>
    <w:p>
      <w:pPr>
        <w:pStyle w:val="Heading2"/>
      </w:pPr>
      <w:r>
        <w:t xml:space="preserve">2.1. Problem formulation</w:t>
      </w:r>
    </w:p>
    <w:p>
      <w:pPr>
        <w:pStyle w:val="FirstParagraph"/>
      </w:pPr>
      <w:r>
        <w:t xml:space="preserve">Let</w:t>
      </w:r>
      <w:r>
        <w:t xml:space="preserve"> </w:t>
      </w:r>
      <m:oMath>
        <m:r>
          <m:t>f</m:t>
        </m:r>
        <m:r>
          <m:rPr>
            <m:sty m:val="p"/>
          </m:rPr>
          <m:t>:</m:t>
        </m:r>
        <m:sSup>
          <m:e>
            <m:r>
              <m:rPr>
                <m:sty m:val="p"/>
                <m:scr m:val="double-struck"/>
              </m:rPr>
              <m:t>R</m:t>
            </m:r>
          </m:e>
          <m:sup>
            <m:r>
              <m:t>p</m:t>
            </m:r>
          </m:sup>
        </m:sSup>
        <m:r>
          <m:rPr>
            <m:sty m:val="p"/>
          </m:rPr>
          <m:t>→</m:t>
        </m:r>
        <m:r>
          <m:rPr>
            <m:sty m:val="p"/>
            <m:scr m:val="double-struck"/>
          </m:rPr>
          <m:t>R</m:t>
        </m:r>
      </m:oMath>
      <w:r>
        <w:t xml:space="preserve"> </w:t>
      </w:r>
      <w:r>
        <w:t xml:space="preserve">be a calibration model (PLS unless stated otherwise) fitted on source-domain data</w:t>
      </w:r>
      <w:r>
        <w:t xml:space="preserve"> </w:t>
      </w:r>
      <m:oMath>
        <m:sSub>
          <m:e>
            <m:r>
              <m:rPr>
                <m:sty m:val="p"/>
                <m:scr m:val="script"/>
              </m:rPr>
              <m:t>D</m:t>
            </m:r>
          </m:e>
          <m:sub>
            <m:r>
              <m:t>S</m:t>
            </m:r>
          </m:sub>
        </m:sSub>
      </m:oMath>
      <w:r>
        <w:t xml:space="preserve">: master-instrument spectra or earlier seasons. In the target domain,</w:t>
      </w:r>
      <w:r>
        <w:t xml:space="preserve"> </w:t>
      </w:r>
      <m:oMath>
        <m:r>
          <m:t>m</m:t>
        </m:r>
      </m:oMath>
      <w:r>
        <w:t xml:space="preserve"> </w:t>
      </w:r>
      <w:r>
        <w:t xml:space="preserve">transfer standards</w:t>
      </w:r>
      <w:r>
        <w:t xml:space="preserve"> </w:t>
      </w:r>
      <m:oMath>
        <m:sSub>
          <m:e>
            <m:r>
              <m:t>Z</m:t>
            </m:r>
          </m:e>
          <m:sub>
            <m:r>
              <m:t>i</m:t>
            </m:r>
          </m:sub>
        </m:sSub>
        <m:r>
          <m:rPr>
            <m:sty m:val="p"/>
          </m:rPr>
          <m:t>=</m:t>
        </m:r>
        <m:d>
          <m:dPr>
            <m:begChr m:val="("/>
            <m:endChr m:val=")"/>
            <m:sepChr m:val=""/>
            <m:grow/>
          </m:dPr>
          <m:e>
            <m:sSubSup>
              <m:e>
                <m:r>
                  <m:rPr>
                    <m:sty m:val="b"/>
                  </m:rPr>
                  <m:t>x</m:t>
                </m:r>
              </m:e>
              <m:sub>
                <m:r>
                  <m:t>i</m:t>
                </m:r>
              </m:sub>
              <m:sup>
                <m:r>
                  <m:t>T</m:t>
                </m:r>
              </m:sup>
            </m:sSubSup>
            <m:r>
              <m:rPr>
                <m:sty m:val="p"/>
              </m:rPr>
              <m:t>,</m:t>
            </m:r>
            <m:sSubSup>
              <m:e>
                <m:r>
                  <m:rPr>
                    <m:sty m:val="b"/>
                  </m:rPr>
                  <m:t>x</m:t>
                </m:r>
              </m:e>
              <m:sub>
                <m:r>
                  <m:t>i</m:t>
                </m:r>
              </m:sub>
              <m:sup>
                <m:r>
                  <m:t>S</m:t>
                </m:r>
              </m:sup>
            </m:sSubSup>
            <m:r>
              <m:rPr>
                <m:sty m:val="p"/>
              </m:rPr>
              <m:t>,</m:t>
            </m:r>
            <m:sSub>
              <m:e>
                <m:r>
                  <m:t>y</m:t>
                </m:r>
              </m:e>
              <m:sub>
                <m:r>
                  <m:t>i</m:t>
                </m:r>
              </m:sub>
            </m:sSub>
          </m:e>
        </m:d>
      </m:oMath>
      <w:r>
        <w:t xml:space="preserve">,</w:t>
      </w:r>
      <w:r>
        <w:t xml:space="preserve"> </w:t>
      </w:r>
      <m:oMath>
        <m:r>
          <m:t>i</m:t>
        </m:r>
        <m:r>
          <m:rPr>
            <m:sty m:val="p"/>
          </m:rPr>
          <m:t>=</m:t>
        </m:r>
        <m:r>
          <m:t>1</m:t>
        </m:r>
        <m:r>
          <m:rPr>
            <m:sty m:val="p"/>
          </m:rPr>
          <m:t>,</m:t>
        </m:r>
        <m:r>
          <m:rPr>
            <m:sty m:val="p"/>
          </m:rPr>
          <m:t>…</m:t>
        </m:r>
        <m:r>
          <m:rPr>
            <m:sty m:val="p"/>
          </m:rPr>
          <m:t>,</m:t>
        </m:r>
        <m:r>
          <m:t>m</m:t>
        </m:r>
      </m:oMath>
      <w:r>
        <w:t xml:space="preserve">, are available. Here</w:t>
      </w:r>
      <w:r>
        <w:t xml:space="preserve"> </w:t>
      </w:r>
      <m:oMath>
        <m:sSubSup>
          <m:e>
            <m:r>
              <m:rPr>
                <m:sty m:val="b"/>
              </m:rPr>
              <m:t>x</m:t>
            </m:r>
          </m:e>
          <m:sub>
            <m:r>
              <m:t>i</m:t>
            </m:r>
          </m:sub>
          <m:sup>
            <m:r>
              <m:t>T</m:t>
            </m:r>
          </m:sup>
        </m:sSubSup>
      </m:oMath>
      <w:r>
        <w:t xml:space="preserve"> </w:t>
      </w:r>
      <w:r>
        <w:t xml:space="preserve">is the target spectrum,</w:t>
      </w:r>
      <w:r>
        <w:t xml:space="preserve"> </w:t>
      </w:r>
      <m:oMath>
        <m:sSubSup>
          <m:e>
            <m:r>
              <m:rPr>
                <m:sty m:val="b"/>
              </m:rPr>
              <m:t>x</m:t>
            </m:r>
          </m:e>
          <m:sub>
            <m:r>
              <m:t>i</m:t>
            </m:r>
          </m:sub>
          <m:sup>
            <m:r>
              <m:t>S</m:t>
            </m:r>
          </m:sup>
        </m:sSubSup>
      </m:oMath>
      <w:r>
        <w:t xml:space="preserve"> </w:t>
      </w:r>
      <w:r>
        <w:t xml:space="preserve">the master spectrum of the same sample (needed only for spectral standardisation) and</w:t>
      </w:r>
      <w:r>
        <w:t xml:space="preserve"> </w:t>
      </w:r>
      <m:oMath>
        <m:sSub>
          <m:e>
            <m:r>
              <m:t>y</m:t>
            </m:r>
          </m:e>
          <m:sub>
            <m:r>
              <m:t>i</m:t>
            </m:r>
          </m:sub>
        </m:sSub>
      </m:oMath>
      <w:r>
        <w:t xml:space="preserve"> </w:t>
      </w:r>
      <w:r>
        <w:t xml:space="preserve">the reference value. A transfer algorithm</w:t>
      </w:r>
      <w:r>
        <w:t xml:space="preserve"> </w:t>
      </w:r>
      <m:oMath>
        <m:r>
          <m:rPr>
            <m:sty m:val="p"/>
            <m:scr m:val="script"/>
          </m:rPr>
          <m:t>T</m:t>
        </m:r>
      </m:oMath>
      <w:r>
        <w:t xml:space="preserve"> </w:t>
      </w:r>
      <w:r>
        <w:t xml:space="preserve">maps a set of standards</w:t>
      </w:r>
      <w:r>
        <w:t xml:space="preserve"> </w:t>
      </w:r>
      <m:oMath>
        <m:r>
          <m:rPr>
            <m:sty m:val="p"/>
            <m:scr m:val="script"/>
          </m:rPr>
          <m:t>D</m:t>
        </m:r>
      </m:oMath>
      <w:r>
        <w:t xml:space="preserve"> </w:t>
      </w:r>
      <w:r>
        <w:t xml:space="preserve">to a</w:t>
      </w:r>
      <w:r>
        <w:t xml:space="preserve"> </w:t>
      </w:r>
      <w:r>
        <w:rPr>
          <w:iCs/>
          <w:i/>
        </w:rPr>
        <w:t xml:space="preserve">deployed predictor</w:t>
      </w:r>
    </w:p>
    <w:p>
      <w:pPr>
        <w:pStyle w:val="BodyText"/>
      </w:pPr>
      <m:oMathPara>
        <m:oMathParaPr>
          <m:jc m:val="center"/>
        </m:oMathParaPr>
        <m:oMath>
          <m:sSub>
            <m:e>
              <m:r>
                <m:t>μ</m:t>
              </m:r>
            </m:e>
            <m:sub>
              <m:r>
                <m:rPr>
                  <m:sty m:val="p"/>
                  <m:scr m:val="script"/>
                </m:rPr>
                <m:t>D</m:t>
              </m:r>
            </m:sub>
          </m:sSub>
          <m:d>
            <m:dPr>
              <m:begChr m:val="("/>
              <m:endChr m:val=")"/>
              <m:sepChr m:val=""/>
              <m:grow/>
            </m:dPr>
            <m:e>
              <m:r>
                <m:rPr>
                  <m:sty m:val="b"/>
                </m:rPr>
                <m:t>x</m:t>
              </m:r>
            </m:e>
          </m:d>
          <m:r>
            <m:rPr>
              <m:sty m:val="p"/>
            </m:rPr>
            <m:t>=</m:t>
          </m:r>
          <m:sSub>
            <m:e>
              <m:r>
                <m:t>a</m:t>
              </m:r>
            </m:e>
            <m:sub>
              <m:r>
                <m:rPr>
                  <m:sty m:val="p"/>
                  <m:scr m:val="script"/>
                </m:rPr>
                <m:t>D</m:t>
              </m:r>
            </m:sub>
          </m:sSub>
          <m:r>
            <m:rPr>
              <m:sty m:val="p"/>
            </m:rPr>
            <m:t>+</m:t>
          </m:r>
          <m:sSub>
            <m:e>
              <m:r>
                <m:t>b</m:t>
              </m:r>
            </m:e>
            <m:sub>
              <m:r>
                <m:rPr>
                  <m:sty m:val="p"/>
                  <m:scr m:val="script"/>
                </m:rPr>
                <m:t>D</m:t>
              </m:r>
            </m:sub>
          </m:sSub>
          <m:r>
            <m:t> </m:t>
          </m:r>
          <m:r>
            <m:t>f</m:t>
          </m:r>
          <m:r>
            <m:t>​</m:t>
          </m:r>
          <m:d>
            <m:dPr>
              <m:begChr m:val="("/>
              <m:endChr m:val=")"/>
              <m:sepChr m:val=""/>
              <m:grow/>
            </m:dPr>
            <m:e>
              <m:sSub>
                <m:e>
                  <m:r>
                    <m:t>g</m:t>
                  </m:r>
                </m:e>
                <m:sub>
                  <m:r>
                    <m:rPr>
                      <m:sty m:val="p"/>
                      <m:scr m:val="script"/>
                    </m:rPr>
                    <m:t>D</m:t>
                  </m:r>
                </m:sub>
              </m:sSub>
              <m:d>
                <m:dPr>
                  <m:begChr m:val="("/>
                  <m:endChr m:val=")"/>
                  <m:sepChr m:val=""/>
                  <m:grow/>
                </m:dPr>
                <m:e>
                  <m:r>
                    <m:rPr>
                      <m:sty m:val="b"/>
                    </m:rPr>
                    <m:t>x</m:t>
                  </m:r>
                </m:e>
              </m:d>
            </m:e>
          </m:d>
          <m:r>
            <m:rPr>
              <m:sty m:val="p"/>
            </m:rPr>
            <m:t>,</m:t>
          </m:r>
          <m:r>
            <m:t>  </m:t>
          </m:r>
          <m:d>
            <m:dPr>
              <m:begChr m:val="("/>
              <m:endChr m:val=")"/>
              <m:sepChr m:val=""/>
              <m:grow/>
            </m:dPr>
            <m:e>
              <m:r>
                <m:t>1</m:t>
              </m:r>
            </m:e>
          </m:d>
        </m:oMath>
      </m:oMathPara>
    </w:p>
    <w:p>
      <w:pPr>
        <w:pStyle w:val="FirstParagraph"/>
      </w:pPr>
      <w:r>
        <w:t xml:space="preserve">where</w:t>
      </w:r>
      <w:r>
        <w:t xml:space="preserve"> </w:t>
      </w:r>
      <m:oMath>
        <m:sSub>
          <m:e>
            <m:r>
              <m:t>g</m:t>
            </m:r>
          </m:e>
          <m:sub>
            <m:r>
              <m:rPr>
                <m:sty m:val="p"/>
                <m:scr m:val="script"/>
              </m:rPr>
              <m:t>D</m:t>
            </m:r>
          </m:sub>
        </m:sSub>
      </m:oMath>
      <w:r>
        <w:t xml:space="preserve"> </w:t>
      </w:r>
      <w:r>
        <w:t xml:space="preserve">is a spectral standardisation and</w:t>
      </w:r>
      <w:r>
        <w:t xml:space="preserve"> </w:t>
      </w:r>
      <m:oMath>
        <m:d>
          <m:dPr>
            <m:begChr m:val="("/>
            <m:endChr m:val=")"/>
            <m:sepChr m:val=""/>
            <m:grow/>
          </m:dPr>
          <m:e>
            <m:sSub>
              <m:e>
                <m:r>
                  <m:t>a</m:t>
                </m:r>
              </m:e>
              <m:sub>
                <m:r>
                  <m:rPr>
                    <m:sty m:val="p"/>
                    <m:scr m:val="script"/>
                  </m:rPr>
                  <m:t>D</m:t>
                </m:r>
              </m:sub>
            </m:sSub>
            <m:r>
              <m:rPr>
                <m:sty m:val="p"/>
              </m:rPr>
              <m:t>,</m:t>
            </m:r>
            <m:sSub>
              <m:e>
                <m:r>
                  <m:t>b</m:t>
                </m:r>
              </m:e>
              <m:sub>
                <m:r>
                  <m:rPr>
                    <m:sty m:val="p"/>
                    <m:scr m:val="script"/>
                  </m:rPr>
                  <m:t>D</m:t>
                </m:r>
              </m:sub>
            </m:sSub>
          </m:e>
        </m:d>
      </m:oMath>
      <w:r>
        <w:t xml:space="preserve"> </w:t>
      </w:r>
      <w:r>
        <w:t xml:space="preserve">an output correction.</w:t>
      </w:r>
    </w:p>
    <w:p>
      <w:pPr>
        <w:numPr>
          <w:ilvl w:val="0"/>
          <w:numId w:val="1004"/>
        </w:numPr>
      </w:pPr>
      <w:r>
        <w:t xml:space="preserve">PDS or DS:</w:t>
      </w:r>
      <w:r>
        <w:t xml:space="preserve"> </w:t>
      </w:r>
      <m:oMath>
        <m:r>
          <m:t>g</m:t>
        </m:r>
      </m:oMath>
      <w:r>
        <w:t xml:space="preserve"> </w:t>
      </w:r>
      <w:r>
        <w:t xml:space="preserve">is fitted from the pairs</w:t>
      </w:r>
      <w:r>
        <w:t xml:space="preserve"> </w:t>
      </w:r>
      <m:oMath>
        <m:d>
          <m:dPr>
            <m:begChr m:val="("/>
            <m:endChr m:val=")"/>
            <m:sepChr m:val=""/>
            <m:grow/>
          </m:dPr>
          <m:e>
            <m:sSubSup>
              <m:e>
                <m:r>
                  <m:rPr>
                    <m:sty m:val="b"/>
                  </m:rPr>
                  <m:t>x</m:t>
                </m:r>
              </m:e>
              <m:sub>
                <m:r>
                  <m:t>i</m:t>
                </m:r>
              </m:sub>
              <m:sup>
                <m:r>
                  <m:t>T</m:t>
                </m:r>
              </m:sup>
            </m:sSubSup>
            <m:r>
              <m:rPr>
                <m:sty m:val="p"/>
              </m:rPr>
              <m:t>,</m:t>
            </m:r>
            <m:sSubSup>
              <m:e>
                <m:r>
                  <m:rPr>
                    <m:sty m:val="b"/>
                  </m:rPr>
                  <m:t>x</m:t>
                </m:r>
              </m:e>
              <m:sub>
                <m:r>
                  <m:t>i</m:t>
                </m:r>
              </m:sub>
              <m:sup>
                <m:r>
                  <m:t>S</m:t>
                </m:r>
              </m:sup>
            </m:sSubSup>
          </m:e>
        </m:d>
      </m:oMath>
      <w:r>
        <w:t xml:space="preserve"> </w:t>
      </w:r>
      <w:r>
        <w:t xml:space="preserve">and</w:t>
      </w:r>
      <w:r>
        <w:t xml:space="preserve"> </w:t>
      </w:r>
      <m:oMath>
        <m:d>
          <m:dPr>
            <m:begChr m:val="("/>
            <m:endChr m:val=")"/>
            <m:sepChr m:val=""/>
            <m:grow/>
          </m:dPr>
          <m:e>
            <m:r>
              <m:t>a</m:t>
            </m:r>
            <m:r>
              <m:rPr>
                <m:sty m:val="p"/>
              </m:rPr>
              <m:t>,</m:t>
            </m:r>
            <m:r>
              <m:t>b</m:t>
            </m:r>
          </m:e>
        </m:d>
        <m:r>
          <m:rPr>
            <m:sty m:val="p"/>
          </m:rPr>
          <m:t>=</m:t>
        </m:r>
        <m:d>
          <m:dPr>
            <m:begChr m:val="("/>
            <m:endChr m:val=")"/>
            <m:sepChr m:val=""/>
            <m:grow/>
          </m:dPr>
          <m:e>
            <m:r>
              <m:t>0</m:t>
            </m:r>
            <m:r>
              <m:rPr>
                <m:sty m:val="p"/>
              </m:rPr>
              <m:t>,</m:t>
            </m:r>
            <m:r>
              <m:t>1</m:t>
            </m:r>
          </m:e>
        </m:d>
      </m:oMath>
      <w:r>
        <w:t xml:space="preserve">.</w:t>
      </w:r>
    </w:p>
    <w:p>
      <w:pPr>
        <w:numPr>
          <w:ilvl w:val="0"/>
          <w:numId w:val="1004"/>
        </w:numPr>
      </w:pPr>
      <w:r>
        <w:t xml:space="preserve">SBC:</w:t>
      </w:r>
      <w:r>
        <w:t xml:space="preserve"> </w:t>
      </w:r>
      <m:oMath>
        <m:r>
          <m:t>g</m:t>
        </m:r>
      </m:oMath>
      <w:r>
        <w:t xml:space="preserve"> </w:t>
      </w:r>
      <w:r>
        <w:t xml:space="preserve">is the identity and</w:t>
      </w:r>
      <w:r>
        <w:t xml:space="preserve"> </w:t>
      </w:r>
      <m:oMath>
        <m:d>
          <m:dPr>
            <m:begChr m:val="("/>
            <m:endChr m:val=")"/>
            <m:sepChr m:val=""/>
            <m:grow/>
          </m:dPr>
          <m:e>
            <m:r>
              <m:t>a</m:t>
            </m:r>
            <m:r>
              <m:rPr>
                <m:sty m:val="p"/>
              </m:rPr>
              <m:t>,</m:t>
            </m:r>
            <m:r>
              <m:t>b</m:t>
            </m:r>
          </m:e>
        </m:d>
      </m:oMath>
      <w:r>
        <w:t xml:space="preserve"> </w:t>
      </w:r>
      <w:r>
        <w:t xml:space="preserve">come from the least-squares regression of</w:t>
      </w:r>
      <w:r>
        <w:t xml:space="preserve"> </w:t>
      </w:r>
      <m:oMath>
        <m:sSub>
          <m:e>
            <m:r>
              <m:t>y</m:t>
            </m:r>
          </m:e>
          <m:sub>
            <m:r>
              <m:t>i</m:t>
            </m:r>
          </m:sub>
        </m:sSub>
      </m:oMath>
      <w:r>
        <w:t xml:space="preserve"> </w:t>
      </w:r>
      <w:r>
        <w:t xml:space="preserve">on</w:t>
      </w:r>
      <w:r>
        <w:t xml:space="preserve"> </w:t>
      </w:r>
      <m:oMath>
        <m:r>
          <m:t>f</m:t>
        </m:r>
        <m:d>
          <m:dPr>
            <m:begChr m:val="("/>
            <m:endChr m:val=")"/>
            <m:sepChr m:val=""/>
            <m:grow/>
          </m:dPr>
          <m:e>
            <m:sSubSup>
              <m:e>
                <m:r>
                  <m:rPr>
                    <m:sty m:val="b"/>
                  </m:rPr>
                  <m:t>x</m:t>
                </m:r>
              </m:e>
              <m:sub>
                <m:r>
                  <m:t>i</m:t>
                </m:r>
              </m:sub>
              <m:sup>
                <m:r>
                  <m:t>T</m:t>
                </m:r>
              </m:sup>
            </m:sSubSup>
          </m:e>
        </m:d>
      </m:oMath>
      <w:r>
        <w:t xml:space="preserve">.</w:t>
      </w:r>
    </w:p>
    <w:p>
      <w:pPr>
        <w:numPr>
          <w:ilvl w:val="0"/>
          <w:numId w:val="1004"/>
        </w:numPr>
      </w:pPr>
      <w:r>
        <w:t xml:space="preserve">No transfer:</w:t>
      </w:r>
      <w:r>
        <w:t xml:space="preserve"> </w:t>
      </w:r>
      <m:oMath>
        <m:r>
          <m:t>μ</m:t>
        </m:r>
        <m:r>
          <m:rPr>
            <m:sty m:val="p"/>
          </m:rPr>
          <m:t>=</m:t>
        </m:r>
        <m:r>
          <m:t>f</m:t>
        </m:r>
      </m:oMath>
      <w:r>
        <w:t xml:space="preserve">.</w:t>
      </w:r>
    </w:p>
    <w:p>
      <w:pPr>
        <w:pStyle w:val="FirstParagraph"/>
      </w:pPr>
      <w:r>
        <w:t xml:space="preserve">For a new target sample</w:t>
      </w:r>
      <w:r>
        <w:t xml:space="preserve"> </w:t>
      </w:r>
      <m:oMath>
        <m:d>
          <m:dPr>
            <m:begChr m:val="("/>
            <m:endChr m:val=")"/>
            <m:sepChr m:val=""/>
            <m:grow/>
          </m:dPr>
          <m:e>
            <m:sSubSup>
              <m:e>
                <m:r>
                  <m:rPr>
                    <m:sty m:val="b"/>
                  </m:rPr>
                  <m:t>x</m:t>
                </m:r>
              </m:e>
              <m:sub>
                <m:r>
                  <m:t>m</m:t>
                </m:r>
                <m:r>
                  <m:rPr>
                    <m:sty m:val="p"/>
                  </m:rPr>
                  <m:t>+</m:t>
                </m:r>
                <m:r>
                  <m:t>1</m:t>
                </m:r>
              </m:sub>
              <m:sup>
                <m:r>
                  <m:t>T</m:t>
                </m:r>
              </m:sup>
            </m:sSubSup>
            <m:r>
              <m:rPr>
                <m:sty m:val="p"/>
              </m:rPr>
              <m:t>,</m:t>
            </m:r>
            <m:sSub>
              <m:e>
                <m:r>
                  <m:t>y</m:t>
                </m:r>
              </m:e>
              <m:sub>
                <m:r>
                  <m:t>m</m:t>
                </m:r>
                <m:r>
                  <m:rPr>
                    <m:sty m:val="p"/>
                  </m:rPr>
                  <m:t>+</m:t>
                </m:r>
                <m:r>
                  <m:t>1</m:t>
                </m:r>
              </m:sub>
            </m:sSub>
          </m:e>
        </m:d>
      </m:oMath>
      <w:r>
        <w:t xml:space="preserve"> </w:t>
      </w:r>
      <w:r>
        <w:t xml:space="preserve">we seek an interval</w:t>
      </w:r>
      <w:r>
        <w:t xml:space="preserve"> </w:t>
      </w:r>
      <m:oMath>
        <m:acc>
          <m:accPr>
            <m:chr m:val="̂"/>
          </m:accPr>
          <m:e>
            <m:r>
              <m:t>C</m:t>
            </m:r>
          </m:e>
        </m:acc>
        <m:d>
          <m:dPr>
            <m:begChr m:val="("/>
            <m:endChr m:val=")"/>
            <m:sepChr m:val=""/>
            <m:grow/>
          </m:dPr>
          <m:e>
            <m:sSubSup>
              <m:e>
                <m:r>
                  <m:rPr>
                    <m:sty m:val="b"/>
                  </m:rPr>
                  <m:t>x</m:t>
                </m:r>
              </m:e>
              <m:sub>
                <m:r>
                  <m:t>m</m:t>
                </m:r>
                <m:r>
                  <m:rPr>
                    <m:sty m:val="p"/>
                  </m:rPr>
                  <m:t>+</m:t>
                </m:r>
                <m:r>
                  <m:t>1</m:t>
                </m:r>
              </m:sub>
              <m:sup>
                <m:r>
                  <m:t>T</m:t>
                </m:r>
              </m:sup>
            </m:sSubSup>
          </m:e>
        </m:d>
      </m:oMath>
      <w:r>
        <w:t xml:space="preserve"> </w:t>
      </w:r>
      <w:r>
        <w:t xml:space="preserve">with</w:t>
      </w:r>
      <w:r>
        <w:t xml:space="preserve"> </w:t>
      </w:r>
      <m:oMath>
        <m:r>
          <m:rPr>
            <m:sty m:val="p"/>
          </m:rPr>
          <m:t>Pr</m:t>
        </m:r>
        <m:r>
          <m:rPr>
            <m:sty m:val="p"/>
          </m:rPr>
          <m:t>{</m:t>
        </m:r>
        <m:sSub>
          <m:e>
            <m:r>
              <m:t>y</m:t>
            </m:r>
          </m:e>
          <m:sub>
            <m:r>
              <m:t>m</m:t>
            </m:r>
            <m:r>
              <m:rPr>
                <m:sty m:val="p"/>
              </m:rPr>
              <m:t>+</m:t>
            </m:r>
            <m:r>
              <m:t>1</m:t>
            </m:r>
          </m:sub>
        </m:sSub>
        <m:r>
          <m:rPr>
            <m:sty m:val="p"/>
          </m:rPr>
          <m:t>∈</m:t>
        </m:r>
        <m:acc>
          <m:accPr>
            <m:chr m:val="̂"/>
          </m:accPr>
          <m:e>
            <m:r>
              <m:t>C</m:t>
            </m:r>
          </m:e>
        </m:acc>
        <m:d>
          <m:dPr>
            <m:begChr m:val="("/>
            <m:endChr m:val=")"/>
            <m:sepChr m:val=""/>
            <m:grow/>
          </m:dPr>
          <m:e>
            <m:sSubSup>
              <m:e>
                <m:r>
                  <m:rPr>
                    <m:sty m:val="b"/>
                  </m:rPr>
                  <m:t>x</m:t>
                </m:r>
              </m:e>
              <m:sub>
                <m:r>
                  <m:t>m</m:t>
                </m:r>
                <m:r>
                  <m:rPr>
                    <m:sty m:val="p"/>
                  </m:rPr>
                  <m:t>+</m:t>
                </m:r>
                <m:r>
                  <m:t>1</m:t>
                </m:r>
              </m:sub>
              <m:sup>
                <m:r>
                  <m:t>T</m:t>
                </m:r>
              </m:sup>
            </m:sSubSup>
          </m:e>
        </m:d>
        <m:r>
          <m:rPr>
            <m:sty m:val="p"/>
          </m:rPr>
          <m:t>}</m:t>
        </m:r>
        <m:r>
          <m:rPr>
            <m:sty m:val="p"/>
          </m:rPr>
          <m:t>≥</m:t>
        </m:r>
        <m:r>
          <m:t>1</m:t>
        </m:r>
        <m:r>
          <m:rPr>
            <m:sty m:val="p"/>
          </m:rPr>
          <m:t>−</m:t>
        </m:r>
        <m:r>
          <m:t>α</m:t>
        </m:r>
      </m:oMath>
      <w:r>
        <w:t xml:space="preserve">, as narrow as possible.</w:t>
      </w:r>
    </w:p>
    <w:bookmarkEnd w:id="22"/>
    <w:bookmarkStart w:id="23" w:name="difficulty-function"/>
    <w:p>
      <w:pPr>
        <w:pStyle w:val="Heading2"/>
      </w:pPr>
      <w:r>
        <w:t xml:space="preserve">2.2. Difficulty function</w:t>
      </w:r>
    </w:p>
    <w:p>
      <w:pPr>
        <w:pStyle w:val="FirstParagraph"/>
      </w:pPr>
      <w:r>
        <w:t xml:space="preserve">A heteroscedastic, sample-specific scale is obtained from PLS diagnostics. For a (transferred) spectrum, let</w:t>
      </w:r>
      <w:r>
        <w:t xml:space="preserve"> </w:t>
      </w:r>
      <m:oMath>
        <m:sSup>
          <m:e>
            <m:r>
              <m:t>T</m:t>
            </m:r>
          </m:e>
          <m:sup>
            <m:r>
              <m:t>2</m:t>
            </m:r>
          </m:sup>
        </m:sSup>
        <m:d>
          <m:dPr>
            <m:begChr m:val="("/>
            <m:endChr m:val=")"/>
            <m:sepChr m:val=""/>
            <m:grow/>
          </m:dPr>
          <m:e>
            <m:r>
              <m:rPr>
                <m:sty m:val="b"/>
              </m:rPr>
              <m:t>x</m:t>
            </m:r>
          </m:e>
        </m:d>
        <m:r>
          <m:rPr>
            <m:sty m:val="p"/>
          </m:rPr>
          <m:t>=</m:t>
        </m:r>
        <m:nary>
          <m:naryPr>
            <m:chr m:val="∑"/>
            <m:limLoc m:val="undOvr"/>
            <m:subHide m:val="off"/>
            <m:supHide m:val="off"/>
          </m:naryPr>
          <m:sub>
            <m:r>
              <m:t>a</m:t>
            </m:r>
            <m:r>
              <m:rPr>
                <m:sty m:val="p"/>
              </m:rPr>
              <m:t>=</m:t>
            </m:r>
            <m:r>
              <m:t>1</m:t>
            </m:r>
          </m:sub>
          <m:sup>
            <m:r>
              <m:t>A</m:t>
            </m:r>
          </m:sup>
          <m:e>
            <m:sSubSup>
              <m:e>
                <m:r>
                  <m:t>t</m:t>
                </m:r>
              </m:e>
              <m:sub>
                <m:r>
                  <m:t>a</m:t>
                </m:r>
              </m:sub>
              <m:sup>
                <m:r>
                  <m:t>2</m:t>
                </m:r>
              </m:sup>
            </m:sSubSup>
          </m:e>
        </m:nary>
        <m:r>
          <m:rPr>
            <m:sty m:val="p"/>
          </m:rPr>
          <m:t>/</m:t>
        </m:r>
        <m:sSubSup>
          <m:e>
            <m:r>
              <m:t>s</m:t>
            </m:r>
          </m:e>
          <m:sub>
            <m:sSub>
              <m:e>
                <m:r>
                  <m:t>t</m:t>
                </m:r>
              </m:e>
              <m:sub>
                <m:r>
                  <m:t>a</m:t>
                </m:r>
              </m:sub>
            </m:sSub>
          </m:sub>
          <m:sup>
            <m:r>
              <m:t>2</m:t>
            </m:r>
          </m:sup>
        </m:sSubSup>
      </m:oMath>
      <w:r>
        <w:t xml:space="preserve"> </w:t>
      </w:r>
      <w:r>
        <w:t xml:space="preserve">(Hotelling T² in the</w:t>
      </w:r>
      <w:r>
        <w:t xml:space="preserve"> </w:t>
      </w:r>
      <m:oMath>
        <m:r>
          <m:t>A</m:t>
        </m:r>
      </m:oMath>
      <w:r>
        <w:t xml:space="preserve">-dimensional score space) and</w:t>
      </w:r>
      <w:r>
        <w:t xml:space="preserve"> </w:t>
      </w:r>
      <m:oMath>
        <m:r>
          <m:t>Q</m:t>
        </m:r>
        <m:d>
          <m:dPr>
            <m:begChr m:val="("/>
            <m:endChr m:val=")"/>
            <m:sepChr m:val=""/>
            <m:grow/>
          </m:dPr>
          <m:e>
            <m:r>
              <m:rPr>
                <m:sty m:val="b"/>
              </m:rPr>
              <m:t>x</m:t>
            </m:r>
          </m:e>
        </m:d>
        <m:r>
          <m:rPr>
            <m:sty m:val="p"/>
          </m:rPr>
          <m:t>=</m:t>
        </m:r>
        <m:r>
          <m:rPr>
            <m:sty m:val="p"/>
          </m:rPr>
          <m:t>∥</m:t>
        </m:r>
        <m:sSub>
          <m:e>
            <m:r>
              <m:rPr>
                <m:sty m:val="b"/>
              </m:rPr>
              <m:t>x</m:t>
            </m:r>
          </m:e>
          <m:sub>
            <m:r>
              <m:t>c</m:t>
            </m:r>
          </m:sub>
        </m:sSub>
        <m:r>
          <m:rPr>
            <m:sty m:val="p"/>
          </m:rPr>
          <m:t>−</m:t>
        </m:r>
        <m:r>
          <m:rPr>
            <m:sty m:val="b"/>
          </m:rPr>
          <m:t>t</m:t>
        </m:r>
        <m:sSup>
          <m:e>
            <m:r>
              <m:rPr>
                <m:sty m:val="b"/>
              </m:rPr>
              <m:t>P</m:t>
            </m:r>
          </m:e>
          <m:sup>
            <m:r>
              <m:rPr>
                <m:sty m:val="p"/>
                <m:scr m:val="sans-serif"/>
              </m:rPr>
              <m:t>T</m:t>
            </m:r>
          </m:sup>
        </m:sSup>
        <m:sSup>
          <m:e>
            <m:r>
              <m:rPr>
                <m:sty m:val="p"/>
              </m:rPr>
              <m:t>∥</m:t>
            </m:r>
          </m:e>
          <m:sup>
            <m:r>
              <m:t>2</m:t>
            </m:r>
          </m:sup>
        </m:sSup>
      </m:oMath>
      <w:r>
        <w:t xml:space="preserve"> </w:t>
      </w:r>
      <w:r>
        <w:t xml:space="preserve">(the squared spectral residual), both computed in the preprocessed, mean-centred spectral space of the source model. We set</w:t>
      </w:r>
    </w:p>
    <w:p>
      <w:pPr>
        <w:pStyle w:val="BodyText"/>
      </w:pPr>
      <m:oMathPara>
        <m:oMathParaPr>
          <m:jc m:val="center"/>
        </m:oMathParaPr>
        <m:oMath>
          <m:r>
            <m:t>σ</m:t>
          </m:r>
          <m:d>
            <m:dPr>
              <m:begChr m:val="("/>
              <m:endChr m:val=")"/>
              <m:sepChr m:val=""/>
              <m:grow/>
            </m:dPr>
            <m:e>
              <m:r>
                <m:rPr>
                  <m:sty m:val="b"/>
                </m:rPr>
                <m:t>x</m:t>
              </m:r>
            </m:e>
          </m:d>
          <m:r>
            <m:rPr>
              <m:sty m:val="p"/>
            </m:rPr>
            <m:t>=</m:t>
          </m:r>
          <m:r>
            <m:rPr>
              <m:sty m:val="p"/>
            </m:rPr>
            <m:t>max</m:t>
          </m:r>
          <m:d>
            <m:dPr>
              <m:begChr m:val="{"/>
              <m:endChr m:val="}"/>
              <m:sepChr m:val=""/>
              <m:grow/>
            </m:dPr>
            <m:e>
              <m:r>
                <m:t>ε</m:t>
              </m:r>
              <m:r>
                <m:rPr>
                  <m:sty m:val="p"/>
                </m:rPr>
                <m:t>,</m:t>
              </m:r>
              <m:r>
                <m:t> </m:t>
              </m:r>
              <m:sSub>
                <m:e>
                  <m:r>
                    <m:t>c</m:t>
                  </m:r>
                </m:e>
                <m:sub>
                  <m:r>
                    <m:t>0</m:t>
                  </m:r>
                </m:sub>
              </m:sSub>
              <m:r>
                <m:rPr>
                  <m:sty m:val="p"/>
                </m:rPr>
                <m:t>+</m:t>
              </m:r>
              <m:sSub>
                <m:e>
                  <m:r>
                    <m:t>c</m:t>
                  </m:r>
                </m:e>
                <m:sub>
                  <m:r>
                    <m:t>1</m:t>
                  </m:r>
                </m:sub>
              </m:sSub>
              <m:rad>
                <m:radPr>
                  <m:degHide m:val="on"/>
                </m:radPr>
                <m:deg/>
                <m:e>
                  <m:sSup>
                    <m:e>
                      <m:r>
                        <m:t>T</m:t>
                      </m:r>
                    </m:e>
                    <m:sup>
                      <m:r>
                        <m:t>2</m:t>
                      </m:r>
                    </m:sup>
                  </m:sSup>
                  <m:d>
                    <m:dPr>
                      <m:begChr m:val="("/>
                      <m:endChr m:val=")"/>
                      <m:sepChr m:val=""/>
                      <m:grow/>
                    </m:dPr>
                    <m:e>
                      <m:r>
                        <m:rPr>
                          <m:sty m:val="b"/>
                        </m:rPr>
                        <m:t>x</m:t>
                      </m:r>
                    </m:e>
                  </m:d>
                </m:e>
              </m:rad>
              <m:r>
                <m:rPr>
                  <m:sty m:val="p"/>
                </m:rPr>
                <m:t>+</m:t>
              </m:r>
              <m:sSub>
                <m:e>
                  <m:r>
                    <m:t>c</m:t>
                  </m:r>
                </m:e>
                <m:sub>
                  <m:r>
                    <m:t>2</m:t>
                  </m:r>
                </m:sub>
              </m:sSub>
              <m:rad>
                <m:radPr>
                  <m:degHide m:val="on"/>
                </m:radPr>
                <m:deg/>
                <m:e>
                  <m:r>
                    <m:t>Q</m:t>
                  </m:r>
                  <m:d>
                    <m:dPr>
                      <m:begChr m:val="("/>
                      <m:endChr m:val=")"/>
                      <m:sepChr m:val=""/>
                      <m:grow/>
                    </m:dPr>
                    <m:e>
                      <m:r>
                        <m:rPr>
                          <m:sty m:val="b"/>
                        </m:rPr>
                        <m:t>x</m:t>
                      </m:r>
                    </m:e>
                  </m:d>
                </m:e>
              </m:rad>
            </m:e>
          </m:d>
          <m:r>
            <m:rPr>
              <m:sty m:val="p"/>
            </m:rPr>
            <m:t>,</m:t>
          </m:r>
          <m:r>
            <m:t>  </m:t>
          </m:r>
          <m:d>
            <m:dPr>
              <m:begChr m:val="("/>
              <m:endChr m:val=")"/>
              <m:sepChr m:val=""/>
              <m:grow/>
            </m:dPr>
            <m:e>
              <m:r>
                <m:t>2</m:t>
              </m:r>
            </m:e>
          </m:d>
        </m:oMath>
      </m:oMathPara>
    </w:p>
    <w:p>
      <w:pPr>
        <w:pStyle w:val="FirstParagraph"/>
      </w:pPr>
      <w:r>
        <w:t xml:space="preserve">with</w:t>
      </w:r>
      <w:r>
        <w:t xml:space="preserve"> </w:t>
      </w:r>
      <m:oMath>
        <m:sSub>
          <m:e>
            <m:r>
              <m:t>c</m:t>
            </m:r>
          </m:e>
          <m:sub>
            <m:r>
              <m:t>j</m:t>
            </m:r>
          </m:sub>
        </m:sSub>
        <m:r>
          <m:rPr>
            <m:sty m:val="p"/>
          </m:rPr>
          <m:t>≥</m:t>
        </m:r>
        <m:r>
          <m:t>0</m:t>
        </m:r>
      </m:oMath>
      <w:r>
        <w:t xml:space="preserve"> </w:t>
      </w:r>
      <w:r>
        <w:t xml:space="preserve">fitted by non-negative least squares to the absolute out-of-fold residuals of the source cross-validation, and</w:t>
      </w:r>
      <w:r>
        <w:t xml:space="preserve"> </w:t>
      </w:r>
      <m:oMath>
        <m:r>
          <m:t>ε</m:t>
        </m:r>
      </m:oMath>
      <w:r>
        <w:t xml:space="preserve"> </w:t>
      </w:r>
      <w:r>
        <w:t xml:space="preserve">equal to 5% of their median.</w:t>
      </w:r>
      <w:r>
        <w:t xml:space="preserve"> </w:t>
      </w:r>
      <m:oMath>
        <m:r>
          <m:t>σ</m:t>
        </m:r>
      </m:oMath>
      <w:r>
        <w:t xml:space="preserve"> </w:t>
      </w:r>
      <w:r>
        <w:t xml:space="preserve">is fixed</w:t>
      </w:r>
      <w:r>
        <w:t xml:space="preserve"> </w:t>
      </w:r>
      <w:r>
        <w:rPr>
          <w:bCs/>
          <w:b/>
        </w:rPr>
        <w:t xml:space="preserve">before</w:t>
      </w:r>
      <w:r>
        <w:t xml:space="preserve"> </w:t>
      </w:r>
      <w:r>
        <w:t xml:space="preserve">any target datum is used. Within TJ+N,</w:t>
      </w:r>
      <w:r>
        <w:t xml:space="preserve"> </w:t>
      </w:r>
      <m:oMath>
        <m:r>
          <m:t>σ</m:t>
        </m:r>
      </m:oMath>
      <w:r>
        <w:t xml:space="preserve"> </w:t>
      </w:r>
      <w:r>
        <w:t xml:space="preserve">is evaluated on the spectrum after the fold-specific transfer,</w:t>
      </w:r>
      <w:r>
        <w:t xml:space="preserve"> </w:t>
      </w:r>
      <m:oMath>
        <m:sSub>
          <m:e>
            <m:r>
              <m:t>σ</m:t>
            </m:r>
          </m:e>
          <m:sub>
            <m:r>
              <m:rPr>
                <m:sty m:val="p"/>
                <m:scr m:val="script"/>
              </m:rPr>
              <m:t>D</m:t>
            </m:r>
          </m:sub>
        </m:sSub>
        <m:d>
          <m:dPr>
            <m:begChr m:val="("/>
            <m:endChr m:val=")"/>
            <m:sepChr m:val=""/>
            <m:grow/>
          </m:dPr>
          <m:e>
            <m:r>
              <m:rPr>
                <m:sty m:val="b"/>
              </m:rPr>
              <m:t>x</m:t>
            </m:r>
          </m:e>
        </m:d>
        <m:r>
          <m:rPr>
            <m:sty m:val="p"/>
          </m:rPr>
          <m:t>=</m:t>
        </m:r>
        <m:r>
          <m:t>σ</m:t>
        </m:r>
        <m:d>
          <m:dPr>
            <m:begChr m:val="("/>
            <m:endChr m:val=")"/>
            <m:sepChr m:val=""/>
            <m:grow/>
          </m:dPr>
          <m:e>
            <m:sSub>
              <m:e>
                <m:r>
                  <m:t>g</m:t>
                </m:r>
              </m:e>
              <m:sub>
                <m:r>
                  <m:rPr>
                    <m:sty m:val="p"/>
                    <m:scr m:val="script"/>
                  </m:rPr>
                  <m:t>D</m:t>
                </m:r>
              </m:sub>
            </m:sSub>
            <m:d>
              <m:dPr>
                <m:begChr m:val="("/>
                <m:endChr m:val=")"/>
                <m:sepChr m:val=""/>
                <m:grow/>
              </m:dPr>
              <m:e>
                <m:r>
                  <m:rPr>
                    <m:sty m:val="b"/>
                  </m:rPr>
                  <m:t>x</m:t>
                </m:r>
              </m:e>
            </m:d>
          </m:e>
        </m:d>
      </m:oMath>
      <w:r>
        <w:t xml:space="preserve">. Spectra that are poorly reconstructed by the source model after transfer (large</w:t>
      </w:r>
      <w:r>
        <w:t xml:space="preserve"> </w:t>
      </w:r>
      <m:oMath>
        <m:r>
          <m:t>Q</m:t>
        </m:r>
      </m:oMath>
      <w:r>
        <w:t xml:space="preserve">), or that extrapolate in score space (large</w:t>
      </w:r>
      <w:r>
        <w:t xml:space="preserve"> </w:t>
      </w:r>
      <m:oMath>
        <m:sSup>
          <m:e>
            <m:r>
              <m:t>T</m:t>
            </m:r>
          </m:e>
          <m:sup>
            <m:r>
              <m:t>2</m:t>
            </m:r>
          </m:sup>
        </m:sSup>
      </m:oMath>
      <w:r>
        <w:t xml:space="preserve">), therefore receive wider intervals.</w:t>
      </w:r>
    </w:p>
    <w:bookmarkEnd w:id="23"/>
    <w:bookmarkStart w:id="27" w:name="transfer-jackknife-tj"/>
    <w:p>
      <w:pPr>
        <w:pStyle w:val="Heading2"/>
      </w:pPr>
      <w:r>
        <w:t xml:space="preserve">2.3. Transfer jackknife+ (TJ+)</w:t>
      </w:r>
    </w:p>
    <w:p>
      <w:pPr>
        <w:pStyle w:val="FirstParagraph"/>
      </w:pPr>
      <w:r>
        <w:t xml:space="preserve">For each</w:t>
      </w:r>
      <w:r>
        <w:t xml:space="preserve"> </w:t>
      </w:r>
      <m:oMath>
        <m:r>
          <m:t>i</m:t>
        </m:r>
      </m:oMath>
      <w:r>
        <w:t xml:space="preserve">, the transfer is re-fitted without standard</w:t>
      </w:r>
      <w:r>
        <w:t xml:space="preserve"> </w:t>
      </w:r>
      <m:oMath>
        <m:r>
          <m:t>i</m:t>
        </m:r>
      </m:oMath>
      <w:r>
        <w:t xml:space="preserve">, giving</w:t>
      </w:r>
      <w:r>
        <w:t xml:space="preserve"> </w:t>
      </w:r>
      <m:oMath>
        <m:sSub>
          <m:e>
            <m:r>
              <m:t>μ</m:t>
            </m:r>
          </m:e>
          <m:sub>
            <m:r>
              <m:rPr>
                <m:sty m:val="p"/>
              </m:rPr>
              <m:t>−</m:t>
            </m:r>
            <m:r>
              <m:t>i</m:t>
            </m:r>
          </m:sub>
        </m:sSub>
        <m:r>
          <m:rPr>
            <m:sty m:val="p"/>
          </m:rPr>
          <m:t>=</m:t>
        </m:r>
        <m:sSub>
          <m:e>
            <m:r>
              <m:t>μ</m:t>
            </m:r>
          </m:e>
          <m:sub>
            <m:r>
              <m:rPr>
                <m:sty m:val="p"/>
                <m:scr m:val="script"/>
              </m:rPr>
              <m:t>D</m:t>
            </m:r>
            <m:r>
              <m:rPr>
                <m:sty m:val="p"/>
              </m:rPr>
              <m:t>\</m:t>
            </m:r>
            <m:r>
              <m:rPr>
                <m:sty m:val="p"/>
              </m:rPr>
              <m:t>{</m:t>
            </m:r>
            <m:r>
              <m:t>i</m:t>
            </m:r>
            <m:r>
              <m:rPr>
                <m:sty m:val="p"/>
              </m:rPr>
              <m:t>}</m:t>
            </m:r>
          </m:sub>
        </m:sSub>
      </m:oMath>
      <w:r>
        <w:t xml:space="preserve"> </w:t>
      </w:r>
      <w:r>
        <w:t xml:space="preserve">and</w:t>
      </w:r>
      <w:r>
        <w:t xml:space="preserve"> </w:t>
      </w:r>
      <m:oMath>
        <m:sSub>
          <m:e>
            <m:r>
              <m:t>σ</m:t>
            </m:r>
          </m:e>
          <m:sub>
            <m:r>
              <m:rPr>
                <m:sty m:val="p"/>
              </m:rPr>
              <m:t>−</m:t>
            </m:r>
            <m:r>
              <m:t>i</m:t>
            </m:r>
          </m:sub>
        </m:sSub>
        <m:r>
          <m:rPr>
            <m:sty m:val="p"/>
          </m:rPr>
          <m:t>=</m:t>
        </m:r>
        <m:sSub>
          <m:e>
            <m:r>
              <m:t>σ</m:t>
            </m:r>
          </m:e>
          <m:sub>
            <m:r>
              <m:rPr>
                <m:sty m:val="p"/>
                <m:scr m:val="script"/>
              </m:rPr>
              <m:t>D</m:t>
            </m:r>
            <m:r>
              <m:rPr>
                <m:sty m:val="p"/>
              </m:rPr>
              <m:t>\</m:t>
            </m:r>
            <m:r>
              <m:rPr>
                <m:sty m:val="p"/>
              </m:rPr>
              <m:t>{</m:t>
            </m:r>
            <m:r>
              <m:t>i</m:t>
            </m:r>
            <m:r>
              <m:rPr>
                <m:sty m:val="p"/>
              </m:rPr>
              <m:t>}</m:t>
            </m:r>
          </m:sub>
        </m:sSub>
      </m:oMath>
      <w:r>
        <w:t xml:space="preserve">. The leave-one-standard-out normalised residuals are</w:t>
      </w:r>
    </w:p>
    <w:p>
      <w:pPr>
        <w:pStyle w:val="BodyText"/>
      </w:pPr>
      <m:oMathPara>
        <m:oMathParaPr>
          <m:jc m:val="center"/>
        </m:oMathParaPr>
        <m:oMath>
          <m:sSub>
            <m:e>
              <m:r>
                <m:t>R</m:t>
              </m:r>
            </m:e>
            <m:sub>
              <m:r>
                <m:t>i</m:t>
              </m:r>
            </m:sub>
          </m:sSub>
          <m:r>
            <m:rPr>
              <m:sty m:val="p"/>
            </m:rPr>
            <m:t>=</m:t>
          </m:r>
          <m:f>
            <m:fPr>
              <m:type m:val="bar"/>
            </m:fPr>
            <m:num>
              <m:r>
                <m:rPr>
                  <m:sty m:val="p"/>
                </m:rPr>
                <m:t>|</m:t>
              </m:r>
              <m:sSub>
                <m:e>
                  <m:r>
                    <m:t>y</m:t>
                  </m:r>
                </m:e>
                <m:sub>
                  <m:r>
                    <m:t>i</m:t>
                  </m:r>
                </m:sub>
              </m:sSub>
              <m:r>
                <m:rPr>
                  <m:sty m:val="p"/>
                </m:rPr>
                <m:t>−</m:t>
              </m:r>
              <m:sSub>
                <m:e>
                  <m:r>
                    <m:t>μ</m:t>
                  </m:r>
                </m:e>
                <m:sub>
                  <m:r>
                    <m:rPr>
                      <m:sty m:val="p"/>
                    </m:rPr>
                    <m:t>−</m:t>
                  </m:r>
                  <m:r>
                    <m:t>i</m:t>
                  </m:r>
                </m:sub>
              </m:sSub>
              <m:d>
                <m:dPr>
                  <m:begChr m:val="("/>
                  <m:endChr m:val=")"/>
                  <m:sepChr m:val=""/>
                  <m:grow/>
                </m:dPr>
                <m:e>
                  <m:sSubSup>
                    <m:e>
                      <m:r>
                        <m:rPr>
                          <m:sty m:val="b"/>
                        </m:rPr>
                        <m:t>x</m:t>
                      </m:r>
                    </m:e>
                    <m:sub>
                      <m:r>
                        <m:t>i</m:t>
                      </m:r>
                    </m:sub>
                    <m:sup>
                      <m:r>
                        <m:t>T</m:t>
                      </m:r>
                    </m:sup>
                  </m:sSubSup>
                </m:e>
              </m:d>
              <m:r>
                <m:rPr>
                  <m:sty m:val="p"/>
                </m:rPr>
                <m:t>|</m:t>
              </m:r>
            </m:num>
            <m:den>
              <m:sSub>
                <m:e>
                  <m:r>
                    <m:t>σ</m:t>
                  </m:r>
                </m:e>
                <m:sub>
                  <m:r>
                    <m:rPr>
                      <m:sty m:val="p"/>
                    </m:rPr>
                    <m:t>−</m:t>
                  </m:r>
                  <m:r>
                    <m:t>i</m:t>
                  </m:r>
                </m:sub>
              </m:sSub>
              <m:d>
                <m:dPr>
                  <m:begChr m:val="("/>
                  <m:endChr m:val=")"/>
                  <m:sepChr m:val=""/>
                  <m:grow/>
                </m:dPr>
                <m:e>
                  <m:sSubSup>
                    <m:e>
                      <m:r>
                        <m:rPr>
                          <m:sty m:val="b"/>
                        </m:rPr>
                        <m:t>x</m:t>
                      </m:r>
                    </m:e>
                    <m:sub>
                      <m:r>
                        <m:t>i</m:t>
                      </m:r>
                    </m:sub>
                    <m:sup>
                      <m:r>
                        <m:t>T</m:t>
                      </m:r>
                    </m:sup>
                  </m:sSubSup>
                </m:e>
              </m:d>
            </m:den>
          </m:f>
          <m:r>
            <m:rPr>
              <m:sty m:val="p"/>
            </m:rPr>
            <m:t>,</m:t>
          </m:r>
          <m:r>
            <m:t>  </m:t>
          </m:r>
          <m:r>
            <m:t>i</m:t>
          </m:r>
          <m:r>
            <m:rPr>
              <m:sty m:val="p"/>
            </m:rPr>
            <m:t>=</m:t>
          </m:r>
          <m:r>
            <m:t>1</m:t>
          </m:r>
          <m:r>
            <m:rPr>
              <m:sty m:val="p"/>
            </m:rPr>
            <m:t>,</m:t>
          </m:r>
          <m:r>
            <m:rPr>
              <m:sty m:val="p"/>
            </m:rPr>
            <m:t>…</m:t>
          </m:r>
          <m:r>
            <m:rPr>
              <m:sty m:val="p"/>
            </m:rPr>
            <m:t>,</m:t>
          </m:r>
          <m:r>
            <m:t>m</m:t>
          </m:r>
          <m:r>
            <m:rPr>
              <m:sty m:val="p"/>
            </m:rPr>
            <m:t>.</m:t>
          </m:r>
          <m:r>
            <m:t>  </m:t>
          </m:r>
          <m:d>
            <m:dPr>
              <m:begChr m:val="("/>
              <m:endChr m:val=")"/>
              <m:sepChr m:val=""/>
              <m:grow/>
            </m:dPr>
            <m:e>
              <m:r>
                <m:t>3</m:t>
              </m:r>
            </m:e>
          </m:d>
        </m:oMath>
      </m:oMathPara>
    </w:p>
    <w:p>
      <w:pPr>
        <w:pStyle w:val="FirstParagraph"/>
      </w:pPr>
      <w:r>
        <w:t xml:space="preserve">The TJ+N interval for a new target spectrum</w:t>
      </w:r>
      <w:r>
        <w:t xml:space="preserve"> </w:t>
      </w:r>
      <m:oMath>
        <m:r>
          <m:rPr>
            <m:sty m:val="b"/>
          </m:rPr>
          <m:t>x</m:t>
        </m:r>
      </m:oMath>
      <w:r>
        <w:t xml:space="preserve"> </w:t>
      </w:r>
      <w:r>
        <w:t xml:space="preserve">is</w:t>
      </w:r>
    </w:p>
    <w:p>
      <w:pPr>
        <w:pStyle w:val="BodyText"/>
      </w:pPr>
      <m:oMathPara>
        <m:oMathParaPr>
          <m:jc m:val="center"/>
        </m:oMathParaPr>
        <m:oMath>
          <m:acc>
            <m:accPr>
              <m:chr m:val="̂"/>
            </m:accPr>
            <m:e>
              <m:r>
                <m:t>C</m:t>
              </m:r>
            </m:e>
          </m:acc>
          <m:d>
            <m:dPr>
              <m:begChr m:val="("/>
              <m:endChr m:val=")"/>
              <m:sepChr m:val=""/>
              <m:grow/>
            </m:dPr>
            <m:e>
              <m:r>
                <m:rPr>
                  <m:sty m:val="b"/>
                </m:rPr>
                <m:t>x</m:t>
              </m:r>
            </m:e>
          </m:d>
          <m:r>
            <m:rPr>
              <m:sty m:val="p"/>
            </m:rPr>
            <m:t>=</m:t>
          </m:r>
          <m:d>
            <m:dPr>
              <m:begChr m:val="["/>
              <m:endChr m:val="]"/>
              <m:sepChr m:val=""/>
              <m:grow/>
            </m:dPr>
            <m:e>
              <m:r>
                <m:t> </m:t>
              </m:r>
              <m:sSubSup>
                <m:e>
                  <m:acc>
                    <m:accPr>
                      <m:chr m:val="̂"/>
                    </m:accPr>
                    <m:e>
                      <m:r>
                        <m:t>q</m:t>
                      </m:r>
                    </m:e>
                  </m:acc>
                </m:e>
                <m:sub>
                  <m:r>
                    <m:t>α</m:t>
                  </m:r>
                </m:sub>
                <m:sup>
                  <m:r>
                    <m:rPr>
                      <m:sty m:val="p"/>
                    </m:rPr>
                    <m:t>−</m:t>
                  </m:r>
                </m:sup>
              </m:sSubSup>
              <m:r>
                <m:rPr>
                  <m:sty m:val="p"/>
                </m:rPr>
                <m:t>{</m:t>
              </m:r>
              <m:sSub>
                <m:e>
                  <m:r>
                    <m:t>μ</m:t>
                  </m:r>
                </m:e>
                <m:sub>
                  <m:r>
                    <m:rPr>
                      <m:sty m:val="p"/>
                    </m:rPr>
                    <m:t>−</m:t>
                  </m:r>
                  <m:r>
                    <m:t>i</m:t>
                  </m:r>
                </m:sub>
              </m:sSub>
              <m:d>
                <m:dPr>
                  <m:begChr m:val="("/>
                  <m:endChr m:val=")"/>
                  <m:sepChr m:val=""/>
                  <m:grow/>
                </m:dPr>
                <m:e>
                  <m:r>
                    <m:rPr>
                      <m:sty m:val="b"/>
                    </m:rPr>
                    <m:t>x</m:t>
                  </m:r>
                </m:e>
              </m:d>
              <m:r>
                <m:rPr>
                  <m:sty m:val="p"/>
                </m:rPr>
                <m:t>−</m:t>
              </m:r>
              <m:sSub>
                <m:e>
                  <m:r>
                    <m:t>σ</m:t>
                  </m:r>
                </m:e>
                <m:sub>
                  <m:r>
                    <m:rPr>
                      <m:sty m:val="p"/>
                    </m:rPr>
                    <m:t>−</m:t>
                  </m:r>
                  <m:r>
                    <m:t>i</m:t>
                  </m:r>
                </m:sub>
              </m:sSub>
              <m:d>
                <m:dPr>
                  <m:begChr m:val="("/>
                  <m:endChr m:val=")"/>
                  <m:sepChr m:val=""/>
                  <m:grow/>
                </m:dPr>
                <m:e>
                  <m:r>
                    <m:rPr>
                      <m:sty m:val="b"/>
                    </m:rPr>
                    <m:t>x</m:t>
                  </m:r>
                </m:e>
              </m:d>
              <m:sSub>
                <m:e>
                  <m:r>
                    <m:t>R</m:t>
                  </m:r>
                </m:e>
                <m:sub>
                  <m:r>
                    <m:t>i</m:t>
                  </m:r>
                </m:sub>
              </m:sSub>
              <m:r>
                <m:rPr>
                  <m:sty m:val="p"/>
                </m:rPr>
                <m:t>}</m:t>
              </m:r>
              <m:r>
                <m:rPr>
                  <m:sty m:val="p"/>
                </m:rPr>
                <m:t>,</m:t>
              </m:r>
              <m:r>
                <m:t> </m:t>
              </m:r>
              <m:r>
                <m:t> </m:t>
              </m:r>
              <m:sSubSup>
                <m:e>
                  <m:acc>
                    <m:accPr>
                      <m:chr m:val="̂"/>
                    </m:accPr>
                    <m:e>
                      <m:r>
                        <m:t>q</m:t>
                      </m:r>
                    </m:e>
                  </m:acc>
                </m:e>
                <m:sub>
                  <m:r>
                    <m:t>α</m:t>
                  </m:r>
                </m:sub>
                <m:sup>
                  <m:r>
                    <m:rPr>
                      <m:sty m:val="p"/>
                    </m:rPr>
                    <m:t>+</m:t>
                  </m:r>
                </m:sup>
              </m:sSubSup>
              <m:r>
                <m:rPr>
                  <m:sty m:val="p"/>
                </m:rPr>
                <m:t>{</m:t>
              </m:r>
              <m:sSub>
                <m:e>
                  <m:r>
                    <m:t>μ</m:t>
                  </m:r>
                </m:e>
                <m:sub>
                  <m:r>
                    <m:rPr>
                      <m:sty m:val="p"/>
                    </m:rPr>
                    <m:t>−</m:t>
                  </m:r>
                  <m:r>
                    <m:t>i</m:t>
                  </m:r>
                </m:sub>
              </m:sSub>
              <m:d>
                <m:dPr>
                  <m:begChr m:val="("/>
                  <m:endChr m:val=")"/>
                  <m:sepChr m:val=""/>
                  <m:grow/>
                </m:dPr>
                <m:e>
                  <m:r>
                    <m:rPr>
                      <m:sty m:val="b"/>
                    </m:rPr>
                    <m:t>x</m:t>
                  </m:r>
                </m:e>
              </m:d>
              <m:r>
                <m:rPr>
                  <m:sty m:val="p"/>
                </m:rPr>
                <m:t>+</m:t>
              </m:r>
              <m:sSub>
                <m:e>
                  <m:r>
                    <m:t>σ</m:t>
                  </m:r>
                </m:e>
                <m:sub>
                  <m:r>
                    <m:rPr>
                      <m:sty m:val="p"/>
                    </m:rPr>
                    <m:t>−</m:t>
                  </m:r>
                  <m:r>
                    <m:t>i</m:t>
                  </m:r>
                </m:sub>
              </m:sSub>
              <m:d>
                <m:dPr>
                  <m:begChr m:val="("/>
                  <m:endChr m:val=")"/>
                  <m:sepChr m:val=""/>
                  <m:grow/>
                </m:dPr>
                <m:e>
                  <m:r>
                    <m:rPr>
                      <m:sty m:val="b"/>
                    </m:rPr>
                    <m:t>x</m:t>
                  </m:r>
                </m:e>
              </m:d>
              <m:sSub>
                <m:e>
                  <m:r>
                    <m:t>R</m:t>
                  </m:r>
                </m:e>
                <m:sub>
                  <m:r>
                    <m:t>i</m:t>
                  </m:r>
                </m:sub>
              </m:sSub>
              <m:r>
                <m:rPr>
                  <m:sty m:val="p"/>
                </m:rPr>
                <m:t>}</m:t>
              </m:r>
              <m:r>
                <m:t> </m:t>
              </m:r>
            </m:e>
          </m:d>
          <m:r>
            <m:rPr>
              <m:sty m:val="p"/>
            </m:rPr>
            <m:t>,</m:t>
          </m:r>
          <m:r>
            <m:t>  </m:t>
          </m:r>
          <m:d>
            <m:dPr>
              <m:begChr m:val="("/>
              <m:endChr m:val=")"/>
              <m:sepChr m:val=""/>
              <m:grow/>
            </m:dPr>
            <m:e>
              <m:r>
                <m:t>4</m:t>
              </m:r>
            </m:e>
          </m:d>
        </m:oMath>
      </m:oMathPara>
    </w:p>
    <w:p>
      <w:pPr>
        <w:pStyle w:val="FirstParagraph"/>
      </w:pPr>
      <w:r>
        <w:t xml:space="preserve">where</w:t>
      </w:r>
      <w:r>
        <w:t xml:space="preserve"> </w:t>
      </w:r>
      <m:oMath>
        <m:sSubSup>
          <m:e>
            <m:acc>
              <m:accPr>
                <m:chr m:val="̂"/>
              </m:accPr>
              <m:e>
                <m:r>
                  <m:t>q</m:t>
                </m:r>
              </m:e>
            </m:acc>
          </m:e>
          <m:sub>
            <m:r>
              <m:t>α</m:t>
            </m:r>
          </m:sub>
          <m:sup>
            <m:r>
              <m:rPr>
                <m:sty m:val="p"/>
              </m:rPr>
              <m:t>+</m:t>
            </m:r>
          </m:sup>
        </m:sSubSup>
        <m:r>
          <m:rPr>
            <m:sty m:val="p"/>
          </m:rPr>
          <m:t>{</m:t>
        </m:r>
        <m:sSub>
          <m:e>
            <m:r>
              <m:t>v</m:t>
            </m:r>
          </m:e>
          <m:sub>
            <m:r>
              <m:t>i</m:t>
            </m:r>
          </m:sub>
        </m:sSub>
        <m:r>
          <m:rPr>
            <m:sty m:val="p"/>
          </m:rPr>
          <m:t>}</m:t>
        </m:r>
      </m:oMath>
      <w:r>
        <w:t xml:space="preserve"> </w:t>
      </w:r>
      <w:r>
        <w:t xml:space="preserve">is the</w:t>
      </w:r>
      <w:r>
        <w:t xml:space="preserve"> </w:t>
      </w:r>
      <m:oMath>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r>
          <m:rPr>
            <m:sty m:val="p"/>
          </m:rPr>
          <m:t>⌉</m:t>
        </m:r>
      </m:oMath>
      <w:r>
        <w:t xml:space="preserve">-th smallest of</w:t>
      </w:r>
      <w:r>
        <w:t xml:space="preserve"> </w:t>
      </w:r>
      <m:oMath>
        <m:sSub>
          <m:e>
            <m:r>
              <m:t>v</m:t>
            </m:r>
          </m:e>
          <m:sub>
            <m:r>
              <m:t>1</m:t>
            </m:r>
          </m:sub>
        </m:sSub>
        <m:r>
          <m:rPr>
            <m:sty m:val="p"/>
          </m:rPr>
          <m:t>,</m:t>
        </m:r>
        <m:r>
          <m:rPr>
            <m:sty m:val="p"/>
          </m:rPr>
          <m:t>…</m:t>
        </m:r>
        <m:r>
          <m:rPr>
            <m:sty m:val="p"/>
          </m:rPr>
          <m:t>,</m:t>
        </m:r>
        <m:sSub>
          <m:e>
            <m:r>
              <m:t>v</m:t>
            </m:r>
          </m:e>
          <m:sub>
            <m:r>
              <m:t>m</m:t>
            </m:r>
          </m:sub>
        </m:sSub>
      </m:oMath>
      <w:r>
        <w:t xml:space="preserve"> </w:t>
      </w:r>
      <w:r>
        <w:t xml:space="preserve">(and</w:t>
      </w:r>
      <w:r>
        <w:t xml:space="preserve"> </w:t>
      </w:r>
      <m:oMath>
        <m:r>
          <m:rPr>
            <m:sty m:val="p"/>
          </m:rPr>
          <m:t>+</m:t>
        </m:r>
        <m:r>
          <m:rPr>
            <m:sty m:val="p"/>
          </m:rPr>
          <m:t>∞</m:t>
        </m:r>
      </m:oMath>
      <w:r>
        <w:t xml:space="preserve"> </w:t>
      </w:r>
      <w:r>
        <w:t xml:space="preserve">if this rank exceeds</w:t>
      </w:r>
      <w:r>
        <w:t xml:space="preserve"> </w:t>
      </w:r>
      <m:oMath>
        <m:r>
          <m:t>m</m:t>
        </m:r>
      </m:oMath>
      <w:r>
        <w:t xml:space="preserve">), and</w:t>
      </w:r>
      <w:r>
        <w:t xml:space="preserve"> </w:t>
      </w:r>
      <m:oMath>
        <m:sSubSup>
          <m:e>
            <m:acc>
              <m:accPr>
                <m:chr m:val="̂"/>
              </m:accPr>
              <m:e>
                <m:r>
                  <m:t>q</m:t>
                </m:r>
              </m:e>
            </m:acc>
          </m:e>
          <m:sub>
            <m:r>
              <m:t>α</m:t>
            </m:r>
          </m:sub>
          <m:sup>
            <m:r>
              <m:rPr>
                <m:sty m:val="p"/>
              </m:rPr>
              <m:t>−</m:t>
            </m:r>
          </m:sup>
        </m:sSubSup>
        <m:r>
          <m:rPr>
            <m:sty m:val="p"/>
          </m:rPr>
          <m:t>{</m:t>
        </m:r>
        <m:sSub>
          <m:e>
            <m:r>
              <m:t>v</m:t>
            </m:r>
          </m:e>
          <m:sub>
            <m:r>
              <m:t>i</m:t>
            </m:r>
          </m:sub>
        </m:sSub>
        <m:r>
          <m:rPr>
            <m:sty m:val="p"/>
          </m:rPr>
          <m:t>}</m:t>
        </m:r>
      </m:oMath>
      <w:r>
        <w:t xml:space="preserve"> </w:t>
      </w:r>
      <w:r>
        <w:t xml:space="preserve">is the</w:t>
      </w:r>
      <w:r>
        <w:t xml:space="preserve"> </w:t>
      </w:r>
      <m:oMath>
        <m:r>
          <m:rPr>
            <m:sty m:val="p"/>
          </m:rPr>
          <m:t>⌊</m:t>
        </m:r>
        <m:r>
          <m:t>α</m:t>
        </m:r>
        <m:d>
          <m:dPr>
            <m:begChr m:val="("/>
            <m:endChr m:val=")"/>
            <m:sepChr m:val=""/>
            <m:grow/>
          </m:dPr>
          <m:e>
            <m:r>
              <m:t>m</m:t>
            </m:r>
            <m:r>
              <m:rPr>
                <m:sty m:val="p"/>
              </m:rPr>
              <m:t>+</m:t>
            </m:r>
            <m:r>
              <m:t>1</m:t>
            </m:r>
          </m:e>
        </m:d>
        <m:r>
          <m:rPr>
            <m:sty m:val="p"/>
          </m:rPr>
          <m:t>⌋</m:t>
        </m:r>
      </m:oMath>
      <w:r>
        <w:t xml:space="preserve">-th smallest (and</w:t>
      </w:r>
      <w:r>
        <w:t xml:space="preserve"> </w:t>
      </w:r>
      <m:oMath>
        <m:r>
          <m:rPr>
            <m:sty m:val="p"/>
          </m:rPr>
          <m:t>−</m:t>
        </m:r>
        <m:r>
          <m:rPr>
            <m:sty m:val="p"/>
          </m:rPr>
          <m:t>∞</m:t>
        </m:r>
      </m:oMath>
      <w:r>
        <w:t xml:space="preserve"> </w:t>
      </w:r>
      <w:r>
        <w:t xml:space="preserve">if this rank is below 1). The unnormalised variant TJ+ uses</w:t>
      </w:r>
      <w:r>
        <w:t xml:space="preserve"> </w:t>
      </w:r>
      <m:oMath>
        <m:r>
          <m:t>σ</m:t>
        </m:r>
        <m:r>
          <m:rPr>
            <m:sty m:val="p"/>
          </m:rPr>
          <m:t>≡</m:t>
        </m:r>
        <m:r>
          <m:t>1</m:t>
        </m:r>
      </m:oMath>
      <w:r>
        <w:t xml:space="preserve">. The source model</w:t>
      </w:r>
      <w:r>
        <w:t xml:space="preserve"> </w:t>
      </w:r>
      <m:oMath>
        <m:r>
          <m:t>f</m:t>
        </m:r>
      </m:oMath>
      <w:r>
        <w:t xml:space="preserve"> </w:t>
      </w:r>
      <w:r>
        <w:t xml:space="preserve">is</w:t>
      </w:r>
      <w:r>
        <w:t xml:space="preserve"> </w:t>
      </w:r>
      <w:r>
        <w:rPr>
          <w:bCs/>
          <w:b/>
        </w:rPr>
        <w:t xml:space="preserve">never</w:t>
      </w:r>
      <w:r>
        <w:t xml:space="preserve"> </w:t>
      </w:r>
      <w:r>
        <w:t xml:space="preserve">re-fitted; only the transfer step is (Fig. 1).</w:t>
      </w:r>
    </w:p>
    <w:p>
      <w:pPr>
        <w:pStyle w:val="BodyText"/>
      </w:pPr>
      <w:r>
        <w:rPr>
          <w:bCs/>
          <w:b/>
        </w:rPr>
        <w:t xml:space="preserve">Proposition 1.</w:t>
      </w:r>
      <w:r>
        <w:t xml:space="preserve"> </w:t>
      </w:r>
      <w:r>
        <w:rPr>
          <w:iCs/>
          <w:i/>
        </w:rPr>
        <w:t xml:space="preserve">Suppose that</w:t>
      </w:r>
      <w:r>
        <w:rPr>
          <w:iCs/>
          <w:i/>
        </w:rPr>
        <w:t xml:space="preserve"> </w:t>
      </w:r>
      <m:oMath>
        <m:sSub>
          <m:e>
            <m:r>
              <m:t>Z</m:t>
            </m:r>
          </m:e>
          <m:sub>
            <m:r>
              <m:t>1</m:t>
            </m:r>
          </m:sub>
        </m:sSub>
        <m:r>
          <m:rPr>
            <m:sty m:val="p"/>
          </m:rPr>
          <m:t>,</m:t>
        </m:r>
        <m:r>
          <m:rPr>
            <m:sty m:val="p"/>
          </m:rPr>
          <m:t>…</m:t>
        </m:r>
        <m:r>
          <m:rPr>
            <m:sty m:val="p"/>
          </m:rPr>
          <m:t>,</m:t>
        </m:r>
        <m:sSub>
          <m:e>
            <m:r>
              <m:t>Z</m:t>
            </m:r>
          </m:e>
          <m:sub>
            <m:r>
              <m:t>m</m:t>
            </m:r>
            <m:r>
              <m:rPr>
                <m:sty m:val="p"/>
              </m:rPr>
              <m:t>+</m:t>
            </m:r>
            <m:r>
              <m:t>1</m:t>
            </m:r>
          </m:sub>
        </m:sSub>
      </m:oMath>
      <w:r>
        <w:rPr>
          <w:iCs/>
          <w:i/>
        </w:rPr>
        <w:t xml:space="preserve"> </w:t>
      </w:r>
      <w:r>
        <w:rPr>
          <w:iCs/>
          <w:i/>
        </w:rPr>
        <w:t xml:space="preserve">are exchangeable. This holds, for example, when the standards and the future sample are drawn at random from the same target population. Suppose also that</w:t>
      </w:r>
      <w:r>
        <w:rPr>
          <w:iCs/>
          <w:i/>
        </w:rPr>
        <w:t xml:space="preserve"> </w:t>
      </w:r>
      <m:oMath>
        <m:r>
          <m:rPr>
            <m:sty m:val="p"/>
            <m:scr m:val="script"/>
          </m:rPr>
          <m:t>T</m:t>
        </m:r>
      </m:oMath>
      <w:r>
        <w:rPr>
          <w:iCs/>
          <w:i/>
        </w:rPr>
        <w:t xml:space="preserve"> </w:t>
      </w:r>
      <w:r>
        <w:rPr>
          <w:iCs/>
          <w:i/>
        </w:rPr>
        <w:t xml:space="preserve">treats its input standards symmetrically, and that</w:t>
      </w:r>
      <w:r>
        <w:rPr>
          <w:iCs/>
          <w:i/>
        </w:rPr>
        <w:t xml:space="preserve"> </w:t>
      </w:r>
      <m:oMath>
        <m:r>
          <m:t>f</m:t>
        </m:r>
      </m:oMath>
      <w:r>
        <w:rPr>
          <w:iCs/>
          <w:i/>
        </w:rPr>
        <w:t xml:space="preserve"> </w:t>
      </w:r>
      <w:r>
        <w:rPr>
          <w:iCs/>
          <w:i/>
        </w:rPr>
        <w:t xml:space="preserve">and</w:t>
      </w:r>
      <w:r>
        <w:rPr>
          <w:iCs/>
          <w:i/>
        </w:rPr>
        <w:t xml:space="preserve"> </w:t>
      </w:r>
      <m:oMath>
        <m:r>
          <m:t>σ</m:t>
        </m:r>
      </m:oMath>
      <w:r>
        <w:rPr>
          <w:iCs/>
          <w:i/>
        </w:rPr>
        <w:t xml:space="preserve"> </w:t>
      </w:r>
      <w:r>
        <w:rPr>
          <w:iCs/>
          <w:i/>
        </w:rPr>
        <w:t xml:space="preserve">do not depend on the target data. Then</w:t>
      </w:r>
      <w:r>
        <w:rPr>
          <w:iCs/>
          <w:i/>
        </w:rPr>
        <w:t xml:space="preserve"> </w:t>
      </w:r>
      <m:oMath>
        <m:r>
          <m:rPr>
            <m:sty m:val="p"/>
          </m:rPr>
          <m:t>Pr</m:t>
        </m:r>
        <m:r>
          <m:rPr>
            <m:sty m:val="p"/>
          </m:rPr>
          <m:t>{</m:t>
        </m:r>
        <m:sSub>
          <m:e>
            <m:r>
              <m:t>y</m:t>
            </m:r>
          </m:e>
          <m:sub>
            <m:r>
              <m:t>m</m:t>
            </m:r>
            <m:r>
              <m:rPr>
                <m:sty m:val="p"/>
              </m:rPr>
              <m:t>+</m:t>
            </m:r>
            <m:r>
              <m:t>1</m:t>
            </m:r>
          </m:sub>
        </m:sSub>
        <m:r>
          <m:rPr>
            <m:sty m:val="p"/>
          </m:rPr>
          <m:t>∈</m:t>
        </m:r>
        <m:acc>
          <m:accPr>
            <m:chr m:val="̂"/>
          </m:accPr>
          <m:e>
            <m:r>
              <m:t>C</m:t>
            </m:r>
          </m:e>
        </m:acc>
        <m:d>
          <m:dPr>
            <m:begChr m:val="("/>
            <m:endChr m:val=")"/>
            <m:sepChr m:val=""/>
            <m:grow/>
          </m:dPr>
          <m:e>
            <m:sSubSup>
              <m:e>
                <m:r>
                  <m:rPr>
                    <m:sty m:val="b"/>
                  </m:rPr>
                  <m:t>x</m:t>
                </m:r>
              </m:e>
              <m:sub>
                <m:r>
                  <m:t>m</m:t>
                </m:r>
                <m:r>
                  <m:rPr>
                    <m:sty m:val="p"/>
                  </m:rPr>
                  <m:t>+</m:t>
                </m:r>
                <m:r>
                  <m:t>1</m:t>
                </m:r>
              </m:sub>
              <m:sup>
                <m:r>
                  <m:t>T</m:t>
                </m:r>
              </m:sup>
            </m:sSubSup>
          </m:e>
        </m:d>
        <m:r>
          <m:rPr>
            <m:sty m:val="p"/>
          </m:rPr>
          <m:t>}</m:t>
        </m:r>
        <m:r>
          <m:rPr>
            <m:sty m:val="p"/>
          </m:rPr>
          <m:t>≥</m:t>
        </m:r>
        <m:r>
          <m:t>1</m:t>
        </m:r>
        <m:r>
          <m:rPr>
            <m:sty m:val="p"/>
          </m:rPr>
          <m:t>−</m:t>
        </m:r>
        <m:r>
          <m:t>2</m:t>
        </m:r>
        <m:r>
          <m:t>α</m:t>
        </m:r>
      </m:oMath>
      <w:r>
        <w:rPr>
          <w:iCs/>
          <w:i/>
        </w:rPr>
        <w:t xml:space="preserve">.</w:t>
      </w:r>
    </w:p>
    <w:p>
      <w:pPr>
        <w:pStyle w:val="BodyText"/>
      </w:pPr>
      <w:r>
        <w:rPr>
          <w:iCs/>
          <w:i/>
        </w:rPr>
        <w:t xml:space="preserve">Proof sketch.</w:t>
      </w:r>
      <w:r>
        <w:t xml:space="preserve"> </w:t>
      </w:r>
      <w:r>
        <w:t xml:space="preserve">Fix the source model and</w:t>
      </w:r>
      <w:r>
        <w:t xml:space="preserve"> </w:t>
      </w:r>
      <m:oMath>
        <m:r>
          <m:t>σ</m:t>
        </m:r>
      </m:oMath>
      <w:r>
        <w:t xml:space="preserve">, and view</w:t>
      </w:r>
      <w:r>
        <w:t xml:space="preserve"> </w:t>
      </w:r>
      <m:oMath>
        <m:r>
          <m:rPr>
            <m:sty m:val="p"/>
            <m:scr m:val="script"/>
          </m:rPr>
          <m:t>A</m:t>
        </m:r>
        <m:r>
          <m:rPr>
            <m:sty m:val="p"/>
          </m:rPr>
          <m:t>:</m:t>
        </m:r>
        <m:r>
          <m:rPr>
            <m:sty m:val="p"/>
            <m:scr m:val="script"/>
          </m:rPr>
          <m:t>D</m:t>
        </m:r>
        <m:r>
          <m:rPr>
            <m:sty m:val="p"/>
          </m:rPr>
          <m:t>↦</m:t>
        </m:r>
        <m:d>
          <m:dPr>
            <m:begChr m:val="("/>
            <m:endChr m:val=")"/>
            <m:sepChr m:val=""/>
            <m:grow/>
          </m:dPr>
          <m:e>
            <m:sSub>
              <m:e>
                <m:r>
                  <m:t>μ</m:t>
                </m:r>
              </m:e>
              <m:sub>
                <m:r>
                  <m:rPr>
                    <m:sty m:val="p"/>
                    <m:scr m:val="script"/>
                  </m:rPr>
                  <m:t>D</m:t>
                </m:r>
              </m:sub>
            </m:sSub>
            <m:r>
              <m:rPr>
                <m:sty m:val="p"/>
              </m:rPr>
              <m:t>,</m:t>
            </m:r>
            <m:sSub>
              <m:e>
                <m:r>
                  <m:t>σ</m:t>
                </m:r>
              </m:e>
              <m:sub>
                <m:r>
                  <m:rPr>
                    <m:sty m:val="p"/>
                    <m:scr m:val="script"/>
                  </m:rPr>
                  <m:t>D</m:t>
                </m:r>
              </m:sub>
            </m:sSub>
          </m:e>
        </m:d>
      </m:oMath>
      <w:r>
        <w:t xml:space="preserve"> </w:t>
      </w:r>
      <w:r>
        <w:t xml:space="preserve">as a symmetric regression algorithm acting on the augmented standards. Define, for</w:t>
      </w:r>
      <w:r>
        <w:t xml:space="preserve"> </w:t>
      </w:r>
      <m:oMath>
        <m:r>
          <m:t>i</m:t>
        </m:r>
        <m:r>
          <m:rPr>
            <m:sty m:val="p"/>
          </m:rPr>
          <m:t>≠</m:t>
        </m:r>
        <m:r>
          <m:t>j</m:t>
        </m:r>
      </m:oMath>
      <w:r>
        <w:t xml:space="preserve">, the score of point</w:t>
      </w:r>
      <w:r>
        <w:t xml:space="preserve"> </w:t>
      </w:r>
      <m:oMath>
        <m:r>
          <m:t>i</m:t>
        </m:r>
      </m:oMath>
      <w:r>
        <w:t xml:space="preserve"> </w:t>
      </w:r>
      <w:r>
        <w:t xml:space="preserve">under the fit without</w:t>
      </w:r>
      <w:r>
        <w:t xml:space="preserve"> </w:t>
      </w:r>
      <m:oMath>
        <m:r>
          <m:rPr>
            <m:sty m:val="p"/>
          </m:rPr>
          <m:t>{</m:t>
        </m:r>
        <m:r>
          <m:t>i</m:t>
        </m:r>
        <m:r>
          <m:rPr>
            <m:sty m:val="p"/>
          </m:rPr>
          <m:t>,</m:t>
        </m:r>
        <m:r>
          <m:t>j</m:t>
        </m:r>
        <m:r>
          <m:rPr>
            <m:sty m:val="p"/>
          </m:rPr>
          <m:t>}</m:t>
        </m:r>
      </m:oMath>
      <w:r>
        <w:t xml:space="preserve">,</w:t>
      </w:r>
      <w:r>
        <w:t xml:space="preserve"> </w:t>
      </w:r>
      <m:oMath>
        <m:sSub>
          <m:e>
            <m:r>
              <m:t>R</m:t>
            </m:r>
          </m:e>
          <m:sub>
            <m:r>
              <m:t>i</m:t>
            </m:r>
            <m:r>
              <m:t>j</m:t>
            </m:r>
          </m:sub>
        </m:sSub>
        <m:r>
          <m:rPr>
            <m:sty m:val="p"/>
          </m:rPr>
          <m:t>=</m:t>
        </m:r>
        <m:r>
          <m:rPr>
            <m:sty m:val="p"/>
          </m:rPr>
          <m:t>|</m:t>
        </m:r>
        <m:sSub>
          <m:e>
            <m:r>
              <m:t>y</m:t>
            </m:r>
          </m:e>
          <m:sub>
            <m:r>
              <m:t>i</m:t>
            </m:r>
          </m:sub>
        </m:sSub>
        <m:r>
          <m:rPr>
            <m:sty m:val="p"/>
          </m:rPr>
          <m:t>−</m:t>
        </m:r>
        <m:sSub>
          <m:e>
            <m:r>
              <m:t>μ</m:t>
            </m:r>
          </m:e>
          <m:sub>
            <m:r>
              <m:rPr>
                <m:sty m:val="p"/>
              </m:rPr>
              <m:t>−</m:t>
            </m:r>
            <m:r>
              <m:t>i</m:t>
            </m:r>
            <m:r>
              <m:t>j</m:t>
            </m:r>
          </m:sub>
        </m:sSub>
        <m:d>
          <m:dPr>
            <m:begChr m:val="("/>
            <m:endChr m:val=")"/>
            <m:sepChr m:val=""/>
            <m:grow/>
          </m:dPr>
          <m:e>
            <m:sSub>
              <m:e>
                <m:r>
                  <m:rPr>
                    <m:sty m:val="b"/>
                  </m:rPr>
                  <m:t>x</m:t>
                </m:r>
              </m:e>
              <m:sub>
                <m:r>
                  <m:t>i</m:t>
                </m:r>
              </m:sub>
            </m:sSub>
          </m:e>
        </m:d>
        <m:r>
          <m:rPr>
            <m:sty m:val="p"/>
          </m:rPr>
          <m:t>|</m:t>
        </m:r>
        <m:r>
          <m:rPr>
            <m:sty m:val="p"/>
          </m:rPr>
          <m:t>/</m:t>
        </m:r>
        <m:sSub>
          <m:e>
            <m:r>
              <m:t>σ</m:t>
            </m:r>
          </m:e>
          <m:sub>
            <m:r>
              <m:rPr>
                <m:sty m:val="p"/>
              </m:rPr>
              <m:t>−</m:t>
            </m:r>
            <m:r>
              <m:t>i</m:t>
            </m:r>
            <m:r>
              <m:t>j</m:t>
            </m:r>
          </m:sub>
        </m:sSub>
        <m:d>
          <m:dPr>
            <m:begChr m:val="("/>
            <m:endChr m:val=")"/>
            <m:sepChr m:val=""/>
            <m:grow/>
          </m:dPr>
          <m:e>
            <m:sSub>
              <m:e>
                <m:r>
                  <m:rPr>
                    <m:sty m:val="b"/>
                  </m:rPr>
                  <m:t>x</m:t>
                </m:r>
              </m:e>
              <m:sub>
                <m:r>
                  <m:t>i</m:t>
                </m:r>
              </m:sub>
            </m:sSub>
          </m:e>
        </m:d>
      </m:oMath>
      <w:r>
        <w:t xml:space="preserve">. If</w:t>
      </w:r>
      <w:r>
        <w:t xml:space="preserve"> </w:t>
      </w:r>
      <m:oMath>
        <m:sSub>
          <m:e>
            <m:r>
              <m:t>y</m:t>
            </m:r>
          </m:e>
          <m:sub>
            <m:r>
              <m:t>m</m:t>
            </m:r>
            <m:r>
              <m:rPr>
                <m:sty m:val="p"/>
              </m:rPr>
              <m:t>+</m:t>
            </m:r>
            <m:r>
              <m:t>1</m:t>
            </m:r>
          </m:sub>
        </m:sSub>
        <m:r>
          <m:rPr>
            <m:sty m:val="p"/>
          </m:rPr>
          <m:t>∉</m:t>
        </m:r>
        <m:acc>
          <m:accPr>
            <m:chr m:val="̂"/>
          </m:accPr>
          <m:e>
            <m:r>
              <m:t>C</m:t>
            </m:r>
          </m:e>
        </m:acc>
      </m:oMath>
      <w:r>
        <w:t xml:space="preserve">, then</w:t>
      </w:r>
      <w:r>
        <w:t xml:space="preserve"> </w:t>
      </w:r>
      <m:oMath>
        <m:sSub>
          <m:e>
            <m:r>
              <m:t>R</m:t>
            </m:r>
          </m:e>
          <m:sub>
            <m:r>
              <m:t>m</m:t>
            </m:r>
            <m:r>
              <m:rPr>
                <m:sty m:val="p"/>
              </m:rPr>
              <m:t>+</m:t>
            </m:r>
            <m:r>
              <m:t>1</m:t>
            </m:r>
            <m:r>
              <m:rPr>
                <m:sty m:val="p"/>
              </m:rPr>
              <m:t>,</m:t>
            </m:r>
            <m:r>
              <m:t>i</m:t>
            </m:r>
          </m:sub>
        </m:sSub>
        <m:r>
          <m:rPr>
            <m:sty m:val="p"/>
          </m:rPr>
          <m:t>&gt;</m:t>
        </m:r>
        <m:sSub>
          <m:e>
            <m:r>
              <m:t>R</m:t>
            </m:r>
          </m:e>
          <m:sub>
            <m:r>
              <m:t>i</m:t>
            </m:r>
            <m:r>
              <m:rPr>
                <m:sty m:val="p"/>
              </m:rPr>
              <m:t>,</m:t>
            </m:r>
            <m:r>
              <m:t>m</m:t>
            </m:r>
            <m:r>
              <m:rPr>
                <m:sty m:val="p"/>
              </m:rPr>
              <m:t>+</m:t>
            </m:r>
            <m:r>
              <m:t>1</m:t>
            </m:r>
          </m:sub>
        </m:sSub>
      </m:oMath>
      <w:r>
        <w:t xml:space="preserve"> </w:t>
      </w:r>
      <w:r>
        <w:t xml:space="preserve">for at least</w:t>
      </w:r>
      <w:r>
        <w:t xml:space="preserve"> </w:t>
      </w:r>
      <m:oMath>
        <m:d>
          <m:dPr>
            <m:begChr m:val="("/>
            <m:endChr m:val=")"/>
            <m:sepChr m:val=""/>
            <m:grow/>
          </m:dPr>
          <m:e>
            <m:r>
              <m:t>1</m:t>
            </m:r>
            <m:r>
              <m:rPr>
                <m:sty m:val="p"/>
              </m:rPr>
              <m:t>−</m:t>
            </m:r>
            <m:r>
              <m:t>α</m:t>
            </m:r>
          </m:e>
        </m:d>
        <m:d>
          <m:dPr>
            <m:begChr m:val="("/>
            <m:endChr m:val=")"/>
            <m:sepChr m:val=""/>
            <m:grow/>
          </m:dPr>
          <m:e>
            <m:r>
              <m:t>m</m:t>
            </m:r>
            <m:r>
              <m:rPr>
                <m:sty m:val="p"/>
              </m:rPr>
              <m:t>+</m:t>
            </m:r>
            <m:r>
              <m:t>1</m:t>
            </m:r>
          </m:e>
        </m:d>
      </m:oMath>
      <w:r>
        <w:t xml:space="preserve"> </w:t>
      </w:r>
      <w:r>
        <w:t xml:space="preserve">indices</w:t>
      </w:r>
      <w:r>
        <w:t xml:space="preserve"> </w:t>
      </w:r>
      <m:oMath>
        <m:r>
          <m:t>i</m:t>
        </m:r>
      </m:oMath>
      <w:r>
        <w:t xml:space="preserve">. Because the matrix</w:t>
      </w:r>
      <w:r>
        <w:t xml:space="preserve"> </w:t>
      </w:r>
      <m:oMath>
        <m:d>
          <m:dPr>
            <m:begChr m:val="("/>
            <m:endChr m:val=")"/>
            <m:sepChr m:val=""/>
            <m:grow/>
          </m:dPr>
          <m:e>
            <m:sSub>
              <m:e>
                <m:r>
                  <m:t>R</m:t>
                </m:r>
              </m:e>
              <m:sub>
                <m:r>
                  <m:t>i</m:t>
                </m:r>
                <m:r>
                  <m:t>j</m:t>
                </m:r>
              </m:sub>
            </m:sSub>
          </m:e>
        </m:d>
      </m:oMath>
      <w:r>
        <w:t xml:space="preserve"> </w:t>
      </w:r>
      <w:r>
        <w:t xml:space="preserve">is exchangeable under permutations of the</w:t>
      </w:r>
      <w:r>
        <w:t xml:space="preserve"> </w:t>
      </w:r>
      <m:oMath>
        <m:r>
          <m:t>m</m:t>
        </m:r>
        <m:r>
          <m:rPr>
            <m:sty m:val="p"/>
          </m:rPr>
          <m:t>+</m:t>
        </m:r>
        <m:r>
          <m:t>1</m:t>
        </m:r>
      </m:oMath>
      <w:r>
        <w:t xml:space="preserve"> </w:t>
      </w:r>
      <w:r>
        <w:t xml:space="preserve">points, the counting argument of Barber et al.</w:t>
      </w:r>
      <w:r>
        <w:t xml:space="preserve"> </w:t>
      </w:r>
      <w:r>
        <w:t xml:space="preserve">[32, Thm. 1]</w:t>
      </w:r>
      <w:r>
        <w:t xml:space="preserve"> </w:t>
      </w:r>
      <w:r>
        <w:t xml:space="preserve">bounds the probability of this event by</w:t>
      </w:r>
      <w:r>
        <w:t xml:space="preserve"> </w:t>
      </w:r>
      <m:oMath>
        <m:r>
          <m:t>2</m:t>
        </m:r>
        <m:r>
          <m:t>α</m:t>
        </m:r>
      </m:oMath>
      <w:r>
        <w:t xml:space="preserve">. A step-by-step proof, including the role of</w:t>
      </w:r>
      <w:r>
        <w:t xml:space="preserve"> </w:t>
      </w:r>
      <m:oMath>
        <m:r>
          <m:t>ε</m:t>
        </m:r>
        <m:r>
          <m:rPr>
            <m:sty m:val="p"/>
          </m:rPr>
          <m:t>&gt;</m:t>
        </m:r>
        <m:r>
          <m:t>0</m:t>
        </m:r>
      </m:oMath>
      <w:r>
        <w:t xml:space="preserve"> </w:t>
      </w:r>
      <w:r>
        <w:t xml:space="preserve">and of the paired master spectrum, is given in Appendix A.</w:t>
      </w:r>
      <w:r>
        <w:t xml:space="preserve"> </w:t>
      </w:r>
      <m:oMath>
        <m:r>
          <m:rPr>
            <m:sty m:val="p"/>
          </m:rPr>
          <m:t>▫</m:t>
        </m:r>
      </m:oMath>
    </w:p>
    <w:p>
      <w:pPr>
        <w:pStyle w:val="BodyText"/>
      </w:pPr>
      <w:r>
        <w:t xml:space="preserve">Three remarks clarify the scope of the guarantee.</w:t>
      </w:r>
    </w:p>
    <w:p>
      <w:pPr>
        <w:numPr>
          <w:ilvl w:val="0"/>
          <w:numId w:val="1005"/>
        </w:numPr>
      </w:pPr>
      <w:r>
        <w:rPr>
          <w:bCs/>
          <w:b/>
        </w:rPr>
        <w:t xml:space="preserve">No transfer step.</w:t>
      </w:r>
      <w:r>
        <w:t xml:space="preserve"> </w:t>
      </w:r>
      <w:r>
        <w:t xml:space="preserve">When there is no transfer (</w:t>
      </w:r>
      <m:oMath>
        <m:sSub>
          <m:e>
            <m:r>
              <m:t>μ</m:t>
            </m:r>
          </m:e>
          <m:sub>
            <m:r>
              <m:rPr>
                <m:sty m:val="p"/>
              </m:rPr>
              <m:t>−</m:t>
            </m:r>
            <m:r>
              <m:t>i</m:t>
            </m:r>
          </m:sub>
        </m:sSub>
        <m:r>
          <m:rPr>
            <m:sty m:val="p"/>
          </m:rPr>
          <m:t>=</m:t>
        </m:r>
        <m:r>
          <m:t>f</m:t>
        </m:r>
      </m:oMath>
      <w:r>
        <w:t xml:space="preserve">), TJ+ reduces to split conformal prediction that uses</w:t>
      </w:r>
      <w:r>
        <w:t xml:space="preserve"> </w:t>
      </w:r>
      <w:r>
        <w:rPr>
          <w:iCs/>
          <w:i/>
        </w:rPr>
        <w:t xml:space="preserve">all</w:t>
      </w:r>
      <w:r>
        <w:t xml:space="preserve"> </w:t>
      </w:r>
      <m:oMath>
        <m:r>
          <m:t>m</m:t>
        </m:r>
      </m:oMath>
      <w:r>
        <w:t xml:space="preserve"> </w:t>
      </w:r>
      <w:r>
        <w:t xml:space="preserve">standards for calibration, with exact</w:t>
      </w:r>
      <w:r>
        <w:t xml:space="preserve"> </w:t>
      </w:r>
      <m:oMath>
        <m:r>
          <m:t>1</m:t>
        </m:r>
        <m:r>
          <m:rPr>
            <m:sty m:val="p"/>
          </m:rPr>
          <m:t>−</m:t>
        </m:r>
        <m:r>
          <m:t>α</m:t>
        </m:r>
      </m:oMath>
      <w:r>
        <w:t xml:space="preserve"> </w:t>
      </w:r>
      <w:r>
        <w:t xml:space="preserve">coverage.</w:t>
      </w:r>
    </w:p>
    <w:p>
      <w:pPr>
        <w:numPr>
          <w:ilvl w:val="0"/>
          <w:numId w:val="1005"/>
        </w:numPr>
      </w:pPr>
      <w:r>
        <w:rPr>
          <w:bCs/>
          <w:b/>
        </w:rPr>
        <w:t xml:space="preserve">Minimum number of standards.</w:t>
      </w:r>
      <w:r>
        <w:t xml:space="preserve"> </w:t>
      </w:r>
      <w:r>
        <w:t xml:space="preserve">Finite upper bounds require</w:t>
      </w:r>
      <w:r>
        <w:t xml:space="preserve"> </w:t>
      </w:r>
      <m:oMath>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r>
          <m:rPr>
            <m:sty m:val="p"/>
          </m:rPr>
          <m:t>⌉</m:t>
        </m:r>
        <m:r>
          <m:rPr>
            <m:sty m:val="p"/>
          </m:rPr>
          <m:t>≤</m:t>
        </m:r>
        <m:r>
          <m:t>m</m:t>
        </m:r>
      </m:oMath>
      <w:r>
        <w:t xml:space="preserve">, i.e. </w:t>
      </w:r>
      <m:oMath>
        <m:r>
          <m:t>m</m:t>
        </m:r>
        <m:r>
          <m:rPr>
            <m:sty m:val="p"/>
          </m:rPr>
          <m:t>≥</m:t>
        </m:r>
        <m:r>
          <m:t>9</m:t>
        </m:r>
      </m:oMath>
      <w:r>
        <w:t xml:space="preserve"> </w:t>
      </w:r>
      <w:r>
        <w:t xml:space="preserve">for α = 0.1 and</w:t>
      </w:r>
      <w:r>
        <w:t xml:space="preserve"> </w:t>
      </w:r>
      <m:oMath>
        <m:r>
          <m:t>m</m:t>
        </m:r>
        <m:r>
          <m:rPr>
            <m:sty m:val="p"/>
          </m:rPr>
          <m:t>≥</m:t>
        </m:r>
        <m:r>
          <m:t>19</m:t>
        </m:r>
      </m:oMath>
      <w:r>
        <w:t xml:space="preserve"> </w:t>
      </w:r>
      <w:r>
        <w:t xml:space="preserve">for α = 0.05. Splitting the standards in half (SCP-T-split, §2.4) needs twice as many.</w:t>
      </w:r>
    </w:p>
    <w:p>
      <w:pPr>
        <w:numPr>
          <w:ilvl w:val="0"/>
          <w:numId w:val="1005"/>
        </w:numPr>
      </w:pPr>
      <w:r>
        <w:rPr>
          <w:bCs/>
          <w:b/>
        </w:rPr>
        <w:t xml:space="preserve">Conditions are not automatic.</w:t>
      </w:r>
      <w:r>
        <w:t xml:space="preserve"> </w:t>
      </w:r>
      <w:r>
        <w:t xml:space="preserve">Exchangeability is a property of how the standards are chosen. Representative-design selection, such as Kennard–Stone</w:t>
      </w:r>
      <w:r>
        <w:t xml:space="preserve"> </w:t>
      </w:r>
      <w:r>
        <w:t xml:space="preserve">[34]</w:t>
      </w:r>
      <w:r>
        <w:t xml:space="preserve">, is not covered by Proposition 1 and is examined empirically (§4.5). The bound is also marginal: it holds on average over the draw of standards and the test sample, not conditionally on a particular set of standards.</w:t>
      </w:r>
    </w:p>
    <w:p>
      <w:pPr>
        <w:pStyle w:val="CaptionedFigure"/>
        <w:keepNext/>
        <w:jc w:val="center"/>
      </w:pPr>
      <w:r>
        <w:drawing>
          <wp:inline>
            <wp:extent cx="5753100" cy="2498318"/>
            <wp:effectExtent b="0" l="0" r="0" t="0"/>
            <wp:docPr descr="Fig. 1. Transfer jackknife+ (TJ+N). Only the transfer step is re-fitted in the leave-one-standard-out loop; the source model and the difficulty function σ are fixed beforehand from source data." title="" id="25" name="Picture"/>
            <a:graphic>
              <a:graphicData uri="http://schemas.openxmlformats.org/drawingml/2006/picture">
                <pic:pic>
                  <pic:nvPicPr>
                    <pic:cNvPr descr="figures/fig1_workflow.png" id="26" name="Picture"/>
                    <pic:cNvPicPr>
                      <a:picLocks noChangeArrowheads="1" noChangeAspect="1"/>
                    </pic:cNvPicPr>
                  </pic:nvPicPr>
                  <pic:blipFill>
                    <a:blip r:embed="rId24"/>
                    <a:stretch>
                      <a:fillRect/>
                    </a:stretch>
                  </pic:blipFill>
                  <pic:spPr bwMode="auto">
                    <a:xfrm>
                      <a:off x="0" y="0"/>
                      <a:ext cx="5753100" cy="2498318"/>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Transfer jackknife+ (TJ+N). Only the transfer step is re-fitted in the leave-one-standard-out loop; the source model and the difficulty function σ are fixed beforehand from source data.</w:t>
      </w:r>
    </w:p>
    <w:bookmarkEnd w:id="27"/>
    <w:bookmarkStart w:id="28" w:name="comparison-methods"/>
    <w:p>
      <w:pPr>
        <w:pStyle w:val="Heading2"/>
      </w:pPr>
      <w:r>
        <w:t xml:space="preserve">2.4. Comparison methods</w:t>
      </w:r>
    </w:p>
    <w:p>
      <w:pPr>
        <w:pStyle w:val="FirstParagraph"/>
      </w:pPr>
      <w:r>
        <w:t xml:space="preserve">All methods share the same deployed point predictor</w:t>
      </w:r>
      <w:r>
        <w:t xml:space="preserve"> </w:t>
      </w:r>
      <m:oMath>
        <m:sSub>
          <m:e>
            <m:r>
              <m:t>μ</m:t>
            </m:r>
          </m:e>
          <m:sub>
            <m:r>
              <m:rPr>
                <m:sty m:val="p"/>
                <m:scr m:val="script"/>
              </m:rPr>
              <m:t>D</m:t>
            </m:r>
          </m:sub>
        </m:sSub>
      </m:oMath>
      <w:r>
        <w:t xml:space="preserve"> </w:t>
      </w:r>
      <w:r>
        <w:t xml:space="preserve">fitted on all</w:t>
      </w:r>
      <w:r>
        <w:t xml:space="preserve"> </w:t>
      </w:r>
      <m:oMath>
        <m:r>
          <m:t>m</m:t>
        </m:r>
      </m:oMath>
      <w:r>
        <w:t xml:space="preserve"> </w:t>
      </w:r>
      <w:r>
        <w:t xml:space="preserve">standards. They differ only in the interval.</w:t>
      </w:r>
    </w:p>
    <w:p>
      <w:pPr>
        <w:numPr>
          <w:ilvl w:val="0"/>
          <w:numId w:val="1006"/>
        </w:numPr>
      </w:pPr>
      <w:r>
        <w:rPr>
          <w:bCs/>
          <w:b/>
        </w:rPr>
        <w:t xml:space="preserve">ASTM-PI</w:t>
      </w:r>
      <w:r>
        <w:t xml:space="preserve"> </w:t>
      </w:r>
      <w:r>
        <w:t xml:space="preserve">(classical parametric):</w:t>
      </w:r>
      <w:r>
        <w:t xml:space="preserve"> </w:t>
      </w:r>
      <m:oMath>
        <m:r>
          <m:t>μ</m:t>
        </m:r>
        <m:d>
          <m:dPr>
            <m:begChr m:val="("/>
            <m:endChr m:val=")"/>
            <m:sepChr m:val=""/>
            <m:grow/>
          </m:dPr>
          <m:e>
            <m:r>
              <m:rPr>
                <m:sty m:val="b"/>
              </m:rPr>
              <m:t>x</m:t>
            </m:r>
          </m:e>
        </m:d>
        <m:r>
          <m:rPr>
            <m:sty m:val="p"/>
          </m:rPr>
          <m:t>±</m:t>
        </m:r>
        <m:sSub>
          <m:e>
            <m:r>
              <m:t>t</m:t>
            </m:r>
          </m:e>
          <m:sub>
            <m:r>
              <m:t>1</m:t>
            </m:r>
            <m:r>
              <m:rPr>
                <m:sty m:val="p"/>
              </m:rPr>
              <m:t>−</m:t>
            </m:r>
            <m:r>
              <m:t>α</m:t>
            </m:r>
            <m:r>
              <m:rPr>
                <m:sty m:val="p"/>
              </m:rPr>
              <m:t>/</m:t>
            </m:r>
            <m:r>
              <m:t>2</m:t>
            </m:r>
            <m:r>
              <m:rPr>
                <m:sty m:val="p"/>
              </m:rPr>
              <m:t>,</m:t>
            </m:r>
            <m:r>
              <m:t> </m:t>
            </m:r>
            <m:r>
              <m:t>n</m:t>
            </m:r>
            <m:r>
              <m:rPr>
                <m:sty m:val="p"/>
              </m:rPr>
              <m:t>−</m:t>
            </m:r>
            <m:r>
              <m:t>A</m:t>
            </m:r>
            <m:r>
              <m:rPr>
                <m:sty m:val="p"/>
              </m:rPr>
              <m:t>−</m:t>
            </m:r>
            <m:r>
              <m:t>1</m:t>
            </m:r>
          </m:sub>
        </m:sSub>
        <m:r>
          <m:t> </m:t>
        </m:r>
        <m:r>
          <m:rPr>
            <m:sty m:val="p"/>
          </m:rPr>
          <m:t>S</m:t>
        </m:r>
        <m:r>
          <m:rPr>
            <m:sty m:val="p"/>
          </m:rPr>
          <m:t>E</m:t>
        </m:r>
        <m:r>
          <m:rPr>
            <m:sty m:val="p"/>
          </m:rPr>
          <m:t>C</m:t>
        </m:r>
        <m:rad>
          <m:radPr>
            <m:degHide m:val="on"/>
          </m:radPr>
          <m:deg/>
          <m:e>
            <m:r>
              <m:t>1</m:t>
            </m:r>
            <m:r>
              <m:rPr>
                <m:sty m:val="p"/>
              </m:rPr>
              <m:t>+</m:t>
            </m:r>
            <m:r>
              <m:t>h</m:t>
            </m:r>
            <m:d>
              <m:dPr>
                <m:begChr m:val="("/>
                <m:endChr m:val=")"/>
                <m:sepChr m:val=""/>
                <m:grow/>
              </m:dPr>
              <m:e>
                <m:r>
                  <m:rPr>
                    <m:sty m:val="b"/>
                  </m:rPr>
                  <m:t>x</m:t>
                </m:r>
              </m:e>
            </m:d>
          </m:e>
        </m:rad>
      </m:oMath>
      <w:r>
        <w:t xml:space="preserve">, with the source standard error of calibration and the leverage</w:t>
      </w:r>
      <w:r>
        <w:t xml:space="preserve"> </w:t>
      </w:r>
      <m:oMath>
        <m:r>
          <m:t>h</m:t>
        </m:r>
      </m:oMath>
      <w:r>
        <w:t xml:space="preserve"> </w:t>
      </w:r>
      <w:r>
        <w:t xml:space="preserve">of the transferred spectrum</w:t>
      </w:r>
      <w:r>
        <w:t xml:space="preserve"> </w:t>
      </w:r>
      <w:r>
        <w:t xml:space="preserve">[16]</w:t>
      </w:r>
      <w:r>
        <w:t xml:space="preserve">. For ridge models, the leverage and degrees of freedom of the companion PLS model are used (an approximation).</w:t>
      </w:r>
    </w:p>
    <w:p>
      <w:pPr>
        <w:numPr>
          <w:ilvl w:val="0"/>
          <w:numId w:val="1006"/>
        </w:numPr>
      </w:pPr>
      <w:r>
        <w:rPr>
          <w:bCs/>
          <w:b/>
        </w:rPr>
        <w:t xml:space="preserve">SCP-S:</w:t>
      </w:r>
      <w:r>
        <w:t xml:space="preserve"> </w:t>
      </w:r>
      <w:r>
        <w:t xml:space="preserve">split conformal prediction with the pooled source residuals (out-of-fold residuals of the source training set plus source-calibration residuals), assuming no shift</w:t>
      </w:r>
      <w:r>
        <w:t xml:space="preserve"> </w:t>
      </w:r>
      <w:r>
        <w:t xml:space="preserve">[18]</w:t>
      </w:r>
      <w:r>
        <w:t xml:space="preserve">.</w:t>
      </w:r>
    </w:p>
    <w:p>
      <w:pPr>
        <w:numPr>
          <w:ilvl w:val="0"/>
          <w:numId w:val="1006"/>
        </w:numPr>
      </w:pPr>
      <w:r>
        <w:rPr>
          <w:bCs/>
          <w:b/>
        </w:rPr>
        <w:t xml:space="preserve">WCP-S:</w:t>
      </w:r>
      <w:r>
        <w:t xml:space="preserve"> </w:t>
      </w:r>
      <w:r>
        <w:t xml:space="preserve">weighted conformal prediction for covariate shift</w:t>
      </w:r>
      <w:r>
        <w:t xml:space="preserve"> </w:t>
      </w:r>
      <w:r>
        <w:t xml:space="preserve">[28]</w:t>
      </w:r>
      <w:r>
        <w:t xml:space="preserve">. Likelihood ratios come from a logistic domain classifier on the PLS scores of source spectra versus transferred, unlabelled target spectra; the test spectra themselves are included (transductive use).</w:t>
      </w:r>
    </w:p>
    <w:p>
      <w:pPr>
        <w:numPr>
          <w:ilvl w:val="0"/>
          <w:numId w:val="1006"/>
        </w:numPr>
      </w:pPr>
      <w:r>
        <w:rPr>
          <w:bCs/>
          <w:b/>
        </w:rPr>
        <w:t xml:space="preserve">Transport:</w:t>
      </w:r>
      <w:r>
        <w:t xml:space="preserve"> </w:t>
      </w:r>
      <w:r>
        <w:t xml:space="preserve">a regression analogue of transported conformal calibration</w:t>
      </w:r>
      <w:r>
        <w:t xml:space="preserve"> </w:t>
      </w:r>
      <w:r>
        <w:t xml:space="preserve">[31]</w:t>
      </w:r>
      <w:r>
        <w:t xml:space="preserve">. Source-calibration spectra are mapped into the target space by a master→secondary PDS fitted on the standards, passed through the deployed pipeline, and their residuals calibrate a split-conformal quantile. It applies to paired transfers only. This baseline implements only the transport idea of</w:t>
      </w:r>
      <w:r>
        <w:t xml:space="preserve"> </w:t>
      </w:r>
      <w:r>
        <w:t xml:space="preserve">[31]</w:t>
      </w:r>
      <w:r>
        <w:t xml:space="preserve">; the mismatch correction (TCC-KS) and weighting proposed there for classification were not adapted to regression here.</w:t>
      </w:r>
    </w:p>
    <w:p>
      <w:pPr>
        <w:numPr>
          <w:ilvl w:val="0"/>
          <w:numId w:val="1006"/>
        </w:numPr>
      </w:pPr>
      <w:r>
        <w:rPr>
          <w:bCs/>
          <w:b/>
        </w:rPr>
        <w:t xml:space="preserve">Gauss-LOO:</w:t>
      </w:r>
      <w:r>
        <w:t xml:space="preserve"> </w:t>
      </w:r>
      <m:oMath>
        <m:r>
          <m:t>μ</m:t>
        </m:r>
        <m:d>
          <m:dPr>
            <m:begChr m:val="("/>
            <m:endChr m:val=")"/>
            <m:sepChr m:val=""/>
            <m:grow/>
          </m:dPr>
          <m:e>
            <m:r>
              <m:rPr>
                <m:sty m:val="b"/>
              </m:rPr>
              <m:t>x</m:t>
            </m:r>
          </m:e>
        </m:d>
        <m:r>
          <m:rPr>
            <m:sty m:val="p"/>
          </m:rPr>
          <m:t>±</m:t>
        </m:r>
        <m:sSub>
          <m:e>
            <m:r>
              <m:t>t</m:t>
            </m:r>
          </m:e>
          <m:sub>
            <m:r>
              <m:t>1</m:t>
            </m:r>
            <m:r>
              <m:rPr>
                <m:sty m:val="p"/>
              </m:rPr>
              <m:t>−</m:t>
            </m:r>
            <m:r>
              <m:t>α</m:t>
            </m:r>
            <m:r>
              <m:rPr>
                <m:sty m:val="p"/>
              </m:rPr>
              <m:t>/</m:t>
            </m:r>
            <m:r>
              <m:t>2</m:t>
            </m:r>
            <m:r>
              <m:rPr>
                <m:sty m:val="p"/>
              </m:rPr>
              <m:t>,</m:t>
            </m:r>
            <m:r>
              <m:t> </m:t>
            </m:r>
            <m:r>
              <m:t>m</m:t>
            </m:r>
            <m:r>
              <m:rPr>
                <m:sty m:val="p"/>
              </m:rPr>
              <m:t>−</m:t>
            </m:r>
            <m:r>
              <m:t>1</m:t>
            </m:r>
          </m:sub>
        </m:sSub>
        <m:r>
          <m:t> </m:t>
        </m:r>
        <m:sSub>
          <m:e>
            <m:r>
              <m:rPr>
                <m:sty m:val="p"/>
              </m:rPr>
              <m:t>R</m:t>
            </m:r>
            <m:r>
              <m:rPr>
                <m:sty m:val="p"/>
              </m:rPr>
              <m:t>M</m:t>
            </m:r>
            <m:r>
              <m:rPr>
                <m:sty m:val="p"/>
              </m:rPr>
              <m:t>S</m:t>
            </m:r>
            <m:r>
              <m:rPr>
                <m:sty m:val="p"/>
              </m:rPr>
              <m:t>E</m:t>
            </m:r>
          </m:e>
          <m:sub>
            <m:r>
              <m:rPr>
                <m:nor/>
                <m:sty m:val="p"/>
              </m:rPr>
              <m:t>LOO</m:t>
            </m:r>
          </m:sub>
        </m:sSub>
      </m:oMath>
      <w:r>
        <w:t xml:space="preserve">, using the leave-one-standard-out residuals. This mimics the common practice of validating a transfer by its prediction error on check samples.</w:t>
      </w:r>
    </w:p>
    <w:p>
      <w:pPr>
        <w:numPr>
          <w:ilvl w:val="0"/>
          <w:numId w:val="1006"/>
        </w:numPr>
      </w:pPr>
      <w:r>
        <w:rPr>
          <w:bCs/>
          <w:b/>
        </w:rPr>
        <w:t xml:space="preserve">SCP-T-split(-N):</w:t>
      </w:r>
      <w:r>
        <w:t xml:space="preserve"> </w:t>
      </w:r>
      <w:r>
        <w:t xml:space="preserve">the standards are split at random into halves. The first half fits the transfer and the second half calibrates (normalised) split conformal prediction. This is valid, at the cost of halving both sets.</w:t>
      </w:r>
    </w:p>
    <w:p>
      <w:pPr>
        <w:numPr>
          <w:ilvl w:val="0"/>
          <w:numId w:val="1006"/>
        </w:numPr>
      </w:pPr>
      <w:r>
        <w:rPr>
          <w:bCs/>
          <w:b/>
        </w:rPr>
        <w:t xml:space="preserve">MC-dropout</w:t>
      </w:r>
      <w:r>
        <w:t xml:space="preserve"> </w:t>
      </w:r>
      <w:r>
        <w:t xml:space="preserve">(CNN only): Gaussian intervals from 100 stochastic forward passes plus the source residual variance</w:t>
      </w:r>
      <w:r>
        <w:t xml:space="preserve"> </w:t>
      </w:r>
      <w:r>
        <w:t xml:space="preserve">[35]</w:t>
      </w:r>
      <w:r>
        <w:t xml:space="preserve">, followed by SBC.</w:t>
      </w:r>
    </w:p>
    <w:p>
      <w:pPr>
        <w:pStyle w:val="FirstParagraph"/>
      </w:pPr>
      <w:r>
        <w:rPr>
          <w:bCs/>
          <w:b/>
        </w:rPr>
        <w:t xml:space="preserve">Ablations:</w:t>
      </w:r>
    </w:p>
    <w:p>
      <w:pPr>
        <w:numPr>
          <w:ilvl w:val="0"/>
          <w:numId w:val="1007"/>
        </w:numPr>
      </w:pPr>
      <w:r>
        <w:t xml:space="preserve">TJ-naive-N: full-fit centre with leave-one-out residual quantile, i.e. a jackknife without</w:t>
      </w:r>
      <w:r>
        <w:t xml:space="preserve"> </w:t>
      </w:r>
      <w:r>
        <w:t xml:space="preserve">“</w:t>
      </w:r>
      <w:r>
        <w:t xml:space="preserve">+</w:t>
      </w:r>
      <w:r>
        <w:t xml:space="preserve">”</w:t>
      </w:r>
      <w:r>
        <w:t xml:space="preserve">.</w:t>
      </w:r>
    </w:p>
    <w:p>
      <w:pPr>
        <w:numPr>
          <w:ilvl w:val="0"/>
          <w:numId w:val="1007"/>
        </w:numPr>
      </w:pPr>
      <w:r>
        <w:t xml:space="preserve">TJ-insample-N: residuals from the transfer fitted on all standards, without leave-one-out.</w:t>
      </w:r>
    </w:p>
    <w:p>
      <w:pPr>
        <w:numPr>
          <w:ilvl w:val="0"/>
          <w:numId w:val="1007"/>
        </w:numPr>
      </w:pPr>
      <w:r>
        <w:t xml:space="preserve">TCV+N: five-fold CV+.</w:t>
      </w:r>
    </w:p>
    <w:p>
      <w:pPr>
        <w:numPr>
          <w:ilvl w:val="0"/>
          <w:numId w:val="1007"/>
        </w:numPr>
      </w:pPr>
      <w:r>
        <w:t xml:space="preserve">TJ+N[T²] and TJ+N[Q]: σ from a single diagnostic.</w:t>
      </w:r>
    </w:p>
    <w:p>
      <w:pPr>
        <w:pStyle w:val="FirstParagraph"/>
      </w:pPr>
      <w:r>
        <w:rPr>
          <w:bCs/>
          <w:b/>
        </w:rPr>
        <w:t xml:space="preserve">Label-free variant (exploratory, LF-conv).</w:t>
      </w:r>
      <w:r>
        <w:t xml:space="preserve"> </w:t>
      </w:r>
      <w:r>
        <w:t xml:space="preserve">If the paired standards have no reference values, the target error decomposes as</w:t>
      </w:r>
      <w:r>
        <w:t xml:space="preserve"> </w:t>
      </w:r>
      <m:oMath>
        <m:r>
          <m:t>y</m:t>
        </m:r>
        <m:r>
          <m:rPr>
            <m:sty m:val="p"/>
          </m:rPr>
          <m:t>−</m:t>
        </m:r>
        <m:r>
          <m:t>μ</m:t>
        </m:r>
        <m:d>
          <m:dPr>
            <m:begChr m:val="("/>
            <m:endChr m:val=")"/>
            <m:sepChr m:val=""/>
            <m:grow/>
          </m:dPr>
          <m:e>
            <m:sSup>
              <m:e>
                <m:r>
                  <m:rPr>
                    <m:sty m:val="b"/>
                  </m:rPr>
                  <m:t>x</m:t>
                </m:r>
              </m:e>
              <m:sup>
                <m:r>
                  <m:t>T</m:t>
                </m:r>
              </m:sup>
            </m:sSup>
          </m:e>
        </m:d>
        <m:r>
          <m:rPr>
            <m:sty m:val="p"/>
          </m:rPr>
          <m:t>=</m:t>
        </m:r>
        <m:sSup>
          <m:e>
            <m:r>
              <m:t>e</m:t>
            </m:r>
          </m:e>
          <m:sup>
            <m:r>
              <m:t>S</m:t>
            </m:r>
          </m:sup>
        </m:sSup>
        <m:r>
          <m:rPr>
            <m:sty m:val="p"/>
          </m:rPr>
          <m:t>−</m:t>
        </m:r>
        <m:r>
          <m:t>d</m:t>
        </m:r>
      </m:oMath>
      <w:r>
        <w:t xml:space="preserve">. Here</w:t>
      </w:r>
      <w:r>
        <w:t xml:space="preserve"> </w:t>
      </w:r>
      <m:oMath>
        <m:sSup>
          <m:e>
            <m:r>
              <m:t>e</m:t>
            </m:r>
          </m:e>
          <m:sup>
            <m:r>
              <m:t>S</m:t>
            </m:r>
          </m:sup>
        </m:sSup>
        <m:r>
          <m:rPr>
            <m:sty m:val="p"/>
          </m:rPr>
          <m:t>=</m:t>
        </m:r>
        <m:r>
          <m:t>y</m:t>
        </m:r>
        <m:r>
          <m:rPr>
            <m:sty m:val="p"/>
          </m:rPr>
          <m:t>−</m:t>
        </m:r>
        <m:r>
          <m:t>f</m:t>
        </m:r>
        <m:d>
          <m:dPr>
            <m:begChr m:val="("/>
            <m:endChr m:val=")"/>
            <m:sepChr m:val=""/>
            <m:grow/>
          </m:dPr>
          <m:e>
            <m:sSup>
              <m:e>
                <m:r>
                  <m:rPr>
                    <m:sty m:val="b"/>
                  </m:rPr>
                  <m:t>x</m:t>
                </m:r>
              </m:e>
              <m:sup>
                <m:r>
                  <m:t>S</m:t>
                </m:r>
              </m:sup>
            </m:sSup>
          </m:e>
        </m:d>
      </m:oMath>
      <w:r>
        <w:t xml:space="preserve"> </w:t>
      </w:r>
      <w:r>
        <w:t xml:space="preserve">is the source error, estimated by the pooled source residuals</w:t>
      </w:r>
      <w:r>
        <w:t xml:space="preserve"> </w:t>
      </w:r>
      <m:oMath>
        <m:sSub>
          <m:e>
            <m:r>
              <m:t>e</m:t>
            </m:r>
          </m:e>
          <m:sub>
            <m:r>
              <m:t>j</m:t>
            </m:r>
          </m:sub>
        </m:sSub>
      </m:oMath>
      <w:r>
        <w:t xml:space="preserve">. The term</w:t>
      </w:r>
      <w:r>
        <w:t xml:space="preserve"> </w:t>
      </w:r>
      <m:oMath>
        <m:r>
          <m:t>d</m:t>
        </m:r>
        <m:r>
          <m:rPr>
            <m:sty m:val="p"/>
          </m:rPr>
          <m:t>=</m:t>
        </m:r>
        <m:r>
          <m:t>μ</m:t>
        </m:r>
        <m:d>
          <m:dPr>
            <m:begChr m:val="("/>
            <m:endChr m:val=")"/>
            <m:sepChr m:val=""/>
            <m:grow/>
          </m:dPr>
          <m:e>
            <m:sSup>
              <m:e>
                <m:r>
                  <m:rPr>
                    <m:sty m:val="b"/>
                  </m:rPr>
                  <m:t>x</m:t>
                </m:r>
              </m:e>
              <m:sup>
                <m:r>
                  <m:t>T</m:t>
                </m:r>
              </m:sup>
            </m:sSup>
          </m:e>
        </m:d>
        <m:r>
          <m:rPr>
            <m:sty m:val="p"/>
          </m:rPr>
          <m:t>−</m:t>
        </m:r>
        <m:r>
          <m:t>f</m:t>
        </m:r>
        <m:d>
          <m:dPr>
            <m:begChr m:val="("/>
            <m:endChr m:val=")"/>
            <m:sepChr m:val=""/>
            <m:grow/>
          </m:dPr>
          <m:e>
            <m:sSup>
              <m:e>
                <m:r>
                  <m:rPr>
                    <m:sty m:val="b"/>
                  </m:rPr>
                  <m:t>x</m:t>
                </m:r>
              </m:e>
              <m:sup>
                <m:r>
                  <m:t>S</m:t>
                </m:r>
              </m:sup>
            </m:sSup>
          </m:e>
        </m:d>
      </m:oMath>
      <w:r>
        <w:t xml:space="preserve"> </w:t>
      </w:r>
      <w:r>
        <w:t xml:space="preserve">is the transfer discrepancy, estimated from leave-one-out fits on the standards as</w:t>
      </w:r>
      <w:r>
        <w:t xml:space="preserve"> </w:t>
      </w:r>
      <m:oMath>
        <m:sSub>
          <m:e>
            <m:r>
              <m:t>d</m:t>
            </m:r>
          </m:e>
          <m:sub>
            <m:r>
              <m:t>i</m:t>
            </m:r>
          </m:sub>
        </m:sSub>
        <m:r>
          <m:rPr>
            <m:sty m:val="p"/>
          </m:rPr>
          <m:t>=</m:t>
        </m:r>
        <m:sSub>
          <m:e>
            <m:r>
              <m:t>μ</m:t>
            </m:r>
          </m:e>
          <m:sub>
            <m:r>
              <m:rPr>
                <m:sty m:val="p"/>
              </m:rPr>
              <m:t>−</m:t>
            </m:r>
            <m:r>
              <m:t>i</m:t>
            </m:r>
          </m:sub>
        </m:sSub>
        <m:d>
          <m:dPr>
            <m:begChr m:val="("/>
            <m:endChr m:val=")"/>
            <m:sepChr m:val=""/>
            <m:grow/>
          </m:dPr>
          <m:e>
            <m:sSubSup>
              <m:e>
                <m:r>
                  <m:rPr>
                    <m:sty m:val="b"/>
                  </m:rPr>
                  <m:t>x</m:t>
                </m:r>
              </m:e>
              <m:sub>
                <m:r>
                  <m:t>i</m:t>
                </m:r>
              </m:sub>
              <m:sup>
                <m:r>
                  <m:t>T</m:t>
                </m:r>
              </m:sup>
            </m:sSubSup>
          </m:e>
        </m:d>
        <m:r>
          <m:rPr>
            <m:sty m:val="p"/>
          </m:rPr>
          <m:t>−</m:t>
        </m:r>
        <m:r>
          <m:t>f</m:t>
        </m:r>
        <m:d>
          <m:dPr>
            <m:begChr m:val="("/>
            <m:endChr m:val=")"/>
            <m:sepChr m:val=""/>
            <m:grow/>
          </m:dPr>
          <m:e>
            <m:sSubSup>
              <m:e>
                <m:r>
                  <m:rPr>
                    <m:sty m:val="b"/>
                  </m:rPr>
                  <m:t>x</m:t>
                </m:r>
              </m:e>
              <m:sub>
                <m:r>
                  <m:t>i</m:t>
                </m:r>
              </m:sub>
              <m:sup>
                <m:r>
                  <m:t>S</m:t>
                </m:r>
              </m:sup>
            </m:sSubSup>
          </m:e>
        </m:d>
      </m:oMath>
      <w:r>
        <w:t xml:space="preserve">. The interval is</w:t>
      </w:r>
      <w:r>
        <w:t xml:space="preserve"> </w:t>
      </w:r>
      <m:oMath>
        <m:r>
          <m:t>μ</m:t>
        </m:r>
        <m:d>
          <m:dPr>
            <m:begChr m:val="("/>
            <m:endChr m:val=")"/>
            <m:sepChr m:val=""/>
            <m:grow/>
          </m:dPr>
          <m:e>
            <m:r>
              <m:rPr>
                <m:sty m:val="b"/>
              </m:rPr>
              <m:t>x</m:t>
            </m:r>
          </m:e>
        </m:d>
        <m:r>
          <m:rPr>
            <m:sty m:val="p"/>
          </m:rPr>
          <m:t>+</m:t>
        </m:r>
        <m:d>
          <m:dPr>
            <m:begChr m:val="["/>
            <m:endChr m:val="]"/>
            <m:sepChr m:val=""/>
            <m:grow/>
          </m:dPr>
          <m:e>
            <m:r>
              <m:t> </m:t>
            </m:r>
            <m:sSub>
              <m:e>
                <m:r>
                  <m:t>Q</m:t>
                </m:r>
              </m:e>
              <m:sub>
                <m:r>
                  <m:t>α</m:t>
                </m:r>
                <m:r>
                  <m:rPr>
                    <m:sty m:val="p"/>
                  </m:rPr>
                  <m:t>/</m:t>
                </m:r>
                <m:r>
                  <m:t>2</m:t>
                </m:r>
              </m:sub>
            </m:sSub>
            <m:r>
              <m:rPr>
                <m:sty m:val="p"/>
              </m:rPr>
              <m:t>,</m:t>
            </m:r>
            <m:sSub>
              <m:e>
                <m:r>
                  <m:t>Q</m:t>
                </m:r>
              </m:e>
              <m:sub>
                <m:r>
                  <m:t>1</m:t>
                </m:r>
                <m:r>
                  <m:rPr>
                    <m:sty m:val="p"/>
                  </m:rPr>
                  <m:t>−</m:t>
                </m:r>
                <m:r>
                  <m:t>α</m:t>
                </m:r>
                <m:r>
                  <m:rPr>
                    <m:sty m:val="p"/>
                  </m:rPr>
                  <m:t>/</m:t>
                </m:r>
                <m:r>
                  <m:t>2</m:t>
                </m:r>
              </m:sub>
            </m:sSub>
            <m:r>
              <m:t> </m:t>
            </m:r>
          </m:e>
        </m:d>
      </m:oMath>
      <w:r>
        <w:t xml:space="preserve"> </w:t>
      </w:r>
      <w:r>
        <w:t xml:space="preserve">of</w:t>
      </w:r>
      <w:r>
        <w:t xml:space="preserve"> </w:t>
      </w:r>
      <m:oMath>
        <m:r>
          <m:rPr>
            <m:sty m:val="p"/>
          </m:rPr>
          <m:t>{</m:t>
        </m:r>
        <m:sSub>
          <m:e>
            <m:r>
              <m:t>e</m:t>
            </m:r>
          </m:e>
          <m:sub>
            <m:r>
              <m:t>j</m:t>
            </m:r>
          </m:sub>
        </m:sSub>
        <m:r>
          <m:rPr>
            <m:sty m:val="p"/>
          </m:rPr>
          <m:t>−</m:t>
        </m:r>
        <m:sSub>
          <m:e>
            <m:r>
              <m:t>d</m:t>
            </m:r>
          </m:e>
          <m:sub>
            <m:r>
              <m:t>i</m:t>
            </m:r>
          </m:sub>
        </m:sSub>
        <m:sSub>
          <m:e>
            <m:r>
              <m:rPr>
                <m:sty m:val="p"/>
              </m:rPr>
              <m:t>}</m:t>
            </m:r>
          </m:e>
          <m:sub>
            <m:r>
              <m:t>j</m:t>
            </m:r>
            <m:r>
              <m:rPr>
                <m:sty m:val="p"/>
              </m:rPr>
              <m:t>,</m:t>
            </m:r>
            <m:r>
              <m:t>i</m:t>
            </m:r>
          </m:sub>
        </m:sSub>
      </m:oMath>
      <w:r>
        <w:t xml:space="preserve">. It assumes independence of</w:t>
      </w:r>
      <w:r>
        <w:t xml:space="preserve"> </w:t>
      </w:r>
      <m:oMath>
        <m:sSup>
          <m:e>
            <m:r>
              <m:t>e</m:t>
            </m:r>
          </m:e>
          <m:sup>
            <m:r>
              <m:t>S</m:t>
            </m:r>
          </m:sup>
        </m:sSup>
      </m:oMath>
      <w:r>
        <w:t xml:space="preserve"> </w:t>
      </w:r>
      <w:r>
        <w:t xml:space="preserve">and</w:t>
      </w:r>
      <w:r>
        <w:t xml:space="preserve"> </w:t>
      </w:r>
      <m:oMath>
        <m:r>
          <m:t>d</m:t>
        </m:r>
      </m:oMath>
      <w:r>
        <w:t xml:space="preserve"> </w:t>
      </w:r>
      <w:r>
        <w:t xml:space="preserve">and has no finite-sample guarantee.</w:t>
      </w:r>
    </w:p>
    <w:bookmarkEnd w:id="28"/>
    <w:bookmarkEnd w:id="29"/>
    <w:bookmarkStart w:id="35" w:name="experimental"/>
    <w:p>
      <w:pPr>
        <w:pStyle w:val="Heading1"/>
      </w:pPr>
      <w:r>
        <w:t xml:space="preserve">3. Experimental</w:t>
      </w:r>
    </w:p>
    <w:bookmarkStart w:id="33" w:name="data-sets"/>
    <w:p>
      <w:pPr>
        <w:pStyle w:val="Heading2"/>
      </w:pPr>
      <w:r>
        <w:t xml:space="preserve">3.1. Data sets</w:t>
      </w:r>
    </w:p>
    <w:p>
      <w:pPr>
        <w:pStyle w:val="FirstParagraph"/>
      </w:pPr>
      <w:r>
        <w:t xml:space="preserve">Three public NIR data sets with documented domain shifts were used (Table 1; Fig. 2). No data were collected for this study.</w:t>
      </w:r>
    </w:p>
    <w:p>
      <w:pPr>
        <w:pStyle w:val="BodyText"/>
      </w:pPr>
      <w:r>
        <w:rPr>
          <w:bCs/>
          <w:b/>
        </w:rPr>
        <w:t xml:space="preserve">Corn</w:t>
      </w:r>
      <w:r>
        <w:t xml:space="preserve"> </w:t>
      </w:r>
      <w:r>
        <w:t xml:space="preserve">[36]</w:t>
      </w:r>
      <w:r>
        <w:t xml:space="preserve">. Eighty corn samples were measured on three NIR spectrometers: m5 (master), mp5 and mp6. The range is 1100–2498 nm at 2 nm intervals (700 channels). Moisture, oil, protein and starch were determined by reference methods. Instrument shift: m5→mp5 and m5→mp6, plus mp5→m5 as a reverse-direction check.</w:t>
      </w:r>
    </w:p>
    <w:p>
      <w:pPr>
        <w:pStyle w:val="BodyText"/>
      </w:pPr>
      <w:r>
        <w:rPr>
          <w:bCs/>
          <w:b/>
        </w:rPr>
        <w:t xml:space="preserve">Pharmaceutical tablets (IDRC Shootout 2002)</w:t>
      </w:r>
      <w:r>
        <w:t xml:space="preserve"> </w:t>
      </w:r>
      <w:r>
        <w:t xml:space="preserve">[36]</w:t>
      </w:r>
      <w:r>
        <w:t xml:space="preserve">. 655 tablets were measured on two spectrometers (600–1898 nm, 650 channels), with reference weight, hardness and active-ingredient assay. The distributed calibrate (155), validate (40) and test (460) partition was retained; the target pool is therefore the organisers’ test set. Instrument 1 is the master.</w:t>
      </w:r>
    </w:p>
    <w:p>
      <w:pPr>
        <w:pStyle w:val="BodyText"/>
      </w:pPr>
      <w:r>
        <w:rPr>
          <w:bCs/>
          <w:b/>
        </w:rPr>
        <w:t xml:space="preserve">Mango dry matter</w:t>
      </w:r>
      <w:r>
        <w:t xml:space="preserve"> </w:t>
      </w:r>
      <w:r>
        <w:t xml:space="preserve">[4,37]</w:t>
      </w:r>
      <w:r>
        <w:t xml:space="preserve">. The data comprise 11,691 NIR spectra (684–990 nm used, 103 channels) of intact mango fruit from four harvest seasons, with dry-matter content (DMC) as reference. As recommended by the data providers, replicate scans of the same fruit (2–6 scans; one subset scanned at three temperatures) must never be split between training and test sets. Replicates were therefore averaged per fruit (fruit identified by season, region, harvest date, maturity type, cultivar, population and DM value), giving 4,677 fruit (file version 1 of the data record). For the additional instrument-shift test (§4.6), the providers’ extended file (record version 6) was used. Spectra flagged as outliers by the providers were excluded, and replicates were averaged per fruit and instrument. Season shift: seasons 1–3 (source) → season 4 (target, the providers’ external validation season).</w:t>
      </w:r>
    </w:p>
    <w:p>
      <w:pPr>
        <w:pStyle w:val="TableCaption"/>
        <w:keepNext/>
      </w:pPr>
      <w:r>
        <w:rPr>
          <w:bCs/>
          <w:b/>
        </w:rPr>
        <w:t xml:space="preserve">Table 1.</w:t>
      </w:r>
      <w:r>
        <w:t xml:space="preserve"> </w:t>
      </w:r>
      <w:r>
        <w:t xml:space="preserve">Data sets and splitting protocol.</w:t>
      </w:r>
    </w:p>
    <w:tbl>
      <w:tblPr>
        <w:tblStyle w:val="Table"/>
        <w:tblW w:type="pct" w:w="5000"/>
        <w:jc w:val="center"/>
        <w:tblLook w:firstRow="1" w:lastRow="0" w:firstColumn="0" w:lastColumn="0" w:noHBand="0" w:noVBand="0" w:val="0020"/>
        <w:tblCaption w:val="Table 1. Data sets and splitting protocol."/>
      </w:tblPr>
      <w:tblGrid>
        <w:gridCol w:w="1131"/>
        <w:gridCol w:w="1131"/>
        <w:gridCol w:w="1131"/>
        <w:gridCol w:w="1131"/>
        <w:gridCol w:w="1131"/>
        <w:gridCol w:w="1131"/>
        <w:gridCol w:w="1131"/>
      </w:tblGrid>
      <w:tr>
        <w:trPr>
          <w:tblHeader w:val="true"/>
        </w:trPr>
        <w:tc>
          <w:tcPr>
            <w:tcBorders>
              <w:top w:val="single" w:sz="8" w:color="000000"/>
              <w:bottom w:val="single" w:sz="8" w:color="000000"/>
            </w:tcBorders>
          </w:tcPr>
          <w:p>
            <w:pPr>
              <w:pStyle w:val="Compact"/>
              <w:spacing w:after="0"/>
              <w:jc w:val="left"/>
            </w:pPr>
            <w:r>
              <w:t xml:space="preserve">Data set</w:t>
            </w:r>
          </w:p>
        </w:tc>
        <w:tc>
          <w:tcPr>
            <w:tcBorders>
              <w:top w:val="single" w:sz="8" w:color="000000"/>
              <w:bottom w:val="single" w:sz="8" w:color="000000"/>
            </w:tcBorders>
          </w:tcPr>
          <w:p>
            <w:pPr>
              <w:pStyle w:val="Compact"/>
              <w:spacing w:after="0"/>
              <w:jc w:val="right"/>
            </w:pPr>
            <w:r>
              <w:t xml:space="preserve">Size</w:t>
            </w:r>
          </w:p>
        </w:tc>
        <w:tc>
          <w:tcPr>
            <w:tcBorders>
              <w:top w:val="single" w:sz="8" w:color="000000"/>
              <w:bottom w:val="single" w:sz="8" w:color="000000"/>
            </w:tcBorders>
          </w:tcPr>
          <w:p>
            <w:pPr>
              <w:pStyle w:val="Compact"/>
              <w:spacing w:after="0"/>
              <w:jc w:val="right"/>
            </w:pPr>
            <w:r>
              <w:t xml:space="preserve">Shift</w:t>
            </w:r>
          </w:p>
        </w:tc>
        <w:tc>
          <w:tcPr>
            <w:tcBorders>
              <w:top w:val="single" w:sz="8" w:color="000000"/>
              <w:bottom w:val="single" w:sz="8" w:color="000000"/>
            </w:tcBorders>
          </w:tcPr>
          <w:p>
            <w:pPr>
              <w:pStyle w:val="Compact"/>
              <w:spacing w:after="0"/>
              <w:jc w:val="right"/>
            </w:pPr>
            <w:r>
              <w:t xml:space="preserve">Range (channels)</w:t>
            </w:r>
          </w:p>
        </w:tc>
        <w:tc>
          <w:tcPr>
            <w:tcBorders>
              <w:top w:val="single" w:sz="8" w:color="000000"/>
              <w:bottom w:val="single" w:sz="8" w:color="000000"/>
            </w:tcBorders>
          </w:tcPr>
          <w:p>
            <w:pPr>
              <w:pStyle w:val="Compact"/>
              <w:spacing w:after="0"/>
              <w:jc w:val="right"/>
            </w:pPr>
            <w:r>
              <w:t xml:space="preserve">Responses</w:t>
            </w:r>
          </w:p>
        </w:tc>
        <w:tc>
          <w:tcPr>
            <w:tcBorders>
              <w:top w:val="single" w:sz="8" w:color="000000"/>
              <w:bottom w:val="single" w:sz="8" w:color="000000"/>
            </w:tcBorders>
          </w:tcPr>
          <w:p>
            <w:pPr>
              <w:pStyle w:val="Compact"/>
              <w:spacing w:after="0"/>
              <w:jc w:val="right"/>
            </w:pPr>
            <w:r>
              <w:t xml:space="preserve">Source train / source cal. / target pool</w:t>
            </w:r>
          </w:p>
        </w:tc>
        <w:tc>
          <w:tcPr>
            <w:tcBorders>
              <w:top w:val="single" w:sz="8" w:color="000000"/>
              <w:bottom w:val="single" w:sz="8" w:color="000000"/>
            </w:tcBorders>
          </w:tcPr>
          <w:p>
            <w:pPr>
              <w:pStyle w:val="Compact"/>
              <w:spacing w:after="0"/>
              <w:jc w:val="right"/>
            </w:pPr>
            <w:r>
              <w:t xml:space="preserve">m</w:t>
            </w:r>
          </w:p>
        </w:tc>
      </w:tr>
      <w:tr>
        <w:tc>
          <w:tcPr/>
          <w:p>
            <w:pPr>
              <w:pStyle w:val="Compact"/>
              <w:spacing w:after="0"/>
              <w:jc w:val="left"/>
            </w:pPr>
            <w:r>
              <w:t xml:space="preserve">Corn</w:t>
            </w:r>
          </w:p>
        </w:tc>
        <w:tc>
          <w:tcPr/>
          <w:p>
            <w:pPr>
              <w:pStyle w:val="Compact"/>
              <w:spacing w:after="0"/>
              <w:jc w:val="right"/>
            </w:pPr>
            <w:r>
              <w:t xml:space="preserve">80 samples</w:t>
            </w:r>
          </w:p>
        </w:tc>
        <w:tc>
          <w:tcPr/>
          <w:p>
            <w:pPr>
              <w:pStyle w:val="Compact"/>
              <w:spacing w:after="0"/>
              <w:jc w:val="right"/>
            </w:pPr>
            <w:r>
              <w:t xml:space="preserve">m5 → mp5, mp6 (and mp5 → m5)</w:t>
            </w:r>
          </w:p>
        </w:tc>
        <w:tc>
          <w:tcPr/>
          <w:p>
            <w:pPr>
              <w:pStyle w:val="Compact"/>
              <w:spacing w:after="0"/>
              <w:jc w:val="right"/>
            </w:pPr>
            <w:r>
              <w:t xml:space="preserve">1100–2498 nm (700)</w:t>
            </w:r>
          </w:p>
        </w:tc>
        <w:tc>
          <w:tcPr/>
          <w:p>
            <w:pPr>
              <w:pStyle w:val="Compact"/>
              <w:spacing w:after="0"/>
              <w:jc w:val="right"/>
            </w:pPr>
            <w:r>
              <w:t xml:space="preserve">moisture, oil, protein, starch (%)</w:t>
            </w:r>
          </w:p>
        </w:tc>
        <w:tc>
          <w:tcPr/>
          <w:p>
            <w:pPr>
              <w:pStyle w:val="Compact"/>
              <w:spacing w:after="0"/>
              <w:jc w:val="right"/>
            </w:pPr>
            <w:r>
              <w:t xml:space="preserve">40 / 10 / 30 (random each repetition)</w:t>
            </w:r>
          </w:p>
        </w:tc>
        <w:tc>
          <w:tcPr/>
          <w:p>
            <w:pPr>
              <w:pStyle w:val="Compact"/>
              <w:spacing w:after="0"/>
              <w:jc w:val="right"/>
            </w:pPr>
            <w:r>
              <w:t xml:space="preserve">10, 15, 20</w:t>
            </w:r>
          </w:p>
        </w:tc>
      </w:tr>
      <w:tr>
        <w:tc>
          <w:tcPr/>
          <w:p>
            <w:pPr>
              <w:pStyle w:val="Compact"/>
              <w:spacing w:after="0"/>
              <w:jc w:val="left"/>
            </w:pPr>
            <w:r>
              <w:t xml:space="preserve">Tablets</w:t>
            </w:r>
          </w:p>
        </w:tc>
        <w:tc>
          <w:tcPr/>
          <w:p>
            <w:pPr>
              <w:pStyle w:val="Compact"/>
              <w:spacing w:after="0"/>
              <w:jc w:val="right"/>
            </w:pPr>
            <w:r>
              <w:t xml:space="preserve">655 tablets</w:t>
            </w:r>
          </w:p>
        </w:tc>
        <w:tc>
          <w:tcPr/>
          <w:p>
            <w:pPr>
              <w:pStyle w:val="Compact"/>
              <w:spacing w:after="0"/>
              <w:jc w:val="right"/>
            </w:pPr>
            <w:r>
              <w:t xml:space="preserve">1 → 2</w:t>
            </w:r>
          </w:p>
        </w:tc>
        <w:tc>
          <w:tcPr/>
          <w:p>
            <w:pPr>
              <w:pStyle w:val="Compact"/>
              <w:spacing w:after="0"/>
              <w:jc w:val="right"/>
            </w:pPr>
            <w:r>
              <w:t xml:space="preserve">600–1898 nm (650)</w:t>
            </w:r>
          </w:p>
        </w:tc>
        <w:tc>
          <w:tcPr/>
          <w:p>
            <w:pPr>
              <w:pStyle w:val="Compact"/>
              <w:spacing w:after="0"/>
              <w:jc w:val="right"/>
            </w:pPr>
            <w:r>
              <w:t xml:space="preserve">assay (mg), weight (mg), hardness</w:t>
            </w:r>
          </w:p>
        </w:tc>
        <w:tc>
          <w:tcPr/>
          <w:p>
            <w:pPr>
              <w:pStyle w:val="Compact"/>
              <w:spacing w:after="0"/>
              <w:jc w:val="right"/>
            </w:pPr>
            <w:r>
              <w:t xml:space="preserve">155 / 40 / 460 (fixed)</w:t>
            </w:r>
          </w:p>
        </w:tc>
        <w:tc>
          <w:tcPr/>
          <w:p>
            <w:pPr>
              <w:pStyle w:val="Compact"/>
              <w:spacing w:after="0"/>
              <w:jc w:val="right"/>
            </w:pPr>
            <w:r>
              <w:t xml:space="preserve">10, 20, 30, 50</w:t>
            </w:r>
          </w:p>
        </w:tc>
      </w:tr>
      <w:tr>
        <w:tc>
          <w:tcPr>
            <w:tcBorders>
              <w:bottom w:val="single" w:sz="8" w:color="000000"/>
            </w:tcBorders>
          </w:tcPr>
          <w:p>
            <w:pPr>
              <w:pStyle w:val="Compact"/>
              <w:spacing w:after="0"/>
              <w:jc w:val="left"/>
            </w:pPr>
            <w:r>
              <w:t xml:space="preserve">Mango</w:t>
            </w:r>
          </w:p>
        </w:tc>
        <w:tc>
          <w:tcPr>
            <w:tcBorders>
              <w:bottom w:val="single" w:sz="8" w:color="000000"/>
            </w:tcBorders>
          </w:tcPr>
          <w:p>
            <w:pPr>
              <w:pStyle w:val="Compact"/>
              <w:spacing w:after="0"/>
              <w:jc w:val="right"/>
            </w:pPr>
            <w:r>
              <w:t xml:space="preserve">4,677 fruit (3,952 source, 725 target)</w:t>
            </w:r>
          </w:p>
        </w:tc>
        <w:tc>
          <w:tcPr>
            <w:tcBorders>
              <w:bottom w:val="single" w:sz="8" w:color="000000"/>
            </w:tcBorders>
          </w:tcPr>
          <w:p>
            <w:pPr>
              <w:pStyle w:val="Compact"/>
              <w:spacing w:after="0"/>
              <w:jc w:val="right"/>
            </w:pPr>
            <w:r>
              <w:t xml:space="preserve">seasons 1–3 → 4</w:t>
            </w:r>
          </w:p>
        </w:tc>
        <w:tc>
          <w:tcPr>
            <w:tcBorders>
              <w:bottom w:val="single" w:sz="8" w:color="000000"/>
            </w:tcBorders>
          </w:tcPr>
          <w:p>
            <w:pPr>
              <w:pStyle w:val="Compact"/>
              <w:spacing w:after="0"/>
              <w:jc w:val="right"/>
            </w:pPr>
            <w:r>
              <w:t xml:space="preserve">684–990 nm (103)</w:t>
            </w:r>
          </w:p>
        </w:tc>
        <w:tc>
          <w:tcPr>
            <w:tcBorders>
              <w:bottom w:val="single" w:sz="8" w:color="000000"/>
            </w:tcBorders>
          </w:tcPr>
          <w:p>
            <w:pPr>
              <w:pStyle w:val="Compact"/>
              <w:spacing w:after="0"/>
              <w:jc w:val="right"/>
            </w:pPr>
            <w:r>
              <w:t xml:space="preserve">dry matter (%)</w:t>
            </w:r>
          </w:p>
        </w:tc>
        <w:tc>
          <w:tcPr>
            <w:tcBorders>
              <w:bottom w:val="single" w:sz="8" w:color="000000"/>
            </w:tcBorders>
          </w:tcPr>
          <w:p>
            <w:pPr>
              <w:pStyle w:val="Compact"/>
              <w:spacing w:after="0"/>
              <w:jc w:val="right"/>
            </w:pPr>
            <w:r>
              <w:t xml:space="preserve">3,162 / 790 / 725</w:t>
            </w:r>
          </w:p>
        </w:tc>
        <w:tc>
          <w:tcPr>
            <w:tcBorders>
              <w:bottom w:val="single" w:sz="8" w:color="000000"/>
            </w:tcBorders>
          </w:tcPr>
          <w:p>
            <w:pPr>
              <w:pStyle w:val="Compact"/>
              <w:spacing w:after="0"/>
              <w:jc w:val="right"/>
            </w:pPr>
            <w:r>
              <w:t xml:space="preserve">10, 20, 30, 50</w:t>
            </w:r>
          </w:p>
        </w:tc>
      </w:tr>
    </w:tbl>
    <w:p>
      <w:pPr>
        <w:pStyle w:val="CaptionedFigure"/>
        <w:keepNext/>
        <w:jc w:val="center"/>
      </w:pPr>
      <w:r>
        <w:drawing>
          <wp:inline>
            <wp:extent cx="5753100" cy="3114235"/>
            <wp:effectExtent b="0" l="0" r="0" t="0"/>
            <wp:docPr descr="Fig. 2. Data sets. Top: mean NIR spectra per instrument (corn, tablets) or per season group (mango). Bottom: reference-value distributions." title="" id="31" name="Picture"/>
            <a:graphic>
              <a:graphicData uri="http://schemas.openxmlformats.org/drawingml/2006/picture">
                <pic:pic>
                  <pic:nvPicPr>
                    <pic:cNvPr descr="figures/fig2_datasets.png" id="32" name="Picture"/>
                    <pic:cNvPicPr>
                      <a:picLocks noChangeArrowheads="1" noChangeAspect="1"/>
                    </pic:cNvPicPr>
                  </pic:nvPicPr>
                  <pic:blipFill>
                    <a:blip r:embed="rId30"/>
                    <a:stretch>
                      <a:fillRect/>
                    </a:stretch>
                  </pic:blipFill>
                  <pic:spPr bwMode="auto">
                    <a:xfrm>
                      <a:off x="0" y="0"/>
                      <a:ext cx="5753100" cy="3114235"/>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Data sets. Top: mean NIR spectra per instrument (corn, tablets) or per season group (mango). Bottom: reference-value distributions.</w:t>
      </w:r>
    </w:p>
    <w:bookmarkEnd w:id="33"/>
    <w:bookmarkStart w:id="34" w:name="protocol"/>
    <w:p>
      <w:pPr>
        <w:pStyle w:val="Heading2"/>
      </w:pPr>
      <w:r>
        <w:t xml:space="preserve">3.2. Protocol</w:t>
      </w:r>
    </w:p>
    <w:p>
      <w:pPr>
        <w:pStyle w:val="FirstParagraph"/>
      </w:pPr>
      <w:r>
        <w:t xml:space="preserve">The design, including all hyperparameters, seeds, metrics, tests and the validity criterion, was fixed before any target-domain result was computed. It is documented with a deviation log in the repository.</w:t>
      </w:r>
    </w:p>
    <w:p>
      <w:pPr>
        <w:pStyle w:val="BodyText"/>
      </w:pPr>
      <w:r>
        <w:rPr>
          <w:bCs/>
          <w:b/>
        </w:rPr>
        <w:t xml:space="preserve">Source models.</w:t>
      </w:r>
      <w:r>
        <w:t xml:space="preserve"> </w:t>
      </w:r>
      <w:r>
        <w:t xml:space="preserve">Preprocessing was chosen among none, SNV</w:t>
      </w:r>
      <w:r>
        <w:t xml:space="preserve"> </w:t>
      </w:r>
      <w:r>
        <w:t xml:space="preserve">[38]</w:t>
      </w:r>
      <w:r>
        <w:t xml:space="preserve">, Savitzky–Golay</w:t>
      </w:r>
      <w:r>
        <w:t xml:space="preserve"> </w:t>
      </w:r>
      <w:r>
        <w:t xml:space="preserve">[39]</w:t>
      </w:r>
      <w:r>
        <w:t xml:space="preserve"> </w:t>
      </w:r>
      <w:r>
        <w:t xml:space="preserve">first derivative (window 11, order 2) and second derivative (window 13, order 2). The number of PLS latent variables</w:t>
      </w:r>
      <w:r>
        <w:t xml:space="preserve"> </w:t>
      </w:r>
      <w:r>
        <w:t xml:space="preserve">[40]</w:t>
      </w:r>
      <w:r>
        <w:t xml:space="preserve"> </w:t>
      </w:r>
      <w:r>
        <w:t xml:space="preserve">(≤15 for corn and tablets, ≤25 for mango) was chosen by 10-fold cross-validation (one-standard-error rule) on the source training data only. The out-of-fold residuals of this cross-validation were used to fit σ (Eq. (2)). For model-class generalisation, ridge regression (penalty by 10-fold CV, same preprocessing) and a small 1D-CNN were used. The CNN (mango only) takes SNV-corrected, channel-standardised spectra. It has two 1D convolutional layers (16 and 32 filters, kernel 7, the second with stride 2), a dense layer of 64 units, ReLU activations and dropout 0.2. It was trained once on seasons 1–3 (Adam, learning rate 10⁻³, weight decay 10⁻⁵, batch 128, at most 150 epochs, early stopping with patience 20 on a 10% split of the source training data).</w:t>
      </w:r>
    </w:p>
    <w:p>
      <w:pPr>
        <w:pStyle w:val="BodyText"/>
      </w:pPr>
      <w:r>
        <w:rPr>
          <w:bCs/>
          <w:b/>
        </w:rPr>
        <w:t xml:space="preserve">Splits.</w:t>
      </w:r>
    </w:p>
    <w:p>
      <w:pPr>
        <w:numPr>
          <w:ilvl w:val="0"/>
          <w:numId w:val="1008"/>
        </w:numPr>
      </w:pPr>
      <w:r>
        <w:rPr>
          <w:iCs/>
          <w:i/>
        </w:rPr>
        <w:t xml:space="preserve">Corn:</w:t>
      </w:r>
      <w:r>
        <w:t xml:space="preserve"> </w:t>
      </w:r>
      <w:r>
        <w:t xml:space="preserve">in every repetition, 40 random samples were the source training set (master spectra), 10 the source calibration set and 30 the target pool. From the pool,</w:t>
      </w:r>
      <w:r>
        <w:t xml:space="preserve"> </w:t>
      </w:r>
      <w:r>
        <w:rPr>
          <w:iCs/>
          <w:i/>
        </w:rPr>
        <w:t xml:space="preserve">m</w:t>
      </w:r>
      <w:r>
        <w:t xml:space="preserve"> </w:t>
      </w:r>
      <w:r>
        <w:t xml:space="preserve">∈ {10, 15, 20} random standards were drawn; the remaining 30−</w:t>
      </w:r>
      <w:r>
        <w:rPr>
          <w:iCs/>
          <w:i/>
        </w:rPr>
        <w:t xml:space="preserve">m</w:t>
      </w:r>
      <w:r>
        <w:t xml:space="preserve"> </w:t>
      </w:r>
      <w:r>
        <w:t xml:space="preserve">samples were test samples.</w:t>
      </w:r>
    </w:p>
    <w:p>
      <w:pPr>
        <w:numPr>
          <w:ilvl w:val="0"/>
          <w:numId w:val="1008"/>
        </w:numPr>
      </w:pPr>
      <w:r>
        <w:rPr>
          <w:iCs/>
          <w:i/>
        </w:rPr>
        <w:t xml:space="preserve">Tablets:</w:t>
      </w:r>
      <w:r>
        <w:t xml:space="preserve"> </w:t>
      </w:r>
      <w:r>
        <w:t xml:space="preserve">the source training set was the instrument-1 calibrate set and the source calibration set the instrument-1 validate set. The target pool was the instrument-2 test set, with</w:t>
      </w:r>
      <w:r>
        <w:t xml:space="preserve"> </w:t>
      </w:r>
      <w:r>
        <w:rPr>
          <w:iCs/>
          <w:i/>
        </w:rPr>
        <w:t xml:space="preserve">m</w:t>
      </w:r>
      <w:r>
        <w:t xml:space="preserve"> </w:t>
      </w:r>
      <w:r>
        <w:t xml:space="preserve">∈ {10, 20, 30, 50} standards and the remaining 460−</w:t>
      </w:r>
      <w:r>
        <w:rPr>
          <w:iCs/>
          <w:i/>
        </w:rPr>
        <w:t xml:space="preserve">m</w:t>
      </w:r>
      <w:r>
        <w:t xml:space="preserve"> </w:t>
      </w:r>
      <w:r>
        <w:t xml:space="preserve">tablets as test samples.</w:t>
      </w:r>
    </w:p>
    <w:p>
      <w:pPr>
        <w:numPr>
          <w:ilvl w:val="0"/>
          <w:numId w:val="1008"/>
        </w:numPr>
      </w:pPr>
      <w:r>
        <w:rPr>
          <w:iCs/>
          <w:i/>
        </w:rPr>
        <w:t xml:space="preserve">Mango:</w:t>
      </w:r>
      <w:r>
        <w:t xml:space="preserve"> </w:t>
      </w:r>
      <w:r>
        <w:t xml:space="preserve">source fruit were split once (80/20, fixed seed) into source training and source calibration sets. The target pool was the 725 season-4 fruit, with</w:t>
      </w:r>
      <w:r>
        <w:t xml:space="preserve"> </w:t>
      </w:r>
      <w:r>
        <w:rPr>
          <w:iCs/>
          <w:i/>
        </w:rPr>
        <w:t xml:space="preserve">m</w:t>
      </w:r>
      <w:r>
        <w:t xml:space="preserve"> </w:t>
      </w:r>
      <w:r>
        <w:t xml:space="preserve">∈ {10, 20, 30, 50}.</w:t>
      </w:r>
    </w:p>
    <w:p>
      <w:pPr>
        <w:pStyle w:val="FirstParagraph"/>
      </w:pPr>
      <w:r>
        <w:t xml:space="preserve">Standards were never used to train the source model, and test samples were never standards. Repetitions: 500 (corn, tablets) and 300 (mango) for the main experiment, 200 for the secondary experiments, with seeds fixed in advance.</w:t>
      </w:r>
    </w:p>
    <w:p>
      <w:pPr>
        <w:pStyle w:val="BodyText"/>
      </w:pPr>
      <w:r>
        <w:rPr>
          <w:bCs/>
          <w:b/>
        </w:rPr>
        <w:t xml:space="preserve">Transfer.</w:t>
      </w:r>
      <w:r>
        <w:t xml:space="preserve"> </w:t>
      </w:r>
      <w:r>
        <w:t xml:space="preserve">PDS (window 5, truncated pseudo-inverse with relative tolerance 0.01, with intercept; windows truncated at the spectral edges)</w:t>
      </w:r>
      <w:r>
        <w:t xml:space="preserve"> </w:t>
      </w:r>
      <w:r>
        <w:t xml:space="preserve">[5,6]</w:t>
      </w:r>
      <w:r>
        <w:t xml:space="preserve">, DS, SBC and no transfer were applied. Spectral preprocessing was applied after spectral standardisation. The pre-registered primary pipelines were PDS for corn and tablets and SBC for mango; the other pipelines are reported as secondary results.</w:t>
      </w:r>
    </w:p>
    <w:p>
      <w:pPr>
        <w:pStyle w:val="BodyText"/>
      </w:pPr>
      <w:r>
        <w:rPr>
          <w:bCs/>
          <w:b/>
        </w:rPr>
        <w:t xml:space="preserve">Metrics.</w:t>
      </w:r>
      <w:r>
        <w:t xml:space="preserve"> </w:t>
      </w:r>
      <w:r>
        <w:t xml:space="preserve">For each repetition and method we recorded:</w:t>
      </w:r>
    </w:p>
    <w:p>
      <w:pPr>
        <w:numPr>
          <w:ilvl w:val="0"/>
          <w:numId w:val="1009"/>
        </w:numPr>
      </w:pPr>
      <w:r>
        <w:t xml:space="preserve">empirical coverage on the test samples;</w:t>
      </w:r>
    </w:p>
    <w:p>
      <w:pPr>
        <w:numPr>
          <w:ilvl w:val="0"/>
          <w:numId w:val="1009"/>
        </w:numPr>
      </w:pPr>
      <w:r>
        <w:t xml:space="preserve">mean and median interval width;</w:t>
      </w:r>
    </w:p>
    <w:p>
      <w:pPr>
        <w:numPr>
          <w:ilvl w:val="0"/>
          <w:numId w:val="1009"/>
        </w:numPr>
      </w:pPr>
      <w:r>
        <w:t xml:space="preserve">the fraction of unbounded intervals;</w:t>
      </w:r>
    </w:p>
    <w:p>
      <w:pPr>
        <w:numPr>
          <w:ilvl w:val="0"/>
          <w:numId w:val="1009"/>
        </w:numPr>
      </w:pPr>
      <w:r>
        <w:t xml:space="preserve">the Winkler interval score</w:t>
      </w:r>
      <w:r>
        <w:t xml:space="preserve"> </w:t>
      </w:r>
      <m:oMath>
        <m:sSub>
          <m:e>
            <m:r>
              <m:rPr>
                <m:sty m:val="p"/>
              </m:rPr>
              <m:t>I</m:t>
            </m:r>
            <m:r>
              <m:rPr>
                <m:sty m:val="p"/>
              </m:rPr>
              <m:t>S</m:t>
            </m:r>
          </m:e>
          <m:sub>
            <m:r>
              <m:t>α</m:t>
            </m:r>
          </m:sub>
        </m:sSub>
        <m:r>
          <m:rPr>
            <m:sty m:val="p"/>
          </m:rPr>
          <m:t>=</m:t>
        </m:r>
        <m:d>
          <m:dPr>
            <m:begChr m:val="("/>
            <m:endChr m:val=")"/>
            <m:sepChr m:val=""/>
            <m:grow/>
          </m:dPr>
          <m:e>
            <m:r>
              <m:t>u</m:t>
            </m:r>
            <m:r>
              <m:rPr>
                <m:sty m:val="p"/>
              </m:rPr>
              <m:t>−</m:t>
            </m:r>
            <m:r>
              <m:t>l</m:t>
            </m:r>
          </m:e>
        </m:d>
        <m:r>
          <m:rPr>
            <m:sty m:val="p"/>
          </m:rPr>
          <m:t>+</m:t>
        </m:r>
        <m:f>
          <m:fPr>
            <m:type m:val="lin"/>
          </m:fPr>
          <m:num>
            <m:r>
              <m:t>2</m:t>
            </m:r>
          </m:num>
          <m:den>
            <m:r>
              <m:t>α</m:t>
            </m:r>
          </m:den>
        </m:f>
        <m:sSub>
          <m:e>
            <m:d>
              <m:dPr>
                <m:begChr m:val="("/>
                <m:endChr m:val=")"/>
                <m:sepChr m:val=""/>
                <m:grow/>
              </m:dPr>
              <m:e>
                <m:r>
                  <m:t>l</m:t>
                </m:r>
                <m:r>
                  <m:rPr>
                    <m:sty m:val="p"/>
                  </m:rPr>
                  <m:t>−</m:t>
                </m:r>
                <m:r>
                  <m:t>y</m:t>
                </m:r>
              </m:e>
            </m:d>
          </m:e>
          <m:sub>
            <m:r>
              <m:rPr>
                <m:sty m:val="p"/>
              </m:rPr>
              <m:t>+</m:t>
            </m:r>
          </m:sub>
        </m:sSub>
        <m:r>
          <m:rPr>
            <m:sty m:val="p"/>
          </m:rPr>
          <m:t>+</m:t>
        </m:r>
        <m:f>
          <m:fPr>
            <m:type m:val="lin"/>
          </m:fPr>
          <m:num>
            <m:r>
              <m:t>2</m:t>
            </m:r>
          </m:num>
          <m:den>
            <m:r>
              <m:t>α</m:t>
            </m:r>
          </m:den>
        </m:f>
        <m:sSub>
          <m:e>
            <m:d>
              <m:dPr>
                <m:begChr m:val="("/>
                <m:endChr m:val=")"/>
                <m:sepChr m:val=""/>
                <m:grow/>
              </m:dPr>
              <m:e>
                <m:r>
                  <m:t>y</m:t>
                </m:r>
                <m:r>
                  <m:rPr>
                    <m:sty m:val="p"/>
                  </m:rPr>
                  <m:t>−</m:t>
                </m:r>
                <m:r>
                  <m:t>u</m:t>
                </m:r>
              </m:e>
            </m:d>
          </m:e>
          <m:sub>
            <m:r>
              <m:rPr>
                <m:sty m:val="p"/>
              </m:rPr>
              <m:t>+</m:t>
            </m:r>
          </m:sub>
        </m:sSub>
      </m:oMath>
      <w:r>
        <w:t xml:space="preserve">, a proper scoring rule for central intervals</w:t>
      </w:r>
      <w:r>
        <w:t xml:space="preserve"> </w:t>
      </w:r>
      <w:r>
        <w:t xml:space="preserve">[41]</w:t>
      </w:r>
      <w:r>
        <w:t xml:space="preserve">;</w:t>
      </w:r>
    </w:p>
    <w:p>
      <w:pPr>
        <w:numPr>
          <w:ilvl w:val="0"/>
          <w:numId w:val="1009"/>
        </w:numPr>
      </w:pPr>
      <w:r>
        <w:t xml:space="preserve">RMSEP of the point prediction;</w:t>
      </w:r>
    </w:p>
    <w:p>
      <w:pPr>
        <w:numPr>
          <w:ilvl w:val="0"/>
          <w:numId w:val="1009"/>
        </w:numPr>
      </w:pPr>
      <w:r>
        <w:t xml:space="preserve">coverage within tertiles of σ(x) and of y (conditional coverage).</w:t>
      </w:r>
    </w:p>
    <w:p>
      <w:pPr>
        <w:pStyle w:val="FirstParagraph"/>
      </w:pPr>
      <w:r>
        <w:t xml:space="preserve">The primary miscoverage level was α = 0.10; α = 0.05 and 0.20 were sensitivity analyses.</w:t>
      </w:r>
    </w:p>
    <w:p>
      <w:pPr>
        <w:pStyle w:val="BodyText"/>
      </w:pPr>
      <w:r>
        <w:rPr>
          <w:bCs/>
          <w:b/>
        </w:rPr>
        <w:t xml:space="preserve">Statistics.</w:t>
      </w:r>
      <w:r>
        <w:t xml:space="preserve"> </w:t>
      </w:r>
      <w:r>
        <w:t xml:space="preserve">Mean coverage over repetitions is reported with a 95% percentile-bootstrap confidence interval (2000 resamples of repetitions). A method was pre-registered as</w:t>
      </w:r>
      <w:r>
        <w:t xml:space="preserve"> </w:t>
      </w:r>
      <w:r>
        <w:rPr>
          <w:iCs/>
          <w:i/>
        </w:rPr>
        <w:t xml:space="preserve">under-covering</w:t>
      </w:r>
      <w:r>
        <w:t xml:space="preserve"> </w:t>
      </w:r>
      <w:r>
        <w:t xml:space="preserve">in a scenario when the upper limit of this interval was below 1−α. Interval scores were compared only between methods that were not under-covering. Within each scenario, TJ+N was compared with every other method by a two-sided Wilcoxon signed-rank test on the per-repetition interval score, paired by repetition (identical splits). Holm’s correction</w:t>
      </w:r>
      <w:r>
        <w:t xml:space="preserve"> </w:t>
      </w:r>
      <w:r>
        <w:t xml:space="preserve">[42]</w:t>
      </w:r>
      <w:r>
        <w:t xml:space="preserve"> </w:t>
      </w:r>
      <w:r>
        <w:t xml:space="preserve">was applied within the scenario, and the matched-pairs rank-biserial correlation was used as effect size. Unbounded intervals were assigned the worst rank. Across scenarios, methods were compared with a Friedman test on the scenario-level median interval score, followed by Holm-corrected pairwise Wilcoxon tests against TJ+N</w:t>
      </w:r>
      <w:r>
        <w:t xml:space="preserve"> </w:t>
      </w:r>
      <w:r>
        <w:t xml:space="preserve">[43]</w:t>
      </w:r>
      <w:r>
        <w:t xml:space="preserve">. Repetitions are independent random draws of the splits from fixed data sets, so inferences are conditional on the data sets. Every method is evaluated on identical standards and test samples in each repetition (paired design). Scenarios that share a data set are not independent (corn properties share samples; the</w:t>
      </w:r>
      <w:r>
        <w:t xml:space="preserve"> </w:t>
      </w:r>
      <w:r>
        <w:rPr>
          <w:iCs/>
          <w:i/>
        </w:rPr>
        <w:t xml:space="preserve">m</w:t>
      </w:r>
      <w:r>
        <w:t xml:space="preserve"> </w:t>
      </w:r>
      <w:r>
        <w:t xml:space="preserve">levels share splits). The Friedman ranks are therefore interpreted descriptively, and inferential statements rest on the within-scenario paired tests. Because the under-coverage flag is applied per scenario without multiplicity correction, it errs towards flagging, which works against the proposed method rather than in its favour.</w:t>
      </w:r>
    </w:p>
    <w:p>
      <w:pPr>
        <w:pStyle w:val="BodyText"/>
      </w:pPr>
      <w:r>
        <w:rPr>
          <w:bCs/>
          <w:b/>
        </w:rPr>
        <w:t xml:space="preserve">Robustness and sensitivity.</w:t>
      </w:r>
      <w:r>
        <w:t xml:space="preserve"> </w:t>
      </w:r>
      <w:r>
        <w:t xml:space="preserve">Robustness conditions were:</w:t>
      </w:r>
    </w:p>
    <w:p>
      <w:pPr>
        <w:numPr>
          <w:ilvl w:val="0"/>
          <w:numId w:val="1010"/>
        </w:numPr>
      </w:pPr>
      <w:r>
        <w:t xml:space="preserve">Kennard–Stone selection of the standards from a random half of the target pool (non-exchangeable);</w:t>
      </w:r>
    </w:p>
    <w:p>
      <w:pPr>
        <w:numPr>
          <w:ilvl w:val="0"/>
          <w:numId w:val="1010"/>
        </w:numPr>
      </w:pPr>
      <w:r>
        <w:t xml:space="preserve">Gaussian noise added to all target spectra (SNR 1000, 300, 100);</w:t>
      </w:r>
    </w:p>
    <w:p>
      <w:pPr>
        <w:numPr>
          <w:ilvl w:val="0"/>
          <w:numId w:val="1010"/>
        </w:numPr>
      </w:pPr>
      <w:r>
        <w:t xml:space="preserve">a ±1-channel wavelength shift of the test spectra after the transfer was fitted (post-standardisation drift);</w:t>
      </w:r>
    </w:p>
    <w:p>
      <w:pPr>
        <w:numPr>
          <w:ilvl w:val="0"/>
          <w:numId w:val="1010"/>
        </w:numPr>
      </w:pPr>
      <w:r>
        <w:t xml:space="preserve">halving the source training set.</w:t>
      </w:r>
    </w:p>
    <w:p>
      <w:pPr>
        <w:pStyle w:val="FirstParagraph"/>
      </w:pPr>
      <w:r>
        <w:t xml:space="preserve">Sensitivity analyses covered the PDS half-window (1, 2, 3, 5), the number of latent variables (±2) and α.</w:t>
      </w:r>
    </w:p>
    <w:p>
      <w:pPr>
        <w:pStyle w:val="BodyText"/>
      </w:pPr>
      <w:r>
        <w:rPr>
          <w:bCs/>
          <w:b/>
        </w:rPr>
        <w:t xml:space="preserve">Software and hardware.</w:t>
      </w:r>
      <w:r>
        <w:t xml:space="preserve"> </w:t>
      </w:r>
      <w:r>
        <w:t xml:space="preserve">All methods were implemented in Python (NumPy, SciPy, scikit-learn, PyTorch). Our PLS implementation agrees with scikit-learn to within 10⁻¹⁴. Unit tests include a Monte Carlo coverage check of TJ+. Computations ran on 4 CPU cores without a GPU. The full study is reproduced by a single command (</w:t>
      </w:r>
      <w:r>
        <w:rPr>
          <w:rStyle w:val="VerbatimChar"/>
        </w:rPr>
        <w:t xml:space="preserve">python run_all.py --mode full</w:t>
      </w:r>
      <w:r>
        <w:t xml:space="preserve">).</w:t>
      </w:r>
    </w:p>
    <w:bookmarkEnd w:id="34"/>
    <w:bookmarkEnd w:id="35"/>
    <w:bookmarkStart w:id="69" w:name="results-and-discussion"/>
    <w:p>
      <w:pPr>
        <w:pStyle w:val="Heading1"/>
      </w:pPr>
      <w:r>
        <w:t xml:space="preserve">4. Results and discussion</w:t>
      </w:r>
    </w:p>
    <w:bookmarkStart w:id="36" w:name="point-accuracy-after-transfer"/>
    <w:p>
      <w:pPr>
        <w:pStyle w:val="Heading2"/>
      </w:pPr>
      <w:r>
        <w:t xml:space="preserve">4.1. Point accuracy after transfer</w:t>
      </w:r>
    </w:p>
    <w:p>
      <w:pPr>
        <w:pStyle w:val="FirstParagraph"/>
      </w:pPr>
      <w:r>
        <w:t xml:space="preserve">Calibration transfer was necessary, but it was not equally beneficial everywhere (Table 2).</w:t>
      </w:r>
    </w:p>
    <w:p>
      <w:pPr>
        <w:numPr>
          <w:ilvl w:val="0"/>
          <w:numId w:val="1011"/>
        </w:numPr>
      </w:pPr>
      <w:r>
        <w:rPr>
          <w:bCs/>
          <w:b/>
        </w:rPr>
        <w:t xml:space="preserve">Corn:</w:t>
      </w:r>
      <w:r>
        <w:t xml:space="preserve"> </w:t>
      </w:r>
      <w:r>
        <w:t xml:space="preserve">applying the master models directly to mp5/mp6 spectra gave RMSEP values 2.6–5.2 times larger than after PDS with</w:t>
      </w:r>
      <w:r>
        <w:t xml:space="preserve"> </w:t>
      </w:r>
      <w:r>
        <w:rPr>
          <w:iCs/>
          <w:i/>
        </w:rPr>
        <w:t xml:space="preserve">m</w:t>
      </w:r>
      <w:r>
        <w:t xml:space="preserve"> </w:t>
      </w:r>
      <w:r>
        <w:t xml:space="preserve">= 20 standards.</w:t>
      </w:r>
    </w:p>
    <w:p>
      <w:pPr>
        <w:numPr>
          <w:ilvl w:val="0"/>
          <w:numId w:val="1011"/>
        </w:numPr>
      </w:pPr>
      <w:r>
        <w:rPr>
          <w:bCs/>
          <w:b/>
        </w:rPr>
        <w:t xml:space="preserve">Tablets:</w:t>
      </w:r>
      <w:r>
        <w:t xml:space="preserve"> </w:t>
      </w:r>
      <w:r>
        <w:t xml:space="preserve">PDS reduced the assay RMSEP from 6.43 mg (</w:t>
      </w:r>
      <w:r>
        <w:rPr>
          <w:iCs/>
          <w:i/>
        </w:rPr>
        <w:t xml:space="preserve">m</w:t>
      </w:r>
      <w:r>
        <w:t xml:space="preserve"> </w:t>
      </w:r>
      <w:r>
        <w:t xml:space="preserve">= 10) to 4.65 mg (</w:t>
      </w:r>
      <w:r>
        <w:rPr>
          <w:iCs/>
          <w:i/>
        </w:rPr>
        <w:t xml:space="preserve">m</w:t>
      </w:r>
      <w:r>
        <w:t xml:space="preserve"> </w:t>
      </w:r>
      <w:r>
        <w:t xml:space="preserve">= 50). The weight and hardness predictions were insensitive to the transfer.</w:t>
      </w:r>
    </w:p>
    <w:p>
      <w:pPr>
        <w:numPr>
          <w:ilvl w:val="0"/>
          <w:numId w:val="1011"/>
        </w:numPr>
      </w:pPr>
      <w:r>
        <w:rPr>
          <w:bCs/>
          <w:b/>
        </w:rPr>
        <w:t xml:space="preserve">Mango:</w:t>
      </w:r>
      <w:r>
        <w:t xml:space="preserve"> </w:t>
      </w:r>
      <w:r>
        <w:t xml:space="preserve">SBC did not improve on the uncorrected source model (RMSEP 1.06–1.15 vs 1.05 % DM), consistent with reports that models built over several seasons are already fairly robust</w:t>
      </w:r>
      <w:r>
        <w:t xml:space="preserve"> </w:t>
      </w:r>
      <w:r>
        <w:t xml:space="preserve">[4]</w:t>
      </w:r>
      <w:r>
        <w:t xml:space="preserve">.</w:t>
      </w:r>
    </w:p>
    <w:p>
      <w:pPr>
        <w:pStyle w:val="FirstParagraph"/>
      </w:pPr>
      <w:r>
        <w:t xml:space="preserve">The transfer settings (PDS window 5, SBC slope and bias, LV numbers) were fixed in advance and were not tuned on target data. They are therefore not the most accurate possible: on corn, SBC gave lower RMSEP than the pre-registered PDS for all four properties, and a 3-channel PDS window was more accurate than the 5-channel one (§4.8). This does not affect the comparison of interval methods. All interval methods share the same point predictor within a pipeline, so the comparisons isolate the interval construction, and interval validity is reported for every pipeline (§4.3).</w:t>
      </w:r>
    </w:p>
    <w:p>
      <w:pPr>
        <w:pStyle w:val="TableCaption"/>
        <w:keepNext/>
      </w:pPr>
      <w:r>
        <w:rPr>
          <w:bCs/>
          <w:b/>
        </w:rPr>
        <w:t xml:space="preserve">Table 2.</w:t>
      </w:r>
      <w:r>
        <w:t xml:space="preserve"> </w:t>
      </w:r>
      <w:r>
        <w:t xml:space="preserve">Point accuracy (mean RMSEP over repetitions; corn averaged over mp5 and mp6) of the deployed predictor for each transfer pipeline and number of standards m. NONE = source model applied without transfer.</w:t>
      </w:r>
    </w:p>
    <w:tbl>
      <w:tblPr>
        <w:tblStyle w:val="Table"/>
        <w:tblW w:type="pct" w:w="5000"/>
        <w:jc w:val="center"/>
        <w:tblLook w:firstRow="1" w:lastRow="0" w:firstColumn="0" w:lastColumn="0" w:noHBand="0" w:noVBand="0" w:val="0020"/>
        <w:tblCaption w:val="Table 2. Point accuracy (mean RMSEP over repetitions; corn averaged over mp5 and mp6) of the deployed predictor for each transfer pipeline and number of standards m. NONE = source model applied without transfer."/>
      </w:tblPr>
      <w:tblGrid>
        <w:gridCol w:w="792"/>
        <w:gridCol w:w="792"/>
        <w:gridCol w:w="792"/>
        <w:gridCol w:w="792"/>
        <w:gridCol w:w="792"/>
        <w:gridCol w:w="792"/>
        <w:gridCol w:w="792"/>
        <w:gridCol w:w="792"/>
        <w:gridCol w:w="792"/>
        <w:gridCol w:w="792"/>
      </w:tblGrid>
      <w:tr>
        <w:trPr>
          <w:tblHeader w:val="true"/>
        </w:trPr>
        <w:tc>
          <w:tcPr>
            <w:tcBorders>
              <w:top w:val="single" w:sz="8" w:color="000000"/>
              <w:bottom w:val="single" w:sz="8" w:color="000000"/>
            </w:tcBorders>
          </w:tcPr>
          <w:p>
            <w:pPr>
              <w:pStyle w:val="Compact"/>
              <w:spacing w:after="0"/>
              <w:jc w:val="left"/>
            </w:pPr>
            <w:r>
              <w:t xml:space="preserve">Data set</w:t>
            </w:r>
          </w:p>
        </w:tc>
        <w:tc>
          <w:tcPr>
            <w:tcBorders>
              <w:top w:val="single" w:sz="8" w:color="000000"/>
              <w:bottom w:val="single" w:sz="8" w:color="000000"/>
            </w:tcBorders>
          </w:tcPr>
          <w:p>
            <w:pPr>
              <w:pStyle w:val="Compact"/>
              <w:spacing w:after="0"/>
              <w:jc w:val="right"/>
            </w:pPr>
            <w:r>
              <w:t xml:space="preserve">Response</w:t>
            </w:r>
          </w:p>
        </w:tc>
        <w:tc>
          <w:tcPr>
            <w:tcBorders>
              <w:top w:val="single" w:sz="8" w:color="000000"/>
              <w:bottom w:val="single" w:sz="8" w:color="000000"/>
            </w:tcBorders>
          </w:tcPr>
          <w:p>
            <w:pPr>
              <w:pStyle w:val="Compact"/>
              <w:spacing w:after="0"/>
              <w:jc w:val="right"/>
            </w:pPr>
            <w:r>
              <w:t xml:space="preserve">DS (m=10)</w:t>
            </w:r>
          </w:p>
        </w:tc>
        <w:tc>
          <w:tcPr>
            <w:tcBorders>
              <w:top w:val="single" w:sz="8" w:color="000000"/>
              <w:bottom w:val="single" w:sz="8" w:color="000000"/>
            </w:tcBorders>
          </w:tcPr>
          <w:p>
            <w:pPr>
              <w:pStyle w:val="Compact"/>
              <w:spacing w:after="0"/>
              <w:jc w:val="right"/>
            </w:pPr>
            <w:r>
              <w:t xml:space="preserve">DS (m=20)</w:t>
            </w:r>
          </w:p>
        </w:tc>
        <w:tc>
          <w:tcPr>
            <w:tcBorders>
              <w:top w:val="single" w:sz="8" w:color="000000"/>
              <w:bottom w:val="single" w:sz="8" w:color="000000"/>
            </w:tcBorders>
          </w:tcPr>
          <w:p>
            <w:pPr>
              <w:pStyle w:val="Compact"/>
              <w:spacing w:after="0"/>
              <w:jc w:val="right"/>
            </w:pPr>
            <w:r>
              <w:t xml:space="preserve">NONE (m=10)</w:t>
            </w:r>
          </w:p>
        </w:tc>
        <w:tc>
          <w:tcPr>
            <w:tcBorders>
              <w:top w:val="single" w:sz="8" w:color="000000"/>
              <w:bottom w:val="single" w:sz="8" w:color="000000"/>
            </w:tcBorders>
          </w:tcPr>
          <w:p>
            <w:pPr>
              <w:pStyle w:val="Compact"/>
              <w:spacing w:after="0"/>
              <w:jc w:val="right"/>
            </w:pPr>
            <w:r>
              <w:t xml:space="preserve">NONE (m=20)</w:t>
            </w:r>
          </w:p>
        </w:tc>
        <w:tc>
          <w:tcPr>
            <w:tcBorders>
              <w:top w:val="single" w:sz="8" w:color="000000"/>
              <w:bottom w:val="single" w:sz="8" w:color="000000"/>
            </w:tcBorders>
          </w:tcPr>
          <w:p>
            <w:pPr>
              <w:pStyle w:val="Compact"/>
              <w:spacing w:after="0"/>
              <w:jc w:val="right"/>
            </w:pPr>
            <w:r>
              <w:t xml:space="preserve">PDS (m=10)</w:t>
            </w:r>
          </w:p>
        </w:tc>
        <w:tc>
          <w:tcPr>
            <w:tcBorders>
              <w:top w:val="single" w:sz="8" w:color="000000"/>
              <w:bottom w:val="single" w:sz="8" w:color="000000"/>
            </w:tcBorders>
          </w:tcPr>
          <w:p>
            <w:pPr>
              <w:pStyle w:val="Compact"/>
              <w:spacing w:after="0"/>
              <w:jc w:val="right"/>
            </w:pPr>
            <w:r>
              <w:t xml:space="preserve">PDS (m=20)</w:t>
            </w:r>
          </w:p>
        </w:tc>
        <w:tc>
          <w:tcPr>
            <w:tcBorders>
              <w:top w:val="single" w:sz="8" w:color="000000"/>
              <w:bottom w:val="single" w:sz="8" w:color="000000"/>
            </w:tcBorders>
          </w:tcPr>
          <w:p>
            <w:pPr>
              <w:pStyle w:val="Compact"/>
              <w:spacing w:after="0"/>
              <w:jc w:val="right"/>
            </w:pPr>
            <w:r>
              <w:t xml:space="preserve">SBC (m=10)</w:t>
            </w:r>
          </w:p>
        </w:tc>
        <w:tc>
          <w:tcPr>
            <w:tcBorders>
              <w:top w:val="single" w:sz="8" w:color="000000"/>
              <w:bottom w:val="single" w:sz="8" w:color="000000"/>
            </w:tcBorders>
          </w:tcPr>
          <w:p>
            <w:pPr>
              <w:pStyle w:val="Compact"/>
              <w:spacing w:after="0"/>
              <w:jc w:val="right"/>
            </w:pPr>
            <w:r>
              <w:t xml:space="preserve">SBC (m=20)</w:t>
            </w:r>
          </w:p>
        </w:tc>
      </w:tr>
      <w:tr>
        <w:tc>
          <w:tcPr/>
          <w:p>
            <w:pPr>
              <w:pStyle w:val="Compact"/>
              <w:spacing w:after="0"/>
              <w:jc w:val="left"/>
            </w:pPr>
            <w:r>
              <w:t xml:space="preserve">Corn</w:t>
            </w:r>
          </w:p>
        </w:tc>
        <w:tc>
          <w:tcPr/>
          <w:p>
            <w:pPr>
              <w:pStyle w:val="Compact"/>
              <w:spacing w:after="0"/>
              <w:jc w:val="right"/>
            </w:pPr>
            <w:r>
              <w:t xml:space="preserve">moisture</w:t>
            </w:r>
          </w:p>
        </w:tc>
        <w:tc>
          <w:tcPr/>
          <w:p>
            <w:pPr>
              <w:pStyle w:val="Compact"/>
              <w:spacing w:after="0"/>
              <w:jc w:val="right"/>
            </w:pPr>
            <w:r>
              <w:t xml:space="preserve">0.308</w:t>
            </w:r>
          </w:p>
        </w:tc>
        <w:tc>
          <w:tcPr/>
          <w:p>
            <w:pPr>
              <w:pStyle w:val="Compact"/>
              <w:spacing w:after="0"/>
              <w:jc w:val="right"/>
            </w:pPr>
            <w:r>
              <w:t xml:space="preserve">0.238</w:t>
            </w:r>
          </w:p>
        </w:tc>
        <w:tc>
          <w:tcPr/>
          <w:p>
            <w:pPr>
              <w:pStyle w:val="Compact"/>
              <w:spacing w:after="0"/>
              <w:jc w:val="right"/>
            </w:pPr>
            <w:r>
              <w:t xml:space="preserve">1.598</w:t>
            </w:r>
          </w:p>
        </w:tc>
        <w:tc>
          <w:tcPr/>
          <w:p>
            <w:pPr>
              <w:pStyle w:val="Compact"/>
              <w:spacing w:after="0"/>
              <w:jc w:val="right"/>
            </w:pPr>
            <w:r>
              <w:t xml:space="preserve">1.592</w:t>
            </w:r>
          </w:p>
        </w:tc>
        <w:tc>
          <w:tcPr/>
          <w:p>
            <w:pPr>
              <w:pStyle w:val="Compact"/>
              <w:spacing w:after="0"/>
              <w:jc w:val="right"/>
            </w:pPr>
            <w:r>
              <w:t xml:space="preserve">0.349</w:t>
            </w:r>
          </w:p>
        </w:tc>
        <w:tc>
          <w:tcPr/>
          <w:p>
            <w:pPr>
              <w:pStyle w:val="Compact"/>
              <w:spacing w:after="0"/>
              <w:jc w:val="right"/>
            </w:pPr>
            <w:r>
              <w:t xml:space="preserve">0.304</w:t>
            </w:r>
          </w:p>
        </w:tc>
        <w:tc>
          <w:tcPr/>
          <w:p>
            <w:pPr>
              <w:pStyle w:val="Compact"/>
              <w:spacing w:after="0"/>
              <w:jc w:val="right"/>
            </w:pPr>
            <w:r>
              <w:t xml:space="preserve">0.251</w:t>
            </w:r>
          </w:p>
        </w:tc>
        <w:tc>
          <w:tcPr/>
          <w:p>
            <w:pPr>
              <w:pStyle w:val="Compact"/>
              <w:spacing w:after="0"/>
              <w:jc w:val="right"/>
            </w:pPr>
            <w:r>
              <w:t xml:space="preserve">0.229</w:t>
            </w:r>
          </w:p>
        </w:tc>
      </w:tr>
      <w:tr>
        <w:tc>
          <w:tcPr/>
          <w:p>
            <w:pPr>
              <w:pStyle w:val="Compact"/>
              <w:spacing w:after="0"/>
              <w:jc w:val="left"/>
            </w:pPr>
            <w:r>
              <w:t xml:space="preserve">Corn</w:t>
            </w:r>
          </w:p>
        </w:tc>
        <w:tc>
          <w:tcPr/>
          <w:p>
            <w:pPr>
              <w:pStyle w:val="Compact"/>
              <w:spacing w:after="0"/>
              <w:jc w:val="right"/>
            </w:pPr>
            <w:r>
              <w:t xml:space="preserve">oil</w:t>
            </w:r>
          </w:p>
        </w:tc>
        <w:tc>
          <w:tcPr/>
          <w:p>
            <w:pPr>
              <w:pStyle w:val="Compact"/>
              <w:spacing w:after="0"/>
              <w:jc w:val="right"/>
            </w:pPr>
            <w:r>
              <w:t xml:space="preserve">0.187</w:t>
            </w:r>
          </w:p>
        </w:tc>
        <w:tc>
          <w:tcPr/>
          <w:p>
            <w:pPr>
              <w:pStyle w:val="Compact"/>
              <w:spacing w:after="0"/>
              <w:jc w:val="right"/>
            </w:pPr>
            <w:r>
              <w:t xml:space="preserve">0.145</w:t>
            </w:r>
          </w:p>
        </w:tc>
        <w:tc>
          <w:tcPr/>
          <w:p>
            <w:pPr>
              <w:pStyle w:val="Compact"/>
              <w:spacing w:after="0"/>
              <w:jc w:val="right"/>
            </w:pPr>
            <w:r>
              <w:t xml:space="preserve">0.287</w:t>
            </w:r>
          </w:p>
        </w:tc>
        <w:tc>
          <w:tcPr/>
          <w:p>
            <w:pPr>
              <w:pStyle w:val="Compact"/>
              <w:spacing w:after="0"/>
              <w:jc w:val="right"/>
            </w:pPr>
            <w:r>
              <w:t xml:space="preserve">0.286</w:t>
            </w:r>
          </w:p>
        </w:tc>
        <w:tc>
          <w:tcPr/>
          <w:p>
            <w:pPr>
              <w:pStyle w:val="Compact"/>
              <w:spacing w:after="0"/>
              <w:jc w:val="right"/>
            </w:pPr>
            <w:r>
              <w:t xml:space="preserve">0.142</w:t>
            </w:r>
          </w:p>
        </w:tc>
        <w:tc>
          <w:tcPr/>
          <w:p>
            <w:pPr>
              <w:pStyle w:val="Compact"/>
              <w:spacing w:after="0"/>
              <w:jc w:val="right"/>
            </w:pPr>
            <w:r>
              <w:t xml:space="preserve">0.109</w:t>
            </w:r>
          </w:p>
        </w:tc>
        <w:tc>
          <w:tcPr/>
          <w:p>
            <w:pPr>
              <w:pStyle w:val="Compact"/>
              <w:spacing w:after="0"/>
              <w:jc w:val="right"/>
            </w:pPr>
            <w:r>
              <w:t xml:space="preserve">0.091</w:t>
            </w:r>
          </w:p>
        </w:tc>
        <w:tc>
          <w:tcPr/>
          <w:p>
            <w:pPr>
              <w:pStyle w:val="Compact"/>
              <w:spacing w:after="0"/>
              <w:jc w:val="right"/>
            </w:pPr>
            <w:r>
              <w:t xml:space="preserve">0.084</w:t>
            </w:r>
          </w:p>
        </w:tc>
      </w:tr>
      <w:tr>
        <w:tc>
          <w:tcPr/>
          <w:p>
            <w:pPr>
              <w:pStyle w:val="Compact"/>
              <w:spacing w:after="0"/>
              <w:jc w:val="left"/>
            </w:pPr>
            <w:r>
              <w:t xml:space="preserve">Corn</w:t>
            </w:r>
          </w:p>
        </w:tc>
        <w:tc>
          <w:tcPr/>
          <w:p>
            <w:pPr>
              <w:pStyle w:val="Compact"/>
              <w:spacing w:after="0"/>
              <w:jc w:val="right"/>
            </w:pPr>
            <w:r>
              <w:t xml:space="preserve">protein</w:t>
            </w:r>
          </w:p>
        </w:tc>
        <w:tc>
          <w:tcPr/>
          <w:p>
            <w:pPr>
              <w:pStyle w:val="Compact"/>
              <w:spacing w:after="0"/>
              <w:jc w:val="right"/>
            </w:pPr>
            <w:r>
              <w:t xml:space="preserve">0.439</w:t>
            </w:r>
          </w:p>
        </w:tc>
        <w:tc>
          <w:tcPr/>
          <w:p>
            <w:pPr>
              <w:pStyle w:val="Compact"/>
              <w:spacing w:after="0"/>
              <w:jc w:val="right"/>
            </w:pPr>
            <w:r>
              <w:t xml:space="preserve">0.316</w:t>
            </w:r>
          </w:p>
        </w:tc>
        <w:tc>
          <w:tcPr/>
          <w:p>
            <w:pPr>
              <w:pStyle w:val="Compact"/>
              <w:spacing w:after="0"/>
              <w:jc w:val="right"/>
            </w:pPr>
            <w:r>
              <w:t xml:space="preserve">0.794</w:t>
            </w:r>
          </w:p>
        </w:tc>
        <w:tc>
          <w:tcPr/>
          <w:p>
            <w:pPr>
              <w:pStyle w:val="Compact"/>
              <w:spacing w:after="0"/>
              <w:jc w:val="right"/>
            </w:pPr>
            <w:r>
              <w:t xml:space="preserve">0.794</w:t>
            </w:r>
          </w:p>
        </w:tc>
        <w:tc>
          <w:tcPr/>
          <w:p>
            <w:pPr>
              <w:pStyle w:val="Compact"/>
              <w:spacing w:after="0"/>
              <w:jc w:val="right"/>
            </w:pPr>
            <w:r>
              <w:t xml:space="preserve">0.233</w:t>
            </w:r>
          </w:p>
        </w:tc>
        <w:tc>
          <w:tcPr/>
          <w:p>
            <w:pPr>
              <w:pStyle w:val="Compact"/>
              <w:spacing w:after="0"/>
              <w:jc w:val="right"/>
            </w:pPr>
            <w:r>
              <w:t xml:space="preserve">0.194</w:t>
            </w:r>
          </w:p>
        </w:tc>
        <w:tc>
          <w:tcPr/>
          <w:p>
            <w:pPr>
              <w:pStyle w:val="Compact"/>
              <w:spacing w:after="0"/>
              <w:jc w:val="right"/>
            </w:pPr>
            <w:r>
              <w:t xml:space="preserve">0.168</w:t>
            </w:r>
          </w:p>
        </w:tc>
        <w:tc>
          <w:tcPr/>
          <w:p>
            <w:pPr>
              <w:pStyle w:val="Compact"/>
              <w:spacing w:after="0"/>
              <w:jc w:val="right"/>
            </w:pPr>
            <w:r>
              <w:t xml:space="preserve">0.158</w:t>
            </w:r>
          </w:p>
        </w:tc>
      </w:tr>
      <w:tr>
        <w:tc>
          <w:tcPr/>
          <w:p>
            <w:pPr>
              <w:pStyle w:val="Compact"/>
              <w:spacing w:after="0"/>
              <w:jc w:val="left"/>
            </w:pPr>
            <w:r>
              <w:t xml:space="preserve">Corn</w:t>
            </w:r>
          </w:p>
        </w:tc>
        <w:tc>
          <w:tcPr/>
          <w:p>
            <w:pPr>
              <w:pStyle w:val="Compact"/>
              <w:spacing w:after="0"/>
              <w:jc w:val="right"/>
            </w:pPr>
            <w:r>
              <w:t xml:space="preserve">starch</w:t>
            </w:r>
          </w:p>
        </w:tc>
        <w:tc>
          <w:tcPr/>
          <w:p>
            <w:pPr>
              <w:pStyle w:val="Compact"/>
              <w:spacing w:after="0"/>
              <w:jc w:val="right"/>
            </w:pPr>
            <w:r>
              <w:t xml:space="preserve">0.885</w:t>
            </w:r>
          </w:p>
        </w:tc>
        <w:tc>
          <w:tcPr/>
          <w:p>
            <w:pPr>
              <w:pStyle w:val="Compact"/>
              <w:spacing w:after="0"/>
              <w:jc w:val="right"/>
            </w:pPr>
            <w:r>
              <w:t xml:space="preserve">0.669</w:t>
            </w:r>
          </w:p>
        </w:tc>
        <w:tc>
          <w:tcPr/>
          <w:p>
            <w:pPr>
              <w:pStyle w:val="Compact"/>
              <w:spacing w:after="0"/>
              <w:jc w:val="right"/>
            </w:pPr>
            <w:r>
              <w:t xml:space="preserve">1.901</w:t>
            </w:r>
          </w:p>
        </w:tc>
        <w:tc>
          <w:tcPr/>
          <w:p>
            <w:pPr>
              <w:pStyle w:val="Compact"/>
              <w:spacing w:after="0"/>
              <w:jc w:val="right"/>
            </w:pPr>
            <w:r>
              <w:t xml:space="preserve">1.897</w:t>
            </w:r>
          </w:p>
        </w:tc>
        <w:tc>
          <w:tcPr/>
          <w:p>
            <w:pPr>
              <w:pStyle w:val="Compact"/>
              <w:spacing w:after="0"/>
              <w:jc w:val="right"/>
            </w:pPr>
            <w:r>
              <w:t xml:space="preserve">0.568</w:t>
            </w:r>
          </w:p>
        </w:tc>
        <w:tc>
          <w:tcPr/>
          <w:p>
            <w:pPr>
              <w:pStyle w:val="Compact"/>
              <w:spacing w:after="0"/>
              <w:jc w:val="right"/>
            </w:pPr>
            <w:r>
              <w:t xml:space="preserve">0.466</w:t>
            </w:r>
          </w:p>
        </w:tc>
        <w:tc>
          <w:tcPr/>
          <w:p>
            <w:pPr>
              <w:pStyle w:val="Compact"/>
              <w:spacing w:after="0"/>
              <w:jc w:val="right"/>
            </w:pPr>
            <w:r>
              <w:t xml:space="preserve">0.406</w:t>
            </w:r>
          </w:p>
        </w:tc>
        <w:tc>
          <w:tcPr/>
          <w:p>
            <w:pPr>
              <w:pStyle w:val="Compact"/>
              <w:spacing w:after="0"/>
              <w:jc w:val="right"/>
            </w:pPr>
            <w:r>
              <w:t xml:space="preserve">0.377</w:t>
            </w:r>
          </w:p>
        </w:tc>
      </w:tr>
      <w:tr>
        <w:tc>
          <w:tcPr/>
          <w:p>
            <w:pPr>
              <w:pStyle w:val="Compact"/>
              <w:spacing w:after="0"/>
              <w:jc w:val="left"/>
            </w:pPr>
            <w:r>
              <w:t xml:space="preserve">Mango</w:t>
            </w:r>
          </w:p>
        </w:tc>
        <w:tc>
          <w:tcPr/>
          <w:p>
            <w:pPr>
              <w:pStyle w:val="Compact"/>
              <w:spacing w:after="0"/>
              <w:jc w:val="right"/>
            </w:pPr>
            <w:r>
              <w:t xml:space="preserve">dry matter</w:t>
            </w:r>
          </w:p>
        </w:tc>
        <w:tc>
          <w:tcPr/>
          <w:p>
            <w:pPr>
              <w:pStyle w:val="Compact"/>
              <w:spacing w:after="0"/>
              <w:jc w:val="right"/>
            </w:pPr>
            <w:r>
              <w:t xml:space="preserve">–</w:t>
            </w:r>
          </w:p>
        </w:tc>
        <w:tc>
          <w:tcPr/>
          <w:p>
            <w:pPr>
              <w:pStyle w:val="Compact"/>
              <w:spacing w:after="0"/>
              <w:jc w:val="right"/>
            </w:pPr>
            <w:r>
              <w:t xml:space="preserve">–</w:t>
            </w:r>
          </w:p>
        </w:tc>
        <w:tc>
          <w:tcPr/>
          <w:p>
            <w:pPr>
              <w:pStyle w:val="Compact"/>
              <w:spacing w:after="0"/>
              <w:jc w:val="right"/>
            </w:pPr>
            <w:r>
              <w:t xml:space="preserve">1.052</w:t>
            </w:r>
          </w:p>
        </w:tc>
        <w:tc>
          <w:tcPr/>
          <w:p>
            <w:pPr>
              <w:pStyle w:val="Compact"/>
              <w:spacing w:after="0"/>
              <w:jc w:val="right"/>
            </w:pPr>
            <w:r>
              <w:t xml:space="preserve">1.052</w:t>
            </w:r>
          </w:p>
        </w:tc>
        <w:tc>
          <w:tcPr/>
          <w:p>
            <w:pPr>
              <w:pStyle w:val="Compact"/>
              <w:spacing w:after="0"/>
              <w:jc w:val="right"/>
            </w:pPr>
            <w:r>
              <w:t xml:space="preserve">–</w:t>
            </w:r>
          </w:p>
        </w:tc>
        <w:tc>
          <w:tcPr/>
          <w:p>
            <w:pPr>
              <w:pStyle w:val="Compact"/>
              <w:spacing w:after="0"/>
              <w:jc w:val="right"/>
            </w:pPr>
            <w:r>
              <w:t xml:space="preserve">–</w:t>
            </w:r>
          </w:p>
        </w:tc>
        <w:tc>
          <w:tcPr/>
          <w:p>
            <w:pPr>
              <w:pStyle w:val="Compact"/>
              <w:spacing w:after="0"/>
              <w:jc w:val="right"/>
            </w:pPr>
            <w:r>
              <w:t xml:space="preserve">1.155</w:t>
            </w:r>
          </w:p>
        </w:tc>
        <w:tc>
          <w:tcPr/>
          <w:p>
            <w:pPr>
              <w:pStyle w:val="Compact"/>
              <w:spacing w:after="0"/>
              <w:jc w:val="right"/>
            </w:pPr>
            <w:r>
              <w:t xml:space="preserve">1.095</w:t>
            </w:r>
          </w:p>
        </w:tc>
      </w:tr>
      <w:tr>
        <w:tc>
          <w:tcPr/>
          <w:p>
            <w:pPr>
              <w:pStyle w:val="Compact"/>
              <w:spacing w:after="0"/>
              <w:jc w:val="left"/>
            </w:pPr>
            <w:r>
              <w:t xml:space="preserve">Tablets</w:t>
            </w:r>
          </w:p>
        </w:tc>
        <w:tc>
          <w:tcPr/>
          <w:p>
            <w:pPr>
              <w:pStyle w:val="Compact"/>
              <w:spacing w:after="0"/>
              <w:jc w:val="right"/>
            </w:pPr>
            <w:r>
              <w:t xml:space="preserve">assay</w:t>
            </w:r>
          </w:p>
        </w:tc>
        <w:tc>
          <w:tcPr/>
          <w:p>
            <w:pPr>
              <w:pStyle w:val="Compact"/>
              <w:spacing w:after="0"/>
              <w:jc w:val="right"/>
            </w:pPr>
            <w:r>
              <w:t xml:space="preserve">9.216</w:t>
            </w:r>
          </w:p>
        </w:tc>
        <w:tc>
          <w:tcPr/>
          <w:p>
            <w:pPr>
              <w:pStyle w:val="Compact"/>
              <w:spacing w:after="0"/>
              <w:jc w:val="right"/>
            </w:pPr>
            <w:r>
              <w:t xml:space="preserve">5.998</w:t>
            </w:r>
          </w:p>
        </w:tc>
        <w:tc>
          <w:tcPr/>
          <w:p>
            <w:pPr>
              <w:pStyle w:val="Compact"/>
              <w:spacing w:after="0"/>
              <w:jc w:val="right"/>
            </w:pPr>
            <w:r>
              <w:t xml:space="preserve">7.351</w:t>
            </w:r>
          </w:p>
        </w:tc>
        <w:tc>
          <w:tcPr/>
          <w:p>
            <w:pPr>
              <w:pStyle w:val="Compact"/>
              <w:spacing w:after="0"/>
              <w:jc w:val="right"/>
            </w:pPr>
            <w:r>
              <w:t xml:space="preserve">7.347</w:t>
            </w:r>
          </w:p>
        </w:tc>
        <w:tc>
          <w:tcPr/>
          <w:p>
            <w:pPr>
              <w:pStyle w:val="Compact"/>
              <w:spacing w:after="0"/>
              <w:jc w:val="right"/>
            </w:pPr>
            <w:r>
              <w:t xml:space="preserve">6.434</w:t>
            </w:r>
          </w:p>
        </w:tc>
        <w:tc>
          <w:tcPr/>
          <w:p>
            <w:pPr>
              <w:pStyle w:val="Compact"/>
              <w:spacing w:after="0"/>
              <w:jc w:val="right"/>
            </w:pPr>
            <w:r>
              <w:t xml:space="preserve">5.101</w:t>
            </w:r>
          </w:p>
        </w:tc>
        <w:tc>
          <w:tcPr/>
          <w:p>
            <w:pPr>
              <w:pStyle w:val="Compact"/>
              <w:spacing w:after="0"/>
              <w:jc w:val="right"/>
            </w:pPr>
            <w:r>
              <w:t xml:space="preserve">7.797</w:t>
            </w:r>
          </w:p>
        </w:tc>
        <w:tc>
          <w:tcPr/>
          <w:p>
            <w:pPr>
              <w:pStyle w:val="Compact"/>
              <w:spacing w:after="0"/>
              <w:jc w:val="right"/>
            </w:pPr>
            <w:r>
              <w:t xml:space="preserve">7.298</w:t>
            </w:r>
          </w:p>
        </w:tc>
      </w:tr>
      <w:tr>
        <w:tc>
          <w:tcPr/>
          <w:p>
            <w:pPr>
              <w:pStyle w:val="Compact"/>
              <w:spacing w:after="0"/>
              <w:jc w:val="left"/>
            </w:pPr>
            <w:r>
              <w:t xml:space="preserve">Tablets</w:t>
            </w:r>
          </w:p>
        </w:tc>
        <w:tc>
          <w:tcPr/>
          <w:p>
            <w:pPr>
              <w:pStyle w:val="Compact"/>
              <w:spacing w:after="0"/>
              <w:jc w:val="right"/>
            </w:pPr>
            <w:r>
              <w:t xml:space="preserve">hardness</w:t>
            </w:r>
          </w:p>
        </w:tc>
        <w:tc>
          <w:tcPr/>
          <w:p>
            <w:pPr>
              <w:pStyle w:val="Compact"/>
              <w:spacing w:after="0"/>
              <w:jc w:val="right"/>
            </w:pPr>
            <w:r>
              <w:t xml:space="preserve">1.011</w:t>
            </w:r>
          </w:p>
        </w:tc>
        <w:tc>
          <w:tcPr/>
          <w:p>
            <w:pPr>
              <w:pStyle w:val="Compact"/>
              <w:spacing w:after="0"/>
              <w:jc w:val="right"/>
            </w:pPr>
            <w:r>
              <w:t xml:space="preserve">1.014</w:t>
            </w:r>
          </w:p>
        </w:tc>
        <w:tc>
          <w:tcPr/>
          <w:p>
            <w:pPr>
              <w:pStyle w:val="Compact"/>
              <w:spacing w:after="0"/>
              <w:jc w:val="right"/>
            </w:pPr>
            <w:r>
              <w:t xml:space="preserve">1.055</w:t>
            </w:r>
          </w:p>
        </w:tc>
        <w:tc>
          <w:tcPr/>
          <w:p>
            <w:pPr>
              <w:pStyle w:val="Compact"/>
              <w:spacing w:after="0"/>
              <w:jc w:val="right"/>
            </w:pPr>
            <w:r>
              <w:t xml:space="preserve">1.054</w:t>
            </w:r>
          </w:p>
        </w:tc>
        <w:tc>
          <w:tcPr/>
          <w:p>
            <w:pPr>
              <w:pStyle w:val="Compact"/>
              <w:spacing w:after="0"/>
              <w:jc w:val="right"/>
            </w:pPr>
            <w:r>
              <w:t xml:space="preserve">1.021</w:t>
            </w:r>
          </w:p>
        </w:tc>
        <w:tc>
          <w:tcPr/>
          <w:p>
            <w:pPr>
              <w:pStyle w:val="Compact"/>
              <w:spacing w:after="0"/>
              <w:jc w:val="right"/>
            </w:pPr>
            <w:r>
              <w:t xml:space="preserve">1.022</w:t>
            </w:r>
          </w:p>
        </w:tc>
        <w:tc>
          <w:tcPr/>
          <w:p>
            <w:pPr>
              <w:pStyle w:val="Compact"/>
              <w:spacing w:after="0"/>
              <w:jc w:val="right"/>
            </w:pPr>
            <w:r>
              <w:t xml:space="preserve">1.074</w:t>
            </w:r>
          </w:p>
        </w:tc>
        <w:tc>
          <w:tcPr/>
          <w:p>
            <w:pPr>
              <w:pStyle w:val="Compact"/>
              <w:spacing w:after="0"/>
              <w:jc w:val="right"/>
            </w:pPr>
            <w:r>
              <w:t xml:space="preserve">0.998</w:t>
            </w:r>
          </w:p>
        </w:tc>
      </w:tr>
      <w:tr>
        <w:tc>
          <w:tcPr>
            <w:tcBorders>
              <w:bottom w:val="single" w:sz="8" w:color="000000"/>
            </w:tcBorders>
          </w:tcPr>
          <w:p>
            <w:pPr>
              <w:pStyle w:val="Compact"/>
              <w:spacing w:after="0"/>
              <w:jc w:val="left"/>
            </w:pPr>
            <w:r>
              <w:t xml:space="preserve">Tablets</w:t>
            </w:r>
          </w:p>
        </w:tc>
        <w:tc>
          <w:tcPr>
            <w:tcBorders>
              <w:bottom w:val="single" w:sz="8" w:color="000000"/>
            </w:tcBorders>
          </w:tcPr>
          <w:p>
            <w:pPr>
              <w:pStyle w:val="Compact"/>
              <w:spacing w:after="0"/>
              <w:jc w:val="right"/>
            </w:pPr>
            <w:r>
              <w:t xml:space="preserve">weight</w:t>
            </w:r>
          </w:p>
        </w:tc>
        <w:tc>
          <w:tcPr>
            <w:tcBorders>
              <w:bottom w:val="single" w:sz="8" w:color="000000"/>
            </w:tcBorders>
          </w:tcPr>
          <w:p>
            <w:pPr>
              <w:pStyle w:val="Compact"/>
              <w:spacing w:after="0"/>
              <w:jc w:val="right"/>
            </w:pPr>
            <w:r>
              <w:t xml:space="preserve">4.138</w:t>
            </w:r>
          </w:p>
        </w:tc>
        <w:tc>
          <w:tcPr>
            <w:tcBorders>
              <w:bottom w:val="single" w:sz="8" w:color="000000"/>
            </w:tcBorders>
          </w:tcPr>
          <w:p>
            <w:pPr>
              <w:pStyle w:val="Compact"/>
              <w:spacing w:after="0"/>
              <w:jc w:val="right"/>
            </w:pPr>
            <w:r>
              <w:t xml:space="preserve">4.165</w:t>
            </w:r>
          </w:p>
        </w:tc>
        <w:tc>
          <w:tcPr>
            <w:tcBorders>
              <w:bottom w:val="single" w:sz="8" w:color="000000"/>
            </w:tcBorders>
          </w:tcPr>
          <w:p>
            <w:pPr>
              <w:pStyle w:val="Compact"/>
              <w:spacing w:after="0"/>
              <w:jc w:val="right"/>
            </w:pPr>
            <w:r>
              <w:t xml:space="preserve">4.456</w:t>
            </w:r>
          </w:p>
        </w:tc>
        <w:tc>
          <w:tcPr>
            <w:tcBorders>
              <w:bottom w:val="single" w:sz="8" w:color="000000"/>
            </w:tcBorders>
          </w:tcPr>
          <w:p>
            <w:pPr>
              <w:pStyle w:val="Compact"/>
              <w:spacing w:after="0"/>
              <w:jc w:val="right"/>
            </w:pPr>
            <w:r>
              <w:t xml:space="preserve">4.456</w:t>
            </w:r>
          </w:p>
        </w:tc>
        <w:tc>
          <w:tcPr>
            <w:tcBorders>
              <w:bottom w:val="single" w:sz="8" w:color="000000"/>
            </w:tcBorders>
          </w:tcPr>
          <w:p>
            <w:pPr>
              <w:pStyle w:val="Compact"/>
              <w:spacing w:after="0"/>
              <w:jc w:val="right"/>
            </w:pPr>
            <w:r>
              <w:t xml:space="preserve">4.194</w:t>
            </w:r>
          </w:p>
        </w:tc>
        <w:tc>
          <w:tcPr>
            <w:tcBorders>
              <w:bottom w:val="single" w:sz="8" w:color="000000"/>
            </w:tcBorders>
          </w:tcPr>
          <w:p>
            <w:pPr>
              <w:pStyle w:val="Compact"/>
              <w:spacing w:after="0"/>
              <w:jc w:val="right"/>
            </w:pPr>
            <w:r>
              <w:t xml:space="preserve">4.201</w:t>
            </w:r>
          </w:p>
        </w:tc>
        <w:tc>
          <w:tcPr>
            <w:tcBorders>
              <w:bottom w:val="single" w:sz="8" w:color="000000"/>
            </w:tcBorders>
          </w:tcPr>
          <w:p>
            <w:pPr>
              <w:pStyle w:val="Compact"/>
              <w:spacing w:after="0"/>
              <w:jc w:val="right"/>
            </w:pPr>
            <w:r>
              <w:t xml:space="preserve">4.212</w:t>
            </w:r>
          </w:p>
        </w:tc>
        <w:tc>
          <w:tcPr>
            <w:tcBorders>
              <w:bottom w:val="single" w:sz="8" w:color="000000"/>
            </w:tcBorders>
          </w:tcPr>
          <w:p>
            <w:pPr>
              <w:pStyle w:val="Compact"/>
              <w:spacing w:after="0"/>
              <w:jc w:val="right"/>
            </w:pPr>
            <w:r>
              <w:t xml:space="preserve">3.926</w:t>
            </w:r>
          </w:p>
        </w:tc>
      </w:tr>
    </w:tbl>
    <w:bookmarkEnd w:id="36"/>
    <w:bookmarkStart w:id="40" w:name="X732a369a4147e3f03ab405af2d148737ba85846"/>
    <w:p>
      <w:pPr>
        <w:pStyle w:val="Heading2"/>
      </w:pPr>
      <w:r>
        <w:t xml:space="preserve">4.2. Conventional intervals after transfer (RQ1)</w:t>
      </w:r>
    </w:p>
    <w:p>
      <w:pPr>
        <w:pStyle w:val="FirstParagraph"/>
      </w:pPr>
      <w:r>
        <w:t xml:space="preserve">Source-calibrated intervals under-covered when the transfer added substantial error that the source calibration had not seen (Fig. 3; Table 3; compare Table 2).</w:t>
      </w:r>
    </w:p>
    <w:p>
      <w:pPr>
        <w:numPr>
          <w:ilvl w:val="0"/>
          <w:numId w:val="1012"/>
        </w:numPr>
      </w:pPr>
      <w:r>
        <w:rPr>
          <w:bCs/>
          <w:b/>
        </w:rPr>
        <w:t xml:space="preserve">Corn:</w:t>
      </w:r>
      <w:r>
        <w:t xml:space="preserve"> </w:t>
      </w:r>
      <w:r>
        <w:t xml:space="preserve">the mean coverage of nominal 90% intervals was 0.03–0.74 for ASTM-PI, SCP-S and WCP-S, which were flagged as under-covering in 72 of 72 scenario × method cells.</w:t>
      </w:r>
    </w:p>
    <w:p>
      <w:pPr>
        <w:numPr>
          <w:ilvl w:val="0"/>
          <w:numId w:val="1012"/>
        </w:numPr>
      </w:pPr>
      <w:r>
        <w:rPr>
          <w:bCs/>
          <w:b/>
        </w:rPr>
        <w:t xml:space="preserve">Mango:</w:t>
      </w:r>
      <w:r>
        <w:t xml:space="preserve"> </w:t>
      </w:r>
      <w:r>
        <w:t xml:space="preserve">coverage was 0.71–0.76 (12 of 12 cells under-covering).</w:t>
      </w:r>
    </w:p>
    <w:p>
      <w:pPr>
        <w:numPr>
          <w:ilvl w:val="0"/>
          <w:numId w:val="1012"/>
        </w:numPr>
      </w:pPr>
      <w:r>
        <w:rPr>
          <w:bCs/>
          <w:b/>
        </w:rPr>
        <w:t xml:space="preserve">Tablets:</w:t>
      </w:r>
      <w:r>
        <w:t xml:space="preserve"> </w:t>
      </w:r>
      <w:r>
        <w:t xml:space="preserve">the picture was mixed (0.81–0.95; 11 of 36 cells under-covering). Severe under-coverage occurred for the assay with</w:t>
      </w:r>
      <w:r>
        <w:t xml:space="preserve"> </w:t>
      </w:r>
      <w:r>
        <w:rPr>
          <w:iCs/>
          <w:i/>
        </w:rPr>
        <w:t xml:space="preserve">m</w:t>
      </w:r>
      <w:r>
        <w:t xml:space="preserve"> </w:t>
      </w:r>
      <w:r>
        <w:t xml:space="preserve">= 10 (all three methods, coverage 0.81–0.85), where PDS fitted on ten standards inflated the error. For weight, SCP-S and WCP-S under-covered slightly but systematically at every</w:t>
      </w:r>
      <w:r>
        <w:t xml:space="preserve"> </w:t>
      </w:r>
      <w:r>
        <w:rPr>
          <w:iCs/>
          <w:i/>
        </w:rPr>
        <w:t xml:space="preserve">m</w:t>
      </w:r>
      <w:r>
        <w:t xml:space="preserve"> </w:t>
      </w:r>
      <w:r>
        <w:t xml:space="preserve">(0.894–0.895), while hardness intervals were valid.</w:t>
      </w:r>
    </w:p>
    <w:p>
      <w:pPr>
        <w:pStyle w:val="FirstParagraph"/>
      </w:pPr>
      <w:r>
        <w:t xml:space="preserve">The failure is not an artefact of the in-sample calibration error used by ASTM-PI: SCP-S, which uses cross-validated (out-of-fold) source residuals, under-covered almost as severely. Weighting the source residuals for covariate shift (WCP-S) did not repair coverage either, and it produced unbounded intervals in 59% of corn repetitions. When the domains are almost perfectly separable, the estimated likelihood ratios degenerate. More fundamentally, an instrument change alters the conditional relation between spectrum and property, which violates the covariate-shift assumption. The transport baseline, which maps source-calibration spectra into the secondary-instrument space with a master→secondary PDS, recovered part of the coverage on corn (mean coverage 0.75, range 0.29–0.92). It still under-covered in 14 of 24 scenarios, because the transported residuals inherit the source error distribution and only approximate the transfer error.</w:t>
      </w:r>
    </w:p>
    <w:p>
      <w:pPr>
        <w:pStyle w:val="TableCaption"/>
        <w:keepNext/>
      </w:pPr>
      <w:r>
        <w:rPr>
          <w:bCs/>
          <w:b/>
        </w:rPr>
        <w:t xml:space="preserve">Table 3.</w:t>
      </w:r>
      <w:r>
        <w:t xml:space="preserve"> </w:t>
      </w:r>
      <w:r>
        <w:t xml:space="preserve">Coverage of nominal 90% intervals (α = 0.10) for the primary transfer pipelines (corn and tablets: PDS; mango: SBC). Coverage: mean over scenarios of the mean per-repetition coverage, with the range over scenarios in parentheses. Under: scenarios flagged as under-covering (upper limit of the 95% bootstrap CI &lt; 0.90) / number of scenarios. Friedman rank: mean rank of the scenario median interval score over the 40 scenarios (1 = best; only methods available in all scenarios).</w:t>
      </w:r>
    </w:p>
    <w:tbl>
      <w:tblPr>
        <w:tblStyle w:val="Table"/>
        <w:tblW w:type="pct" w:w="5000"/>
        <w:jc w:val="center"/>
        <w:tblLook w:firstRow="1" w:lastRow="0" w:firstColumn="0" w:lastColumn="0" w:noHBand="0" w:noVBand="0" w:val="0020"/>
        <w:tblCaption w:val="Table 3. Coverage of nominal 90% intervals (α = 0.10) for the primary transfer pipelines (corn and tablets: PDS; mango: SBC). Coverage: mean over scenarios of the mean per-repetition coverage, with the range over scenarios in parentheses. Under: scenarios flagged as under-covering (upper limit of the 95% bootstrap CI &lt; 0.90) / number of scenarios. Friedman rank: mean rank of the scenario median interval score over the 40 scenarios (1 = best; only methods available in all scenarios)."/>
      </w:tblPr>
      <w:tblGrid>
        <w:gridCol w:w="879"/>
        <w:gridCol w:w="879"/>
        <w:gridCol w:w="879"/>
        <w:gridCol w:w="879"/>
        <w:gridCol w:w="879"/>
        <w:gridCol w:w="879"/>
        <w:gridCol w:w="879"/>
        <w:gridCol w:w="879"/>
        <w:gridCol w:w="879"/>
      </w:tblGrid>
      <w:tr>
        <w:trPr>
          <w:tblHeader w:val="true"/>
        </w:trPr>
        <w:tc>
          <w:tcPr>
            <w:tcBorders>
              <w:top w:val="single" w:sz="8" w:color="000000"/>
              <w:bottom w:val="single" w:sz="8" w:color="000000"/>
            </w:tcBorders>
          </w:tcPr>
          <w:p>
            <w:pPr>
              <w:pStyle w:val="Compact"/>
              <w:spacing w:after="0"/>
              <w:jc w:val="left"/>
            </w:pPr>
            <w:r>
              <w:t xml:space="preserve">Method</w:t>
            </w:r>
          </w:p>
        </w:tc>
        <w:tc>
          <w:tcPr>
            <w:tcBorders>
              <w:top w:val="single" w:sz="8" w:color="000000"/>
              <w:bottom w:val="single" w:sz="8" w:color="000000"/>
            </w:tcBorders>
          </w:tcPr>
          <w:p>
            <w:pPr>
              <w:pStyle w:val="Compact"/>
              <w:spacing w:after="0"/>
              <w:jc w:val="right"/>
            </w:pPr>
            <w:r>
              <w:t xml:space="preserve">Corn coverage</w:t>
            </w:r>
          </w:p>
        </w:tc>
        <w:tc>
          <w:tcPr>
            <w:tcBorders>
              <w:top w:val="single" w:sz="8" w:color="000000"/>
              <w:bottom w:val="single" w:sz="8" w:color="000000"/>
            </w:tcBorders>
          </w:tcPr>
          <w:p>
            <w:pPr>
              <w:pStyle w:val="Compact"/>
              <w:spacing w:after="0"/>
              <w:jc w:val="right"/>
            </w:pPr>
            <w:r>
              <w:t xml:space="preserve">Corn under</w:t>
            </w:r>
          </w:p>
        </w:tc>
        <w:tc>
          <w:tcPr>
            <w:tcBorders>
              <w:top w:val="single" w:sz="8" w:color="000000"/>
              <w:bottom w:val="single" w:sz="8" w:color="000000"/>
            </w:tcBorders>
          </w:tcPr>
          <w:p>
            <w:pPr>
              <w:pStyle w:val="Compact"/>
              <w:spacing w:after="0"/>
              <w:jc w:val="right"/>
            </w:pPr>
            <w:r>
              <w:t xml:space="preserve">Tablets coverage</w:t>
            </w:r>
          </w:p>
        </w:tc>
        <w:tc>
          <w:tcPr>
            <w:tcBorders>
              <w:top w:val="single" w:sz="8" w:color="000000"/>
              <w:bottom w:val="single" w:sz="8" w:color="000000"/>
            </w:tcBorders>
          </w:tcPr>
          <w:p>
            <w:pPr>
              <w:pStyle w:val="Compact"/>
              <w:spacing w:after="0"/>
              <w:jc w:val="right"/>
            </w:pPr>
            <w:r>
              <w:t xml:space="preserve">Tablets under</w:t>
            </w:r>
          </w:p>
        </w:tc>
        <w:tc>
          <w:tcPr>
            <w:tcBorders>
              <w:top w:val="single" w:sz="8" w:color="000000"/>
              <w:bottom w:val="single" w:sz="8" w:color="000000"/>
            </w:tcBorders>
          </w:tcPr>
          <w:p>
            <w:pPr>
              <w:pStyle w:val="Compact"/>
              <w:spacing w:after="0"/>
              <w:jc w:val="right"/>
            </w:pPr>
            <w:r>
              <w:t xml:space="preserve">Mango coverage</w:t>
            </w:r>
          </w:p>
        </w:tc>
        <w:tc>
          <w:tcPr>
            <w:tcBorders>
              <w:top w:val="single" w:sz="8" w:color="000000"/>
              <w:bottom w:val="single" w:sz="8" w:color="000000"/>
            </w:tcBorders>
          </w:tcPr>
          <w:p>
            <w:pPr>
              <w:pStyle w:val="Compact"/>
              <w:spacing w:after="0"/>
              <w:jc w:val="right"/>
            </w:pPr>
            <w:r>
              <w:t xml:space="preserve">Mango under</w:t>
            </w:r>
          </w:p>
        </w:tc>
        <w:tc>
          <w:tcPr>
            <w:tcBorders>
              <w:top w:val="single" w:sz="8" w:color="000000"/>
              <w:bottom w:val="single" w:sz="8" w:color="000000"/>
            </w:tcBorders>
          </w:tcPr>
          <w:p>
            <w:pPr>
              <w:pStyle w:val="Compact"/>
              <w:spacing w:after="0"/>
              <w:jc w:val="right"/>
            </w:pPr>
            <w:r>
              <w:t xml:space="preserve">Unbounded (% reps)</w:t>
            </w:r>
          </w:p>
        </w:tc>
        <w:tc>
          <w:tcPr>
            <w:tcBorders>
              <w:top w:val="single" w:sz="8" w:color="000000"/>
              <w:bottom w:val="single" w:sz="8" w:color="000000"/>
            </w:tcBorders>
          </w:tcPr>
          <w:p>
            <w:pPr>
              <w:pStyle w:val="Compact"/>
              <w:spacing w:after="0"/>
              <w:jc w:val="right"/>
            </w:pPr>
            <w:r>
              <w:t xml:space="preserve">Friedman rank (IS)</w:t>
            </w:r>
          </w:p>
        </w:tc>
      </w:tr>
      <w:tr>
        <w:tc>
          <w:tcPr/>
          <w:p>
            <w:pPr>
              <w:pStyle w:val="Compact"/>
              <w:spacing w:after="0"/>
              <w:jc w:val="left"/>
            </w:pPr>
            <w:r>
              <w:t xml:space="preserve">TJ+N</w:t>
            </w:r>
          </w:p>
        </w:tc>
        <w:tc>
          <w:tcPr/>
          <w:p>
            <w:pPr>
              <w:pStyle w:val="Compact"/>
              <w:spacing w:after="0"/>
              <w:jc w:val="right"/>
            </w:pPr>
            <w:r>
              <w:t xml:space="preserve">0.931 (0.91–0.96)</w:t>
            </w:r>
          </w:p>
        </w:tc>
        <w:tc>
          <w:tcPr/>
          <w:p>
            <w:pPr>
              <w:pStyle w:val="Compact"/>
              <w:spacing w:after="0"/>
              <w:jc w:val="right"/>
            </w:pPr>
            <w:r>
              <w:t xml:space="preserve">0/24</w:t>
            </w:r>
          </w:p>
        </w:tc>
        <w:tc>
          <w:tcPr/>
          <w:p>
            <w:pPr>
              <w:pStyle w:val="Compact"/>
              <w:spacing w:after="0"/>
              <w:jc w:val="right"/>
            </w:pPr>
            <w:r>
              <w:t xml:space="preserve">0.910 (0.90–0.95)</w:t>
            </w:r>
          </w:p>
        </w:tc>
        <w:tc>
          <w:tcPr/>
          <w:p>
            <w:pPr>
              <w:pStyle w:val="Compact"/>
              <w:spacing w:after="0"/>
              <w:jc w:val="right"/>
            </w:pPr>
            <w:r>
              <w:t xml:space="preserve">0/12</w:t>
            </w:r>
          </w:p>
        </w:tc>
        <w:tc>
          <w:tcPr/>
          <w:p>
            <w:pPr>
              <w:pStyle w:val="Compact"/>
              <w:spacing w:after="0"/>
              <w:jc w:val="right"/>
            </w:pPr>
            <w:r>
              <w:t xml:space="preserve">0.904 (0.90–0.91)</w:t>
            </w:r>
          </w:p>
        </w:tc>
        <w:tc>
          <w:tcPr/>
          <w:p>
            <w:pPr>
              <w:pStyle w:val="Compact"/>
              <w:spacing w:after="0"/>
              <w:jc w:val="right"/>
            </w:pPr>
            <w:r>
              <w:t xml:space="preserve">0/4</w:t>
            </w:r>
          </w:p>
        </w:tc>
        <w:tc>
          <w:tcPr/>
          <w:p>
            <w:pPr>
              <w:pStyle w:val="Compact"/>
              <w:spacing w:after="0"/>
              <w:jc w:val="right"/>
            </w:pPr>
            <w:r>
              <w:t xml:space="preserve">0</w:t>
            </w:r>
          </w:p>
        </w:tc>
        <w:tc>
          <w:tcPr/>
          <w:p>
            <w:pPr>
              <w:pStyle w:val="Compact"/>
              <w:spacing w:after="0"/>
              <w:jc w:val="right"/>
            </w:pPr>
            <w:r>
              <w:t xml:space="preserve">2.52</w:t>
            </w:r>
          </w:p>
        </w:tc>
      </w:tr>
      <w:tr>
        <w:tc>
          <w:tcPr/>
          <w:p>
            <w:pPr>
              <w:pStyle w:val="Compact"/>
              <w:spacing w:after="0"/>
              <w:jc w:val="left"/>
            </w:pPr>
            <w:r>
              <w:t xml:space="preserve">TJ+</w:t>
            </w:r>
          </w:p>
        </w:tc>
        <w:tc>
          <w:tcPr/>
          <w:p>
            <w:pPr>
              <w:pStyle w:val="Compact"/>
              <w:spacing w:after="0"/>
              <w:jc w:val="right"/>
            </w:pPr>
            <w:r>
              <w:t xml:space="preserve">0.933 (0.91–0.96)</w:t>
            </w:r>
          </w:p>
        </w:tc>
        <w:tc>
          <w:tcPr/>
          <w:p>
            <w:pPr>
              <w:pStyle w:val="Compact"/>
              <w:spacing w:after="0"/>
              <w:jc w:val="right"/>
            </w:pPr>
            <w:r>
              <w:t xml:space="preserve">0/24</w:t>
            </w:r>
          </w:p>
        </w:tc>
        <w:tc>
          <w:tcPr/>
          <w:p>
            <w:pPr>
              <w:pStyle w:val="Compact"/>
              <w:spacing w:after="0"/>
              <w:jc w:val="right"/>
            </w:pPr>
            <w:r>
              <w:t xml:space="preserve">0.911 (0.90–0.95)</w:t>
            </w:r>
          </w:p>
        </w:tc>
        <w:tc>
          <w:tcPr/>
          <w:p>
            <w:pPr>
              <w:pStyle w:val="Compact"/>
              <w:spacing w:after="0"/>
              <w:jc w:val="right"/>
            </w:pPr>
            <w:r>
              <w:t xml:space="preserve">0/12</w:t>
            </w:r>
          </w:p>
        </w:tc>
        <w:tc>
          <w:tcPr/>
          <w:p>
            <w:pPr>
              <w:pStyle w:val="Compact"/>
              <w:spacing w:after="0"/>
              <w:jc w:val="right"/>
            </w:pPr>
            <w:r>
              <w:t xml:space="preserve">0.904 (0.90–0.91)</w:t>
            </w:r>
          </w:p>
        </w:tc>
        <w:tc>
          <w:tcPr/>
          <w:p>
            <w:pPr>
              <w:pStyle w:val="Compact"/>
              <w:spacing w:after="0"/>
              <w:jc w:val="right"/>
            </w:pPr>
            <w:r>
              <w:t xml:space="preserve">0/4</w:t>
            </w:r>
          </w:p>
        </w:tc>
        <w:tc>
          <w:tcPr/>
          <w:p>
            <w:pPr>
              <w:pStyle w:val="Compact"/>
              <w:spacing w:after="0"/>
              <w:jc w:val="right"/>
            </w:pPr>
            <w:r>
              <w:t xml:space="preserve">0</w:t>
            </w:r>
          </w:p>
        </w:tc>
        <w:tc>
          <w:tcPr/>
          <w:p>
            <w:pPr>
              <w:pStyle w:val="Compact"/>
              <w:spacing w:after="0"/>
              <w:jc w:val="right"/>
            </w:pPr>
            <w:r>
              <w:t xml:space="preserve">3.12</w:t>
            </w:r>
          </w:p>
        </w:tc>
      </w:tr>
      <w:tr>
        <w:tc>
          <w:tcPr/>
          <w:p>
            <w:pPr>
              <w:pStyle w:val="Compact"/>
              <w:spacing w:after="0"/>
              <w:jc w:val="left"/>
            </w:pPr>
            <w:r>
              <w:t xml:space="preserve">SCP-T-split-N</w:t>
            </w:r>
          </w:p>
        </w:tc>
        <w:tc>
          <w:tcPr/>
          <w:p>
            <w:pPr>
              <w:pStyle w:val="Compact"/>
              <w:spacing w:after="0"/>
              <w:jc w:val="right"/>
            </w:pPr>
            <w:r>
              <w:t xml:space="preserve">0.970 (0.90–1.00)</w:t>
            </w:r>
          </w:p>
        </w:tc>
        <w:tc>
          <w:tcPr/>
          <w:p>
            <w:pPr>
              <w:pStyle w:val="Compact"/>
              <w:spacing w:after="0"/>
              <w:jc w:val="right"/>
            </w:pPr>
            <w:r>
              <w:t xml:space="preserve">0/24</w:t>
            </w:r>
          </w:p>
        </w:tc>
        <w:tc>
          <w:tcPr/>
          <w:p>
            <w:pPr>
              <w:pStyle w:val="Compact"/>
              <w:spacing w:after="0"/>
              <w:jc w:val="right"/>
            </w:pPr>
            <w:r>
              <w:t xml:space="preserve">0.942 (0.91–1.00)</w:t>
            </w:r>
          </w:p>
        </w:tc>
        <w:tc>
          <w:tcPr/>
          <w:p>
            <w:pPr>
              <w:pStyle w:val="Compact"/>
              <w:spacing w:after="0"/>
              <w:jc w:val="right"/>
            </w:pPr>
            <w:r>
              <w:t xml:space="preserve">0/12</w:t>
            </w:r>
          </w:p>
        </w:tc>
        <w:tc>
          <w:tcPr/>
          <w:p>
            <w:pPr>
              <w:pStyle w:val="Compact"/>
              <w:spacing w:after="0"/>
              <w:jc w:val="right"/>
            </w:pPr>
            <w:r>
              <w:t xml:space="preserve">0.942 (0.90–1.00)</w:t>
            </w:r>
          </w:p>
        </w:tc>
        <w:tc>
          <w:tcPr/>
          <w:p>
            <w:pPr>
              <w:pStyle w:val="Compact"/>
              <w:spacing w:after="0"/>
              <w:jc w:val="right"/>
            </w:pPr>
            <w:r>
              <w:t xml:space="preserve">0/4</w:t>
            </w:r>
          </w:p>
        </w:tc>
        <w:tc>
          <w:tcPr/>
          <w:p>
            <w:pPr>
              <w:pStyle w:val="Compact"/>
              <w:spacing w:after="0"/>
              <w:jc w:val="right"/>
            </w:pPr>
            <w:r>
              <w:t xml:space="preserve">50</w:t>
            </w:r>
          </w:p>
        </w:tc>
        <w:tc>
          <w:tcPr/>
          <w:p>
            <w:pPr>
              <w:pStyle w:val="Compact"/>
              <w:spacing w:after="0"/>
              <w:jc w:val="right"/>
            </w:pPr>
            <w:r>
              <w:t xml:space="preserve">6.03</w:t>
            </w:r>
          </w:p>
        </w:tc>
      </w:tr>
      <w:tr>
        <w:tc>
          <w:tcPr/>
          <w:p>
            <w:pPr>
              <w:pStyle w:val="Compact"/>
              <w:spacing w:after="0"/>
              <w:jc w:val="left"/>
            </w:pPr>
            <w:r>
              <w:t xml:space="preserve">SCP-T-split</w:t>
            </w:r>
          </w:p>
        </w:tc>
        <w:tc>
          <w:tcPr/>
          <w:p>
            <w:pPr>
              <w:pStyle w:val="Compact"/>
              <w:spacing w:after="0"/>
              <w:jc w:val="right"/>
            </w:pPr>
            <w:r>
              <w:t xml:space="preserve">0.969 (0.89–1.00)</w:t>
            </w:r>
          </w:p>
        </w:tc>
        <w:tc>
          <w:tcPr/>
          <w:p>
            <w:pPr>
              <w:pStyle w:val="Compact"/>
              <w:spacing w:after="0"/>
              <w:jc w:val="right"/>
            </w:pPr>
            <w:r>
              <w:t xml:space="preserve">0/24</w:t>
            </w:r>
          </w:p>
        </w:tc>
        <w:tc>
          <w:tcPr/>
          <w:p>
            <w:pPr>
              <w:pStyle w:val="Compact"/>
              <w:spacing w:after="0"/>
              <w:jc w:val="right"/>
            </w:pPr>
            <w:r>
              <w:t xml:space="preserve">0.943 (0.91–1.00)</w:t>
            </w:r>
          </w:p>
        </w:tc>
        <w:tc>
          <w:tcPr/>
          <w:p>
            <w:pPr>
              <w:pStyle w:val="Compact"/>
              <w:spacing w:after="0"/>
              <w:jc w:val="right"/>
            </w:pPr>
            <w:r>
              <w:t xml:space="preserve">0/12</w:t>
            </w:r>
          </w:p>
        </w:tc>
        <w:tc>
          <w:tcPr/>
          <w:p>
            <w:pPr>
              <w:pStyle w:val="Compact"/>
              <w:spacing w:after="0"/>
              <w:jc w:val="right"/>
            </w:pPr>
            <w:r>
              <w:t xml:space="preserve">0.941 (0.91–1.00)</w:t>
            </w:r>
          </w:p>
        </w:tc>
        <w:tc>
          <w:tcPr/>
          <w:p>
            <w:pPr>
              <w:pStyle w:val="Compact"/>
              <w:spacing w:after="0"/>
              <w:jc w:val="right"/>
            </w:pPr>
            <w:r>
              <w:t xml:space="preserve">0/4</w:t>
            </w:r>
          </w:p>
        </w:tc>
        <w:tc>
          <w:tcPr/>
          <w:p>
            <w:pPr>
              <w:pStyle w:val="Compact"/>
              <w:spacing w:after="0"/>
              <w:jc w:val="right"/>
            </w:pPr>
            <w:r>
              <w:t xml:space="preserve">50</w:t>
            </w:r>
          </w:p>
        </w:tc>
        <w:tc>
          <w:tcPr/>
          <w:p>
            <w:pPr>
              <w:pStyle w:val="Compact"/>
              <w:spacing w:after="0"/>
              <w:jc w:val="right"/>
            </w:pPr>
            <w:r>
              <w:t xml:space="preserve">6.60</w:t>
            </w:r>
          </w:p>
        </w:tc>
      </w:tr>
      <w:tr>
        <w:tc>
          <w:tcPr/>
          <w:p>
            <w:pPr>
              <w:pStyle w:val="Compact"/>
              <w:spacing w:after="0"/>
              <w:jc w:val="left"/>
            </w:pPr>
            <w:r>
              <w:t xml:space="preserve">Gauss-LOO</w:t>
            </w:r>
          </w:p>
        </w:tc>
        <w:tc>
          <w:tcPr/>
          <w:p>
            <w:pPr>
              <w:pStyle w:val="Compact"/>
              <w:spacing w:after="0"/>
              <w:jc w:val="right"/>
            </w:pPr>
            <w:r>
              <w:t xml:space="preserve">0.904 (0.89–0.91)</w:t>
            </w:r>
          </w:p>
        </w:tc>
        <w:tc>
          <w:tcPr/>
          <w:p>
            <w:pPr>
              <w:pStyle w:val="Compact"/>
              <w:spacing w:after="0"/>
              <w:jc w:val="right"/>
            </w:pPr>
            <w:r>
              <w:t xml:space="preserve">0/24</w:t>
            </w:r>
          </w:p>
        </w:tc>
        <w:tc>
          <w:tcPr/>
          <w:p>
            <w:pPr>
              <w:pStyle w:val="Compact"/>
              <w:spacing w:after="0"/>
              <w:jc w:val="right"/>
            </w:pPr>
            <w:r>
              <w:t xml:space="preserve">0.908 (0.89–0.93)</w:t>
            </w:r>
          </w:p>
        </w:tc>
        <w:tc>
          <w:tcPr/>
          <w:p>
            <w:pPr>
              <w:pStyle w:val="Compact"/>
              <w:spacing w:after="0"/>
              <w:jc w:val="right"/>
            </w:pPr>
            <w:r>
              <w:t xml:space="preserve">0/12</w:t>
            </w:r>
          </w:p>
        </w:tc>
        <w:tc>
          <w:tcPr/>
          <w:p>
            <w:pPr>
              <w:pStyle w:val="Compact"/>
              <w:spacing w:after="0"/>
              <w:jc w:val="right"/>
            </w:pPr>
            <w:r>
              <w:t xml:space="preserve">0.904 (0.90–0.91)</w:t>
            </w:r>
          </w:p>
        </w:tc>
        <w:tc>
          <w:tcPr/>
          <w:p>
            <w:pPr>
              <w:pStyle w:val="Compact"/>
              <w:spacing w:after="0"/>
              <w:jc w:val="right"/>
            </w:pPr>
            <w:r>
              <w:t xml:space="preserve">0/4</w:t>
            </w:r>
          </w:p>
        </w:tc>
        <w:tc>
          <w:tcPr/>
          <w:p>
            <w:pPr>
              <w:pStyle w:val="Compact"/>
              <w:spacing w:after="0"/>
              <w:jc w:val="right"/>
            </w:pPr>
            <w:r>
              <w:t xml:space="preserve">0</w:t>
            </w:r>
          </w:p>
        </w:tc>
        <w:tc>
          <w:tcPr/>
          <w:p>
            <w:pPr>
              <w:pStyle w:val="Compact"/>
              <w:spacing w:after="0"/>
              <w:jc w:val="right"/>
            </w:pPr>
            <w:r>
              <w:t xml:space="preserve">2.17</w:t>
            </w:r>
          </w:p>
        </w:tc>
      </w:tr>
      <w:tr>
        <w:tc>
          <w:tcPr/>
          <w:p>
            <w:pPr>
              <w:pStyle w:val="Compact"/>
              <w:spacing w:after="0"/>
              <w:jc w:val="left"/>
            </w:pPr>
            <w:r>
              <w:t xml:space="preserve">ASTM-PI</w:t>
            </w:r>
          </w:p>
        </w:tc>
        <w:tc>
          <w:tcPr/>
          <w:p>
            <w:pPr>
              <w:pStyle w:val="Compact"/>
              <w:spacing w:after="0"/>
              <w:jc w:val="right"/>
            </w:pPr>
            <w:r>
              <w:t xml:space="preserve">0.233 (0.03–0.43)</w:t>
            </w:r>
          </w:p>
        </w:tc>
        <w:tc>
          <w:tcPr/>
          <w:p>
            <w:pPr>
              <w:pStyle w:val="Compact"/>
              <w:spacing w:after="0"/>
              <w:jc w:val="right"/>
            </w:pPr>
            <w:r>
              <w:t xml:space="preserve">24/24</w:t>
            </w:r>
          </w:p>
        </w:tc>
        <w:tc>
          <w:tcPr/>
          <w:p>
            <w:pPr>
              <w:pStyle w:val="Compact"/>
              <w:spacing w:after="0"/>
              <w:jc w:val="right"/>
            </w:pPr>
            <w:r>
              <w:t xml:space="preserve">0.925 (0.85–0.95)</w:t>
            </w:r>
          </w:p>
        </w:tc>
        <w:tc>
          <w:tcPr/>
          <w:p>
            <w:pPr>
              <w:pStyle w:val="Compact"/>
              <w:spacing w:after="0"/>
              <w:jc w:val="right"/>
            </w:pPr>
            <w:r>
              <w:t xml:space="preserve">1/12</w:t>
            </w:r>
          </w:p>
        </w:tc>
        <w:tc>
          <w:tcPr/>
          <w:p>
            <w:pPr>
              <w:pStyle w:val="Compact"/>
              <w:spacing w:after="0"/>
              <w:jc w:val="right"/>
            </w:pPr>
            <w:r>
              <w:t xml:space="preserve">0.748 (0.73–0.76)</w:t>
            </w:r>
          </w:p>
        </w:tc>
        <w:tc>
          <w:tcPr/>
          <w:p>
            <w:pPr>
              <w:pStyle w:val="Compact"/>
              <w:spacing w:after="0"/>
              <w:jc w:val="right"/>
            </w:pPr>
            <w:r>
              <w:t xml:space="preserve">4/4</w:t>
            </w:r>
          </w:p>
        </w:tc>
        <w:tc>
          <w:tcPr/>
          <w:p>
            <w:pPr>
              <w:pStyle w:val="Compact"/>
              <w:spacing w:after="0"/>
              <w:jc w:val="right"/>
            </w:pPr>
            <w:r>
              <w:t xml:space="preserve">0</w:t>
            </w:r>
          </w:p>
        </w:tc>
        <w:tc>
          <w:tcPr/>
          <w:p>
            <w:pPr>
              <w:pStyle w:val="Compact"/>
              <w:spacing w:after="0"/>
              <w:jc w:val="right"/>
            </w:pPr>
            <w:r>
              <w:t xml:space="preserve">5.03</w:t>
            </w:r>
          </w:p>
        </w:tc>
      </w:tr>
      <w:tr>
        <w:tc>
          <w:tcPr/>
          <w:p>
            <w:pPr>
              <w:pStyle w:val="Compact"/>
              <w:spacing w:after="0"/>
              <w:jc w:val="left"/>
            </w:pPr>
            <w:r>
              <w:t xml:space="preserve">SCP-S</w:t>
            </w:r>
          </w:p>
        </w:tc>
        <w:tc>
          <w:tcPr/>
          <w:p>
            <w:pPr>
              <w:pStyle w:val="Compact"/>
              <w:spacing w:after="0"/>
              <w:jc w:val="right"/>
            </w:pPr>
            <w:r>
              <w:t xml:space="preserve">0.453 (0.05–0.68)</w:t>
            </w:r>
          </w:p>
        </w:tc>
        <w:tc>
          <w:tcPr/>
          <w:p>
            <w:pPr>
              <w:pStyle w:val="Compact"/>
              <w:spacing w:after="0"/>
              <w:jc w:val="right"/>
            </w:pPr>
            <w:r>
              <w:t xml:space="preserve">24/24</w:t>
            </w:r>
          </w:p>
        </w:tc>
        <w:tc>
          <w:tcPr/>
          <w:p>
            <w:pPr>
              <w:pStyle w:val="Compact"/>
              <w:spacing w:after="0"/>
              <w:jc w:val="right"/>
            </w:pPr>
            <w:r>
              <w:t xml:space="preserve">0.910 (0.81–0.94)</w:t>
            </w:r>
          </w:p>
        </w:tc>
        <w:tc>
          <w:tcPr/>
          <w:p>
            <w:pPr>
              <w:pStyle w:val="Compact"/>
              <w:spacing w:after="0"/>
              <w:jc w:val="right"/>
            </w:pPr>
            <w:r>
              <w:t xml:space="preserve">5/12</w:t>
            </w:r>
          </w:p>
        </w:tc>
        <w:tc>
          <w:tcPr/>
          <w:p>
            <w:pPr>
              <w:pStyle w:val="Compact"/>
              <w:spacing w:after="0"/>
              <w:jc w:val="right"/>
            </w:pPr>
            <w:r>
              <w:t xml:space="preserve">0.729 (0.71–0.74)</w:t>
            </w:r>
          </w:p>
        </w:tc>
        <w:tc>
          <w:tcPr/>
          <w:p>
            <w:pPr>
              <w:pStyle w:val="Compact"/>
              <w:spacing w:after="0"/>
              <w:jc w:val="right"/>
            </w:pPr>
            <w:r>
              <w:t xml:space="preserve">4/4</w:t>
            </w:r>
          </w:p>
        </w:tc>
        <w:tc>
          <w:tcPr/>
          <w:p>
            <w:pPr>
              <w:pStyle w:val="Compact"/>
              <w:spacing w:after="0"/>
              <w:jc w:val="right"/>
            </w:pPr>
            <w:r>
              <w:t xml:space="preserve">0</w:t>
            </w:r>
          </w:p>
        </w:tc>
        <w:tc>
          <w:tcPr/>
          <w:p>
            <w:pPr>
              <w:pStyle w:val="Compact"/>
              <w:spacing w:after="0"/>
              <w:jc w:val="right"/>
            </w:pPr>
            <w:r>
              <w:t xml:space="preserve">4.26</w:t>
            </w:r>
          </w:p>
        </w:tc>
      </w:tr>
      <w:tr>
        <w:tc>
          <w:tcPr/>
          <w:p>
            <w:pPr>
              <w:pStyle w:val="Compact"/>
              <w:spacing w:after="0"/>
              <w:jc w:val="left"/>
            </w:pPr>
            <w:r>
              <w:t xml:space="preserve">WCP-S</w:t>
            </w:r>
          </w:p>
        </w:tc>
        <w:tc>
          <w:tcPr/>
          <w:p>
            <w:pPr>
              <w:pStyle w:val="Compact"/>
              <w:spacing w:after="0"/>
              <w:jc w:val="right"/>
            </w:pPr>
            <w:r>
              <w:t xml:space="preserve">0.567 (0.19–0.74)</w:t>
            </w:r>
          </w:p>
        </w:tc>
        <w:tc>
          <w:tcPr/>
          <w:p>
            <w:pPr>
              <w:pStyle w:val="Compact"/>
              <w:spacing w:after="0"/>
              <w:jc w:val="right"/>
            </w:pPr>
            <w:r>
              <w:t xml:space="preserve">24/24</w:t>
            </w:r>
          </w:p>
        </w:tc>
        <w:tc>
          <w:tcPr/>
          <w:p>
            <w:pPr>
              <w:pStyle w:val="Compact"/>
              <w:spacing w:after="0"/>
              <w:jc w:val="right"/>
            </w:pPr>
            <w:r>
              <w:t xml:space="preserve">0.917 (0.85–0.95)</w:t>
            </w:r>
          </w:p>
        </w:tc>
        <w:tc>
          <w:tcPr/>
          <w:p>
            <w:pPr>
              <w:pStyle w:val="Compact"/>
              <w:spacing w:after="0"/>
              <w:jc w:val="right"/>
            </w:pPr>
            <w:r>
              <w:t xml:space="preserve">5/12</w:t>
            </w:r>
          </w:p>
        </w:tc>
        <w:tc>
          <w:tcPr/>
          <w:p>
            <w:pPr>
              <w:pStyle w:val="Compact"/>
              <w:spacing w:after="0"/>
              <w:jc w:val="right"/>
            </w:pPr>
            <w:r>
              <w:t xml:space="preserve">0.736 (0.72–0.75)</w:t>
            </w:r>
          </w:p>
        </w:tc>
        <w:tc>
          <w:tcPr/>
          <w:p>
            <w:pPr>
              <w:pStyle w:val="Compact"/>
              <w:spacing w:after="0"/>
              <w:jc w:val="right"/>
            </w:pPr>
            <w:r>
              <w:t xml:space="preserve">4/4</w:t>
            </w:r>
          </w:p>
        </w:tc>
        <w:tc>
          <w:tcPr/>
          <w:p>
            <w:pPr>
              <w:pStyle w:val="Compact"/>
              <w:spacing w:after="0"/>
              <w:jc w:val="right"/>
            </w:pPr>
            <w:r>
              <w:t xml:space="preserve">49</w:t>
            </w:r>
          </w:p>
        </w:tc>
        <w:tc>
          <w:tcPr/>
          <w:p>
            <w:pPr>
              <w:pStyle w:val="Compact"/>
              <w:spacing w:after="0"/>
              <w:jc w:val="right"/>
            </w:pPr>
            <w:r>
              <w:t xml:space="preserve">6.26</w:t>
            </w:r>
          </w:p>
        </w:tc>
      </w:tr>
      <w:tr>
        <w:tc>
          <w:tcPr/>
          <w:p>
            <w:pPr>
              <w:pStyle w:val="Compact"/>
              <w:spacing w:after="0"/>
              <w:jc w:val="left"/>
            </w:pPr>
            <w:r>
              <w:t xml:space="preserve">Transport</w:t>
            </w:r>
          </w:p>
        </w:tc>
        <w:tc>
          <w:tcPr/>
          <w:p>
            <w:pPr>
              <w:pStyle w:val="Compact"/>
              <w:spacing w:after="0"/>
              <w:jc w:val="right"/>
            </w:pPr>
            <w:r>
              <w:t xml:space="preserve">0.753 (0.29–0.92)</w:t>
            </w:r>
          </w:p>
        </w:tc>
        <w:tc>
          <w:tcPr/>
          <w:p>
            <w:pPr>
              <w:pStyle w:val="Compact"/>
              <w:spacing w:after="0"/>
              <w:jc w:val="right"/>
            </w:pPr>
            <w:r>
              <w:t xml:space="preserve">14/24</w:t>
            </w:r>
          </w:p>
        </w:tc>
        <w:tc>
          <w:tcPr/>
          <w:p>
            <w:pPr>
              <w:pStyle w:val="Compact"/>
              <w:spacing w:after="0"/>
              <w:jc w:val="right"/>
            </w:pPr>
            <w:r>
              <w:t xml:space="preserve">0.926 (0.88–0.97)</w:t>
            </w:r>
          </w:p>
        </w:tc>
        <w:tc>
          <w:tcPr/>
          <w:p>
            <w:pPr>
              <w:pStyle w:val="Compact"/>
              <w:spacing w:after="0"/>
              <w:jc w:val="right"/>
            </w:pPr>
            <w:r>
              <w:t xml:space="preserve">4/12</w:t>
            </w:r>
          </w:p>
        </w:tc>
        <w:tc>
          <w:tcPr/>
          <w:p>
            <w:pPr>
              <w:pStyle w:val="Compact"/>
              <w:spacing w:after="0"/>
              <w:jc w:val="right"/>
            </w:pPr>
            <w:r>
              <w:t xml:space="preserve">–</w:t>
            </w:r>
          </w:p>
        </w:tc>
        <w:tc>
          <w:tcPr/>
          <w:p>
            <w:pPr>
              <w:pStyle w:val="Compact"/>
              <w:spacing w:after="0"/>
              <w:jc w:val="right"/>
            </w:pPr>
            <w:r>
              <w:t xml:space="preserve">–</w:t>
            </w:r>
          </w:p>
        </w:tc>
        <w:tc>
          <w:tcPr/>
          <w:p>
            <w:pPr>
              <w:pStyle w:val="Compact"/>
              <w:spacing w:after="0"/>
              <w:jc w:val="right"/>
            </w:pPr>
            <w:r>
              <w:t xml:space="preserve">0</w:t>
            </w:r>
          </w:p>
        </w:tc>
        <w:tc>
          <w:tcPr/>
          <w:p>
            <w:pPr>
              <w:pStyle w:val="Compact"/>
              <w:spacing w:after="0"/>
              <w:jc w:val="right"/>
            </w:pPr>
            <w:r>
              <w:t xml:space="preserve">–</w:t>
            </w:r>
          </w:p>
        </w:tc>
      </w:tr>
      <w:tr>
        <w:tc>
          <w:tcPr>
            <w:tcBorders>
              <w:bottom w:val="single" w:sz="8" w:color="000000"/>
            </w:tcBorders>
          </w:tcPr>
          <w:p>
            <w:pPr>
              <w:pStyle w:val="Compact"/>
              <w:spacing w:after="0"/>
              <w:jc w:val="left"/>
            </w:pPr>
            <w:r>
              <w:t xml:space="preserve">LF-conv</w:t>
            </w:r>
          </w:p>
        </w:tc>
        <w:tc>
          <w:tcPr>
            <w:tcBorders>
              <w:bottom w:val="single" w:sz="8" w:color="000000"/>
            </w:tcBorders>
          </w:tcPr>
          <w:p>
            <w:pPr>
              <w:pStyle w:val="Compact"/>
              <w:spacing w:after="0"/>
              <w:jc w:val="right"/>
            </w:pPr>
            <w:r>
              <w:t xml:space="preserve">0.883 (0.85–0.91)</w:t>
            </w:r>
          </w:p>
        </w:tc>
        <w:tc>
          <w:tcPr>
            <w:tcBorders>
              <w:bottom w:val="single" w:sz="8" w:color="000000"/>
            </w:tcBorders>
          </w:tcPr>
          <w:p>
            <w:pPr>
              <w:pStyle w:val="Compact"/>
              <w:spacing w:after="0"/>
              <w:jc w:val="right"/>
            </w:pPr>
            <w:r>
              <w:t xml:space="preserve">16/24</w:t>
            </w:r>
          </w:p>
        </w:tc>
        <w:tc>
          <w:tcPr>
            <w:tcBorders>
              <w:bottom w:val="single" w:sz="8" w:color="000000"/>
            </w:tcBorders>
          </w:tcPr>
          <w:p>
            <w:pPr>
              <w:pStyle w:val="Compact"/>
              <w:spacing w:after="0"/>
              <w:jc w:val="right"/>
            </w:pPr>
            <w:r>
              <w:t xml:space="preserve">0.920 (0.88–0.96)</w:t>
            </w:r>
          </w:p>
        </w:tc>
        <w:tc>
          <w:tcPr>
            <w:tcBorders>
              <w:bottom w:val="single" w:sz="8" w:color="000000"/>
            </w:tcBorders>
          </w:tcPr>
          <w:p>
            <w:pPr>
              <w:pStyle w:val="Compact"/>
              <w:spacing w:after="0"/>
              <w:jc w:val="right"/>
            </w:pPr>
            <w:r>
              <w:t xml:space="preserve">4/12</w:t>
            </w:r>
          </w:p>
        </w:tc>
        <w:tc>
          <w:tcPr>
            <w:tcBorders>
              <w:bottom w:val="single" w:sz="8" w:color="000000"/>
            </w:tcBorders>
          </w:tcPr>
          <w:p>
            <w:pPr>
              <w:pStyle w:val="Compact"/>
              <w:spacing w:after="0"/>
              <w:jc w:val="right"/>
            </w:pPr>
            <w:r>
              <w:t xml:space="preserve">–</w:t>
            </w:r>
          </w:p>
        </w:tc>
        <w:tc>
          <w:tcPr>
            <w:tcBorders>
              <w:bottom w:val="single" w:sz="8" w:color="000000"/>
            </w:tcBorders>
          </w:tcPr>
          <w:p>
            <w:pPr>
              <w:pStyle w:val="Compact"/>
              <w:spacing w:after="0"/>
              <w:jc w:val="right"/>
            </w:pPr>
            <w:r>
              <w:t xml:space="preserve">–</w:t>
            </w:r>
          </w:p>
        </w:tc>
        <w:tc>
          <w:tcPr>
            <w:tcBorders>
              <w:bottom w:val="single" w:sz="8" w:color="000000"/>
            </w:tcBorders>
          </w:tcPr>
          <w:p>
            <w:pPr>
              <w:pStyle w:val="Compact"/>
              <w:spacing w:after="0"/>
              <w:jc w:val="right"/>
            </w:pPr>
            <w:r>
              <w:t xml:space="preserve">0</w:t>
            </w:r>
          </w:p>
        </w:tc>
        <w:tc>
          <w:tcPr>
            <w:tcBorders>
              <w:bottom w:val="single" w:sz="8" w:color="000000"/>
            </w:tcBorders>
          </w:tcPr>
          <w:p>
            <w:pPr>
              <w:pStyle w:val="Compact"/>
              <w:spacing w:after="0"/>
              <w:jc w:val="right"/>
            </w:pPr>
            <w:r>
              <w:t xml:space="preserve">–</w:t>
            </w:r>
          </w:p>
        </w:tc>
      </w:tr>
    </w:tbl>
    <w:p>
      <w:pPr>
        <w:pStyle w:val="CaptionedFigure"/>
        <w:keepNext/>
        <w:jc w:val="center"/>
      </w:pPr>
      <w:r>
        <w:drawing>
          <wp:inline>
            <wp:extent cx="5753100" cy="2495465"/>
            <wp:effectExtent b="0" l="0" r="0" t="0"/>
            <wp:docPr descr="Fig. 3. Mean empirical coverage of nominal 90% intervals versus the number of transfer standards m (primary pipelines; 500 repetitions for corn and tablets, 300 for mango). Markers show the mean over scenarios (properties and target instruments); vertical lines show the range over scenarios. Hollow markers: the method returned unbounded intervals in more than half of the repetitions (coverage trivially 1). Horizontal line: nominal level." title="" id="38" name="Picture"/>
            <a:graphic>
              <a:graphicData uri="http://schemas.openxmlformats.org/drawingml/2006/picture">
                <pic:pic>
                  <pic:nvPicPr>
                    <pic:cNvPr descr="figures/fig3_coverage_vs_m.png" id="39" name="Picture"/>
                    <pic:cNvPicPr>
                      <a:picLocks noChangeArrowheads="1" noChangeAspect="1"/>
                    </pic:cNvPicPr>
                  </pic:nvPicPr>
                  <pic:blipFill>
                    <a:blip r:embed="rId37"/>
                    <a:stretch>
                      <a:fillRect/>
                    </a:stretch>
                  </pic:blipFill>
                  <pic:spPr bwMode="auto">
                    <a:xfrm>
                      <a:off x="0" y="0"/>
                      <a:ext cx="5753100" cy="2495465"/>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Mean empirical coverage of nominal 90% intervals versus the number of transfer standards</w:t>
      </w:r>
      <w:r>
        <w:t xml:space="preserve"> </w:t>
      </w:r>
      <w:r>
        <w:rPr>
          <w:iCs/>
          <w:i/>
        </w:rPr>
        <w:t xml:space="preserve">m</w:t>
      </w:r>
      <w:r>
        <w:t xml:space="preserve"> </w:t>
      </w:r>
      <w:r>
        <w:t xml:space="preserve">(primary pipelines; 500 repetitions for corn and tablets, 300 for mango). Markers show the mean over scenarios (properties and target instruments); vertical lines show the range over scenarios. Hollow markers: the method returned unbounded intervals in more than half of the repetitions (coverage trivially 1). Horizontal line: nominal level.</w:t>
      </w:r>
    </w:p>
    <w:bookmarkEnd w:id="40"/>
    <w:bookmarkStart w:id="44" w:name="X3d78b687f5c704d8f4e775b3428575ec194a2b9"/>
    <w:p>
      <w:pPr>
        <w:pStyle w:val="Heading2"/>
      </w:pPr>
      <w:r>
        <w:t xml:space="preserve">4.3. Validity and efficiency of the transfer jackknife+ (RQ2)</w:t>
      </w:r>
    </w:p>
    <w:p>
      <w:pPr>
        <w:pStyle w:val="FirstParagraph"/>
      </w:pPr>
      <w:r>
        <w:t xml:space="preserve">TJ+N was not flagged as under-covering in any of the 40 primary scenarios. Given the precision of the coverage estimates (median half-width of the 95% CI: corn ±0.008, mango ±0.007, tablets ±0.005), this means that no scenario was significantly below nominal at that resolution. Its mean coverage was 0.922 (range over scenarios 0.898–0.959) at α = 0.10, and the same held at α = 0.05 and 0.20 (0 under-covering scenarios over all three levels; Table 4). Coverage exceeded the nominal level most clearly for</w:t>
      </w:r>
      <w:r>
        <w:t xml:space="preserve"> </w:t>
      </w:r>
      <w:r>
        <w:rPr>
          <w:iCs/>
          <w:i/>
        </w:rPr>
        <w:t xml:space="preserve">m</w:t>
      </w:r>
      <w:r>
        <w:t xml:space="preserve"> </w:t>
      </w:r>
      <w:r>
        <w:t xml:space="preserve">= 10–15. This is expected from the discrete rank</w:t>
      </w:r>
      <w:r>
        <w:t xml:space="preserve"> </w:t>
      </w:r>
      <m:oMath>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r>
          <m:rPr>
            <m:sty m:val="p"/>
          </m:rPr>
          <m:t>⌉</m:t>
        </m:r>
      </m:oMath>
      <w:r>
        <w:t xml:space="preserve">: with</w:t>
      </w:r>
      <w:r>
        <w:t xml:space="preserve"> </w:t>
      </w:r>
      <w:r>
        <w:rPr>
          <w:iCs/>
          <w:i/>
        </w:rPr>
        <w:t xml:space="preserve">m</w:t>
      </w:r>
      <w:r>
        <w:t xml:space="preserve"> </w:t>
      </w:r>
      <w:r>
        <w:t xml:space="preserve">= 10 the upper bound is the largest of the ten leave-one-out bounds. In practice, this conservativeness means somewhat wider intervals than necessary when few standards are available; it decreases as</w:t>
      </w:r>
      <w:r>
        <w:t xml:space="preserve"> </w:t>
      </w:r>
      <w:r>
        <w:rPr>
          <w:iCs/>
          <w:i/>
        </w:rPr>
        <w:t xml:space="preserve">m</w:t>
      </w:r>
      <w:r>
        <w:t xml:space="preserve"> </w:t>
      </w:r>
      <w:r>
        <w:t xml:space="preserve">grows (Fig. 3).</w:t>
      </w:r>
    </w:p>
    <w:p>
      <w:pPr>
        <w:pStyle w:val="BodyText"/>
      </w:pPr>
      <w:r>
        <w:rPr>
          <w:bCs/>
          <w:b/>
        </w:rPr>
        <w:t xml:space="preserve">Against the valid split-standards baseline.</w:t>
      </w:r>
      <w:r>
        <w:t xml:space="preserve"> </w:t>
      </w:r>
      <w:r>
        <w:t xml:space="preserve">Halving the standards made SCP-T-split unbounded in every repetition for</w:t>
      </w:r>
      <w:r>
        <w:t xml:space="preserve"> </w:t>
      </w:r>
      <w:r>
        <w:rPr>
          <w:iCs/>
          <w:i/>
        </w:rPr>
        <w:t xml:space="preserve">m</w:t>
      </w:r>
      <w:r>
        <w:t xml:space="preserve"> </w:t>
      </w:r>
      <w:r>
        <w:t xml:space="preserve">≤ 15 at α = 0.10 (20 of 40 scenarios, all with m ≤ 15). Where both methods gave bounded intervals, TJ+N had a lower interval score in 20 of 20 scenarios (paired Wilcoxon, Holm-adjusted</w:t>
      </w:r>
      <w:r>
        <w:t xml:space="preserve"> </w:t>
      </w:r>
      <w:r>
        <w:rPr>
          <w:iCs/>
          <w:i/>
        </w:rPr>
        <w:t xml:space="preserve">p</w:t>
      </w:r>
      <w:r>
        <w:t xml:space="preserve"> </w:t>
      </w:r>
      <w:r>
        <w:t xml:space="preserve">&lt; 0.05), with a median rank-biserial correlation of -0.52. Reusing every standard for both transfer and calibration is therefore the main practical gain.</w:t>
      </w:r>
    </w:p>
    <w:p>
      <w:pPr>
        <w:pStyle w:val="BodyText"/>
      </w:pPr>
      <w:r>
        <w:t xml:space="preserve">Interval widths relative to the RMSEP of the deployed predictor are shown in Fig. 4.</w:t>
      </w:r>
    </w:p>
    <w:p>
      <w:pPr>
        <w:pStyle w:val="CaptionedFigure"/>
        <w:keepNext/>
        <w:jc w:val="center"/>
      </w:pPr>
      <w:r>
        <w:drawing>
          <wp:inline>
            <wp:extent cx="5753100" cy="2260529"/>
            <wp:effectExtent b="0" l="0" r="0" t="0"/>
            <wp:docPr descr="Fig. 4. Median interval width relative to the RMSEP of the deployed predictor for the methods that were not under-covering (unbounded settings omitted)." title="" id="42" name="Picture"/>
            <a:graphic>
              <a:graphicData uri="http://schemas.openxmlformats.org/drawingml/2006/picture">
                <pic:pic>
                  <pic:nvPicPr>
                    <pic:cNvPr descr="figures/fig4_width_vs_m.png" id="43" name="Picture"/>
                    <pic:cNvPicPr>
                      <a:picLocks noChangeArrowheads="1" noChangeAspect="1"/>
                    </pic:cNvPicPr>
                  </pic:nvPicPr>
                  <pic:blipFill>
                    <a:blip r:embed="rId41"/>
                    <a:stretch>
                      <a:fillRect/>
                    </a:stretch>
                  </pic:blipFill>
                  <pic:spPr bwMode="auto">
                    <a:xfrm>
                      <a:off x="0" y="0"/>
                      <a:ext cx="5753100" cy="2260529"/>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Median interval width relative to the RMSEP of the deployed predictor for the methods that were not under-covering (unbounded settings omitted).</w:t>
      </w:r>
    </w:p>
    <w:p>
      <w:pPr>
        <w:pStyle w:val="BodyText"/>
      </w:pPr>
      <w:r>
        <w:rPr>
          <w:bCs/>
          <w:b/>
        </w:rPr>
        <w:t xml:space="preserve">Against Gaussian leave-one-standard-out intervals.</w:t>
      </w:r>
      <w:r>
        <w:t xml:space="preserve"> </w:t>
      </w:r>
      <w:r>
        <w:t xml:space="preserve">The simple Gauss-LOO interval was a strong competitor at α = 0.10.</w:t>
      </w:r>
    </w:p>
    <w:p>
      <w:pPr>
        <w:numPr>
          <w:ilvl w:val="0"/>
          <w:numId w:val="1013"/>
        </w:numPr>
      </w:pPr>
      <w:r>
        <w:t xml:space="preserve">It was never flagged as under-covering at this level.</w:t>
      </w:r>
    </w:p>
    <w:p>
      <w:pPr>
        <w:numPr>
          <w:ilvl w:val="0"/>
          <w:numId w:val="1013"/>
        </w:numPr>
      </w:pPr>
      <w:r>
        <w:t xml:space="preserve">It had the best mean rank of interval score across scenarios (Fig. S2; mean ranks Gauss-LOO 2.17, TJ+N 2.52, TJ+ 3.12; Friedman χ² = 145.5, nominal</w:t>
      </w:r>
      <w:r>
        <w:t xml:space="preserve"> </w:t>
      </w:r>
      <w:r>
        <w:rPr>
          <w:iCs/>
          <w:i/>
        </w:rPr>
        <w:t xml:space="preserve">p</w:t>
      </w:r>
      <w:r>
        <w:t xml:space="preserve"> </w:t>
      </w:r>
      <w:r>
        <w:t xml:space="preserve">= 3.6×10</w:t>
      </w:r>
      <w:r>
        <w:rPr>
          <w:vertAlign w:val="superscript"/>
        </w:rPr>
        <w:t xml:space="preserve">−</w:t>
      </w:r>
      <w:r>
        <w:t xml:space="preserve">28, which overstates the evidence because scenarios are dependent).</w:t>
      </w:r>
    </w:p>
    <w:p>
      <w:pPr>
        <w:numPr>
          <w:ilvl w:val="0"/>
          <w:numId w:val="1013"/>
        </w:numPr>
      </w:pPr>
      <w:r>
        <w:t xml:space="preserve">Across scenarios, it did not differ significantly from TJ+N after Holm correction (</w:t>
      </w:r>
      <w:r>
        <w:rPr>
          <w:iCs/>
          <w:i/>
        </w:rPr>
        <w:t xml:space="preserve">p</w:t>
      </w:r>
      <w:r>
        <w:t xml:space="preserve"> </w:t>
      </w:r>
      <w:r>
        <w:t xml:space="preserve">= 0.11).</w:t>
      </w:r>
    </w:p>
    <w:p>
      <w:pPr>
        <w:numPr>
          <w:ilvl w:val="0"/>
          <w:numId w:val="1013"/>
        </w:numPr>
      </w:pPr>
      <w:r>
        <w:t xml:space="preserve">Per scenario (Holm-adjusted</w:t>
      </w:r>
      <w:r>
        <w:t xml:space="preserve"> </w:t>
      </w:r>
      <w:r>
        <w:rPr>
          <w:iCs/>
          <w:i/>
        </w:rPr>
        <w:t xml:space="preserve">p</w:t>
      </w:r>
      <w:r>
        <w:t xml:space="preserve"> </w:t>
      </w:r>
      <w:r>
        <w:t xml:space="preserve">&lt; 0.05), Gauss-LOO had the lower interval score in 14 of 24 corn scenarios. On tablets and mango, TJ+N was better in 9 and Gauss-LOO in 5 of 16 scenarios.</w:t>
      </w:r>
    </w:p>
    <w:p>
      <w:pPr>
        <w:pStyle w:val="FirstParagraph"/>
      </w:pPr>
      <w:r>
        <w:t xml:space="preserve">Its validity, however, depends on approximately Gaussian errors. At α = 0.05 it under-covered in 14 of 40 scenarios, and at α = 0.20 in 2, whereas TJ+N and TJ+ never did. The price of distribution-free validity at α = 0.05 is that TJ+N needs</w:t>
      </w:r>
      <w:r>
        <w:t xml:space="preserve"> </w:t>
      </w:r>
      <w:r>
        <w:rPr>
          <w:iCs/>
          <w:i/>
        </w:rPr>
        <w:t xml:space="preserve">m</w:t>
      </w:r>
      <w:r>
        <w:t xml:space="preserve"> </w:t>
      </w:r>
      <w:r>
        <w:t xml:space="preserve">≥ 19 standards. With fewer standards it returns unbounded intervals rather than over-confident ones.</w:t>
      </w:r>
    </w:p>
    <w:p>
      <w:pPr>
        <w:pStyle w:val="BodyText"/>
      </w:pPr>
      <w:r>
        <w:rPr>
          <w:bCs/>
          <w:b/>
        </w:rPr>
        <w:t xml:space="preserve">Normalised Gaussian competitor (E9).</w:t>
      </w:r>
      <w:r>
        <w:t xml:space="preserve"> </w:t>
      </w:r>
      <w:r>
        <w:t xml:space="preserve">One might expect a heteroscedastic Gaussian interval using the same difficulty function to combine the efficiency of Gauss-LOO with the adaptivity of TJ+N: μ(x) ± t₁₋α/₂,ₘ₋₁ · RMS(Rᵢ) · σ(x), with Rᵢ from Eq. (3) (Gauss-LOO-N). We tested this in an additional experiment specified during review (200 repetitions; all primary pipelines and the instrument shift of E8; three α levels; Table S8).</w:t>
      </w:r>
    </w:p>
    <w:p>
      <w:pPr>
        <w:numPr>
          <w:ilvl w:val="0"/>
          <w:numId w:val="1014"/>
        </w:numPr>
      </w:pPr>
      <w:r>
        <w:t xml:space="preserve">Under-covering scenarios over all α levels: TJ+N 0/192, Gauss-LOO 18/192, Gauss-LOO-N 14/192.</w:t>
      </w:r>
    </w:p>
    <w:p>
      <w:pPr>
        <w:numPr>
          <w:ilvl w:val="0"/>
          <w:numId w:val="1014"/>
        </w:numPr>
      </w:pPr>
      <w:r>
        <w:t xml:space="preserve">At α = 0.05: 0/64, 16/64 and 8/64, respectively.</w:t>
      </w:r>
    </w:p>
    <w:p>
      <w:pPr>
        <w:numPr>
          <w:ilvl w:val="0"/>
          <w:numId w:val="1014"/>
        </w:numPr>
      </w:pPr>
      <w:r>
        <w:t xml:space="preserve">At α = 0.10, Gauss-LOO-N had a lower median interval score than TJ+N in 59 of 64 scenarios (median score ratio 0.970).</w:t>
      </w:r>
    </w:p>
    <w:p>
      <w:pPr>
        <w:pStyle w:val="FirstParagraph"/>
      </w:pPr>
      <w:r>
        <w:t xml:space="preserve">The normalised Gaussian interval was therefore slightly more efficient, by about 3% in median interval score, but it under-covered in several scenarios, mostly at 95%. TJ+N trades this small loss of efficiency for validity without distributional assumptions. Where a few percent of interval width matter more than a coverage guarantee, Gauss-LOO-N is a defensible pragmatic choice, provided its coverage is checked.</w:t>
      </w:r>
      <w:r>
        <w:t xml:space="preserve"> </w:t>
      </w:r>
      <w:r>
        <w:t xml:space="preserve">Over all four transfer pipelines (PDS, DS, SBC and no transfer) and the three data sets, TJ+N under-covered in 0 of 152 pipeline × scenario combinations at α = 0.10. The corresponding numbers were 12 of 152 for Gauss-LOO, 120 of 152 for ASTM-PI and 129 of 152 for SCP-S (Table S2).</w:t>
      </w:r>
    </w:p>
    <w:p>
      <w:pPr>
        <w:pStyle w:val="TableCaption"/>
        <w:keepNext/>
      </w:pPr>
      <w:r>
        <w:rPr>
          <w:bCs/>
          <w:b/>
        </w:rPr>
        <w:t xml:space="preserve">Table 4.</w:t>
      </w:r>
      <w:r>
        <w:t xml:space="preserve"> </w:t>
      </w:r>
      <w:r>
        <w:t xml:space="preserve">Validity across miscoverage levels: number of under-covering scenarios / scenarios, with the mean percentage of repetitions returning unbounded intervals in parentheses (primary pipelines).</w:t>
      </w:r>
    </w:p>
    <w:tbl>
      <w:tblPr>
        <w:tblStyle w:val="Table"/>
        <w:tblW w:type="pct" w:w="5000"/>
        <w:jc w:val="center"/>
        <w:tblLook w:firstRow="1" w:lastRow="0" w:firstColumn="0" w:lastColumn="0" w:noHBand="0" w:noVBand="0" w:val="0020"/>
        <w:tblCaption w:val="Table 4. Validity across miscoverage levels: number of under-covering scenarios / scenarios, with the mean percentage of repetitions returning unbounded intervals in parentheses (primary pipelines)."/>
      </w:tblPr>
      <w:tblGrid>
        <w:gridCol w:w="1980"/>
        <w:gridCol w:w="1980"/>
        <w:gridCol w:w="1980"/>
        <w:gridCol w:w="1980"/>
      </w:tblGrid>
      <w:tr>
        <w:trPr>
          <w:tblHeader w:val="true"/>
        </w:trPr>
        <w:tc>
          <w:tcPr>
            <w:tcBorders>
              <w:top w:val="single" w:sz="8" w:color="000000"/>
              <w:bottom w:val="single" w:sz="8" w:color="000000"/>
            </w:tcBorders>
          </w:tcPr>
          <w:p>
            <w:pPr>
              <w:pStyle w:val="Compact"/>
              <w:spacing w:after="0"/>
              <w:jc w:val="left"/>
            </w:pPr>
            <w:r>
              <w:t xml:space="preserve">Method</w:t>
            </w:r>
          </w:p>
        </w:tc>
        <w:tc>
          <w:tcPr>
            <w:tcBorders>
              <w:top w:val="single" w:sz="8" w:color="000000"/>
              <w:bottom w:val="single" w:sz="8" w:color="000000"/>
            </w:tcBorders>
          </w:tcPr>
          <w:p>
            <w:pPr>
              <w:pStyle w:val="Compact"/>
              <w:spacing w:after="0"/>
              <w:jc w:val="right"/>
            </w:pPr>
            <w:r>
              <w:t xml:space="preserve">α = 0.05 (nominal 0.95)</w:t>
            </w:r>
          </w:p>
        </w:tc>
        <w:tc>
          <w:tcPr>
            <w:tcBorders>
              <w:top w:val="single" w:sz="8" w:color="000000"/>
              <w:bottom w:val="single" w:sz="8" w:color="000000"/>
            </w:tcBorders>
          </w:tcPr>
          <w:p>
            <w:pPr>
              <w:pStyle w:val="Compact"/>
              <w:spacing w:after="0"/>
              <w:jc w:val="right"/>
            </w:pPr>
            <w:r>
              <w:t xml:space="preserve">α = 0.1 (nominal 0.90)</w:t>
            </w:r>
          </w:p>
        </w:tc>
        <w:tc>
          <w:tcPr>
            <w:tcBorders>
              <w:top w:val="single" w:sz="8" w:color="000000"/>
              <w:bottom w:val="single" w:sz="8" w:color="000000"/>
            </w:tcBorders>
          </w:tcPr>
          <w:p>
            <w:pPr>
              <w:pStyle w:val="Compact"/>
              <w:spacing w:after="0"/>
              <w:jc w:val="right"/>
            </w:pPr>
            <w:r>
              <w:t xml:space="preserve">α = 0.2 (nominal 0.80)</w:t>
            </w:r>
          </w:p>
        </w:tc>
      </w:tr>
      <w:tr>
        <w:tc>
          <w:tcPr/>
          <w:p>
            <w:pPr>
              <w:pStyle w:val="Compact"/>
              <w:spacing w:after="0"/>
              <w:jc w:val="left"/>
            </w:pPr>
            <w:r>
              <w:t xml:space="preserve">TJ+N</w:t>
            </w:r>
          </w:p>
        </w:tc>
        <w:tc>
          <w:tcPr/>
          <w:p>
            <w:pPr>
              <w:pStyle w:val="Compact"/>
              <w:spacing w:after="0"/>
              <w:jc w:val="right"/>
            </w:pPr>
            <w:r>
              <w:t xml:space="preserve">0/40 (50%)</w:t>
            </w:r>
          </w:p>
        </w:tc>
        <w:tc>
          <w:tcPr/>
          <w:p>
            <w:pPr>
              <w:pStyle w:val="Compact"/>
              <w:spacing w:after="0"/>
              <w:jc w:val="right"/>
            </w:pPr>
            <w:r>
              <w:t xml:space="preserve">0/40 (0%)</w:t>
            </w:r>
          </w:p>
        </w:tc>
        <w:tc>
          <w:tcPr/>
          <w:p>
            <w:pPr>
              <w:pStyle w:val="Compact"/>
              <w:spacing w:after="0"/>
              <w:jc w:val="right"/>
            </w:pPr>
            <w:r>
              <w:t xml:space="preserve">0/40 (0%)</w:t>
            </w:r>
          </w:p>
        </w:tc>
      </w:tr>
      <w:tr>
        <w:tc>
          <w:tcPr/>
          <w:p>
            <w:pPr>
              <w:pStyle w:val="Compact"/>
              <w:spacing w:after="0"/>
              <w:jc w:val="left"/>
            </w:pPr>
            <w:r>
              <w:t xml:space="preserve">TJ+</w:t>
            </w:r>
          </w:p>
        </w:tc>
        <w:tc>
          <w:tcPr/>
          <w:p>
            <w:pPr>
              <w:pStyle w:val="Compact"/>
              <w:spacing w:after="0"/>
              <w:jc w:val="right"/>
            </w:pPr>
            <w:r>
              <w:t xml:space="preserve">0/40 (50%)</w:t>
            </w:r>
          </w:p>
        </w:tc>
        <w:tc>
          <w:tcPr/>
          <w:p>
            <w:pPr>
              <w:pStyle w:val="Compact"/>
              <w:spacing w:after="0"/>
              <w:jc w:val="right"/>
            </w:pPr>
            <w:r>
              <w:t xml:space="preserve">0/40 (0%)</w:t>
            </w:r>
          </w:p>
        </w:tc>
        <w:tc>
          <w:tcPr/>
          <w:p>
            <w:pPr>
              <w:pStyle w:val="Compact"/>
              <w:spacing w:after="0"/>
              <w:jc w:val="right"/>
            </w:pPr>
            <w:r>
              <w:t xml:space="preserve">0/40 (0%)</w:t>
            </w:r>
          </w:p>
        </w:tc>
      </w:tr>
      <w:tr>
        <w:tc>
          <w:tcPr/>
          <w:p>
            <w:pPr>
              <w:pStyle w:val="Compact"/>
              <w:spacing w:after="0"/>
              <w:jc w:val="left"/>
            </w:pPr>
            <w:r>
              <w:t xml:space="preserve">SCP-T-split-N</w:t>
            </w:r>
          </w:p>
        </w:tc>
        <w:tc>
          <w:tcPr/>
          <w:p>
            <w:pPr>
              <w:pStyle w:val="Compact"/>
              <w:spacing w:after="0"/>
              <w:jc w:val="right"/>
            </w:pPr>
            <w:r>
              <w:t xml:space="preserve">0/40 (90%)</w:t>
            </w:r>
          </w:p>
        </w:tc>
        <w:tc>
          <w:tcPr/>
          <w:p>
            <w:pPr>
              <w:pStyle w:val="Compact"/>
              <w:spacing w:after="0"/>
              <w:jc w:val="right"/>
            </w:pPr>
            <w:r>
              <w:t xml:space="preserve">0/40 (50%)</w:t>
            </w:r>
          </w:p>
        </w:tc>
        <w:tc>
          <w:tcPr/>
          <w:p>
            <w:pPr>
              <w:pStyle w:val="Compact"/>
              <w:spacing w:after="0"/>
              <w:jc w:val="right"/>
            </w:pPr>
            <w:r>
              <w:t xml:space="preserve">0/40 (0%)</w:t>
            </w:r>
          </w:p>
        </w:tc>
      </w:tr>
      <w:tr>
        <w:tc>
          <w:tcPr/>
          <w:p>
            <w:pPr>
              <w:pStyle w:val="Compact"/>
              <w:spacing w:after="0"/>
              <w:jc w:val="left"/>
            </w:pPr>
            <w:r>
              <w:t xml:space="preserve">Gauss-LOO</w:t>
            </w:r>
          </w:p>
        </w:tc>
        <w:tc>
          <w:tcPr/>
          <w:p>
            <w:pPr>
              <w:pStyle w:val="Compact"/>
              <w:spacing w:after="0"/>
              <w:jc w:val="right"/>
            </w:pPr>
            <w:r>
              <w:t xml:space="preserve">14/40 (0%)</w:t>
            </w:r>
          </w:p>
        </w:tc>
        <w:tc>
          <w:tcPr/>
          <w:p>
            <w:pPr>
              <w:pStyle w:val="Compact"/>
              <w:spacing w:after="0"/>
              <w:jc w:val="right"/>
            </w:pPr>
            <w:r>
              <w:t xml:space="preserve">0/40 (0%)</w:t>
            </w:r>
          </w:p>
        </w:tc>
        <w:tc>
          <w:tcPr/>
          <w:p>
            <w:pPr>
              <w:pStyle w:val="Compact"/>
              <w:spacing w:after="0"/>
              <w:jc w:val="right"/>
            </w:pPr>
            <w:r>
              <w:t xml:space="preserve">2/40 (0%)</w:t>
            </w:r>
          </w:p>
        </w:tc>
      </w:tr>
      <w:tr>
        <w:tc>
          <w:tcPr/>
          <w:p>
            <w:pPr>
              <w:pStyle w:val="Compact"/>
              <w:spacing w:after="0"/>
              <w:jc w:val="left"/>
            </w:pPr>
            <w:r>
              <w:t xml:space="preserve">ASTM-PI</w:t>
            </w:r>
          </w:p>
        </w:tc>
        <w:tc>
          <w:tcPr/>
          <w:p>
            <w:pPr>
              <w:pStyle w:val="Compact"/>
              <w:spacing w:after="0"/>
              <w:jc w:val="right"/>
            </w:pPr>
            <w:r>
              <w:t xml:space="preserve">29/40 (0%)</w:t>
            </w:r>
          </w:p>
        </w:tc>
        <w:tc>
          <w:tcPr/>
          <w:p>
            <w:pPr>
              <w:pStyle w:val="Compact"/>
              <w:spacing w:after="0"/>
              <w:jc w:val="right"/>
            </w:pPr>
            <w:r>
              <w:t xml:space="preserve">29/40 (0%)</w:t>
            </w:r>
          </w:p>
        </w:tc>
        <w:tc>
          <w:tcPr/>
          <w:p>
            <w:pPr>
              <w:pStyle w:val="Compact"/>
              <w:spacing w:after="0"/>
              <w:jc w:val="right"/>
            </w:pPr>
            <w:r>
              <w:t xml:space="preserve">29/40 (0%)</w:t>
            </w:r>
          </w:p>
        </w:tc>
      </w:tr>
      <w:tr>
        <w:tc>
          <w:tcPr/>
          <w:p>
            <w:pPr>
              <w:pStyle w:val="Compact"/>
              <w:spacing w:after="0"/>
              <w:jc w:val="left"/>
            </w:pPr>
            <w:r>
              <w:t xml:space="preserve">SCP-S</w:t>
            </w:r>
          </w:p>
        </w:tc>
        <w:tc>
          <w:tcPr/>
          <w:p>
            <w:pPr>
              <w:pStyle w:val="Compact"/>
              <w:spacing w:after="0"/>
              <w:jc w:val="right"/>
            </w:pPr>
            <w:r>
              <w:t xml:space="preserve">29/40 (0%)</w:t>
            </w:r>
          </w:p>
        </w:tc>
        <w:tc>
          <w:tcPr/>
          <w:p>
            <w:pPr>
              <w:pStyle w:val="Compact"/>
              <w:spacing w:after="0"/>
              <w:jc w:val="right"/>
            </w:pPr>
            <w:r>
              <w:t xml:space="preserve">33/40 (0%)</w:t>
            </w:r>
          </w:p>
        </w:tc>
        <w:tc>
          <w:tcPr/>
          <w:p>
            <w:pPr>
              <w:pStyle w:val="Compact"/>
              <w:spacing w:after="0"/>
              <w:jc w:val="right"/>
            </w:pPr>
            <w:r>
              <w:t xml:space="preserve">34/40 (0%)</w:t>
            </w:r>
          </w:p>
        </w:tc>
      </w:tr>
      <w:tr>
        <w:tc>
          <w:tcPr/>
          <w:p>
            <w:pPr>
              <w:pStyle w:val="Compact"/>
              <w:spacing w:after="0"/>
              <w:jc w:val="left"/>
            </w:pPr>
            <w:r>
              <w:t xml:space="preserve">WCP-S</w:t>
            </w:r>
          </w:p>
        </w:tc>
        <w:tc>
          <w:tcPr/>
          <w:p>
            <w:pPr>
              <w:pStyle w:val="Compact"/>
              <w:spacing w:after="0"/>
              <w:jc w:val="right"/>
            </w:pPr>
            <w:r>
              <w:t xml:space="preserve">29/40 (69%)</w:t>
            </w:r>
          </w:p>
        </w:tc>
        <w:tc>
          <w:tcPr/>
          <w:p>
            <w:pPr>
              <w:pStyle w:val="Compact"/>
              <w:spacing w:after="0"/>
              <w:jc w:val="right"/>
            </w:pPr>
            <w:r>
              <w:t xml:space="preserve">33/40 (49%)</w:t>
            </w:r>
          </w:p>
        </w:tc>
        <w:tc>
          <w:tcPr/>
          <w:p>
            <w:pPr>
              <w:pStyle w:val="Compact"/>
              <w:spacing w:after="0"/>
              <w:jc w:val="right"/>
            </w:pPr>
            <w:r>
              <w:t xml:space="preserve">33/40 (30%)</w:t>
            </w:r>
          </w:p>
        </w:tc>
      </w:tr>
      <w:tr>
        <w:tc>
          <w:tcPr>
            <w:tcBorders>
              <w:bottom w:val="single" w:sz="8" w:color="000000"/>
            </w:tcBorders>
          </w:tcPr>
          <w:p>
            <w:pPr>
              <w:pStyle w:val="Compact"/>
              <w:spacing w:after="0"/>
              <w:jc w:val="left"/>
            </w:pPr>
            <w:r>
              <w:t xml:space="preserve">LF-conv</w:t>
            </w:r>
          </w:p>
        </w:tc>
        <w:tc>
          <w:tcPr>
            <w:tcBorders>
              <w:bottom w:val="single" w:sz="8" w:color="000000"/>
            </w:tcBorders>
          </w:tcPr>
          <w:p>
            <w:pPr>
              <w:pStyle w:val="Compact"/>
              <w:spacing w:after="0"/>
              <w:jc w:val="right"/>
            </w:pPr>
            <w:r>
              <w:t xml:space="preserve">25/36 (0%)</w:t>
            </w:r>
          </w:p>
        </w:tc>
        <w:tc>
          <w:tcPr>
            <w:tcBorders>
              <w:bottom w:val="single" w:sz="8" w:color="000000"/>
            </w:tcBorders>
          </w:tcPr>
          <w:p>
            <w:pPr>
              <w:pStyle w:val="Compact"/>
              <w:spacing w:after="0"/>
              <w:jc w:val="right"/>
            </w:pPr>
            <w:r>
              <w:t xml:space="preserve">20/36 (0%)</w:t>
            </w:r>
          </w:p>
        </w:tc>
        <w:tc>
          <w:tcPr>
            <w:tcBorders>
              <w:bottom w:val="single" w:sz="8" w:color="000000"/>
            </w:tcBorders>
          </w:tcPr>
          <w:p>
            <w:pPr>
              <w:pStyle w:val="Compact"/>
              <w:spacing w:after="0"/>
              <w:jc w:val="right"/>
            </w:pPr>
            <w:r>
              <w:t xml:space="preserve">13/36 (0%)</w:t>
            </w:r>
          </w:p>
        </w:tc>
      </w:tr>
    </w:tbl>
    <w:bookmarkEnd w:id="44"/>
    <w:bookmarkStart w:id="51" w:name="ablation-rq3"/>
    <w:p>
      <w:pPr>
        <w:pStyle w:val="Heading2"/>
      </w:pPr>
      <w:r>
        <w:t xml:space="preserve">4.4. Ablation (RQ3)</w:t>
      </w:r>
    </w:p>
    <w:p>
      <w:pPr>
        <w:pStyle w:val="FirstParagraph"/>
      </w:pPr>
      <w:r>
        <w:t xml:space="preserve">Table 5 and Fig. 5 isolate the components.</w:t>
      </w:r>
    </w:p>
    <w:p>
      <w:pPr>
        <w:numPr>
          <w:ilvl w:val="0"/>
          <w:numId w:val="1015"/>
        </w:numPr>
      </w:pPr>
      <w:r>
        <w:rPr>
          <w:bCs/>
          <w:b/>
        </w:rPr>
        <w:t xml:space="preserve">Leave-one-out re-fitting is essential.</w:t>
      </w:r>
      <w:r>
        <w:t xml:space="preserve"> </w:t>
      </w:r>
      <w:r>
        <w:t xml:space="preserve">With residuals from the transfer fitted on all standards (TJ-insample-N), the intervals under-covered in 14 of 40 scenarios. The effect was largest for SBC on mango (coverage 0.83–0.89), because a slope and bias fitted to the same standards absorb part of their own residuals.</w:t>
      </w:r>
    </w:p>
    <w:p>
      <w:pPr>
        <w:numPr>
          <w:ilvl w:val="0"/>
          <w:numId w:val="1015"/>
        </w:numPr>
      </w:pPr>
      <w:r>
        <w:rPr>
          <w:bCs/>
          <w:b/>
        </w:rPr>
        <w:t xml:space="preserve">K-fold CV+.</w:t>
      </w:r>
      <w:r>
        <w:t xml:space="preserve"> </w:t>
      </w:r>
      <w:r>
        <w:t xml:space="preserve">Five-fold CV+ (TCV+N) needs only five refits but was more conservative, with a higher interval score than TJ+N in 32 of 40 scenarios.</w:t>
      </w:r>
    </w:p>
    <w:p>
      <w:pPr>
        <w:numPr>
          <w:ilvl w:val="0"/>
          <w:numId w:val="1015"/>
        </w:numPr>
      </w:pPr>
      <w:r>
        <w:rPr>
          <w:bCs/>
          <w:b/>
        </w:rPr>
        <w:t xml:space="preserve">The</w:t>
      </w:r>
      <w:r>
        <w:rPr>
          <w:bCs/>
          <w:b/>
        </w:rPr>
        <w:t xml:space="preserve"> </w:t>
      </w:r>
      <w:r>
        <w:rPr>
          <w:bCs/>
          <w:b/>
        </w:rPr>
        <w:t xml:space="preserve">“</w:t>
      </w:r>
      <w:r>
        <w:rPr>
          <w:bCs/>
          <w:b/>
        </w:rPr>
        <w:t xml:space="preserve">+</w:t>
      </w:r>
      <w:r>
        <w:rPr>
          <w:bCs/>
          <w:b/>
        </w:rPr>
        <w:t xml:space="preserve">”</w:t>
      </w:r>
      <w:r>
        <w:rPr>
          <w:bCs/>
          <w:b/>
        </w:rPr>
        <w:t xml:space="preserve"> </w:t>
      </w:r>
      <w:r>
        <w:rPr>
          <w:bCs/>
          <w:b/>
        </w:rPr>
        <w:t xml:space="preserve">construction.</w:t>
      </w:r>
      <w:r>
        <w:t xml:space="preserve"> </w:t>
      </w:r>
      <w:r>
        <w:t xml:space="preserve">Centring the interval on the full-fit prediction (TJ-naive-N) gave equal or slightly lower coverage than TJ+N. It is a reasonable practical alternative, but it carries no finite-sample guarantee.</w:t>
      </w:r>
    </w:p>
    <w:p>
      <w:pPr>
        <w:numPr>
          <w:ilvl w:val="0"/>
          <w:numId w:val="1015"/>
        </w:numPr>
      </w:pPr>
      <w:r>
        <w:rPr>
          <w:bCs/>
          <w:b/>
        </w:rPr>
        <w:t xml:space="preserve">Over all pipelines and α levels (E1 and E8 together):</w:t>
      </w:r>
    </w:p>
    <w:p>
      <w:pPr>
        <w:numPr>
          <w:ilvl w:val="1"/>
          <w:numId w:val="1016"/>
        </w:numPr>
      </w:pPr>
      <w:r>
        <w:t xml:space="preserve">TJ-naive-N under-covered in 3 of 528 scenario cells, against 0 of 528 for TJ+N and 0 of 528 for TCV+N.</w:t>
      </w:r>
    </w:p>
    <w:p>
      <w:pPr>
        <w:numPr>
          <w:ilvl w:val="1"/>
          <w:numId w:val="1016"/>
        </w:numPr>
      </w:pPr>
      <w:r>
        <w:t xml:space="preserve">Residuals without leave-one-out re-fitting (TJ-insample-N) under-covered in 199 of 528.</w:t>
      </w:r>
    </w:p>
    <w:p>
      <w:pPr>
        <w:numPr>
          <w:ilvl w:val="1"/>
          <w:numId w:val="1016"/>
        </w:numPr>
      </w:pPr>
      <w:r>
        <w:t xml:space="preserve">Gauss-LOO under-covered in 77 of 528.</w:t>
      </w:r>
    </w:p>
    <w:p>
      <w:pPr>
        <w:numPr>
          <w:ilvl w:val="0"/>
          <w:numId w:val="1015"/>
        </w:numPr>
      </w:pPr>
      <w:r>
        <w:rPr>
          <w:bCs/>
          <w:b/>
        </w:rPr>
        <w:t xml:space="preserve">Difficulty normalisation.</w:t>
      </w:r>
      <w:r>
        <w:t xml:space="preserve"> </w:t>
      </w:r>
      <w:r>
        <w:t xml:space="preserve">Normalisation improved efficiency in most scenarios.</w:t>
      </w:r>
    </w:p>
    <w:p>
      <w:pPr>
        <w:numPr>
          <w:ilvl w:val="1"/>
          <w:numId w:val="1017"/>
        </w:numPr>
      </w:pPr>
      <w:r>
        <w:t xml:space="preserve">TJ+N had a significantly lower interval score than unnormalised TJ+ in 24 of 40 scenarios, and a higher one in 5.</w:t>
      </w:r>
    </w:p>
    <w:p>
      <w:pPr>
        <w:numPr>
          <w:ilvl w:val="1"/>
          <w:numId w:val="1017"/>
        </w:numPr>
      </w:pPr>
      <w:r>
        <w:t xml:space="preserve">It also rebalanced conditional coverage. Unnormalised intervals under-covered the most difficult third of test samples (coverage in the highest-σ tertile 0.878) and over-covered the easiest third (0.957). With TJ+N these became 0.933 and 0.904 (Fig. 6).</w:t>
      </w:r>
    </w:p>
    <w:p>
      <w:pPr>
        <w:numPr>
          <w:ilvl w:val="1"/>
          <w:numId w:val="1017"/>
        </w:numPr>
      </w:pPr>
      <w:r>
        <w:t xml:space="preserve">On corn, the Q term over-corrected slightly: the highest-σ tertile was over-covered. A T²-only difficulty function was more balanced there. Because this variant was identified after the results were seen, we report it as exploratory and keep the pre-registered TJ+N as the primary method.</w:t>
      </w:r>
    </w:p>
    <w:p>
      <w:pPr>
        <w:numPr>
          <w:ilvl w:val="1"/>
          <w:numId w:val="1017"/>
        </w:numPr>
      </w:pPr>
      <w:r>
        <w:t xml:space="preserve">The Q term was most valuable when the test spectra drifted after standardisation (§4.5).</w:t>
      </w:r>
    </w:p>
    <w:p>
      <w:pPr>
        <w:pStyle w:val="TableCaption"/>
        <w:keepNext/>
      </w:pPr>
      <w:r>
        <w:rPr>
          <w:bCs/>
          <w:b/>
        </w:rPr>
        <w:t xml:space="preserve">Table 5.</w:t>
      </w:r>
      <w:r>
        <w:t xml:space="preserve"> </w:t>
      </w:r>
      <w:r>
        <w:t xml:space="preserve">Ablation of TJ+N (α = 0.10, primary pipelines). Rel. IS: median over scenarios of the scenario median interval score relative to TJ+N (&lt; 1 = narrower/better). Cov. low/high σ tertile: mean coverage in the lowest and highest tertile of σ(x) over all scenarios.</w:t>
      </w:r>
    </w:p>
    <w:tbl>
      <w:tblPr>
        <w:tblStyle w:val="Table"/>
        <w:tblW w:type="pct" w:w="5000"/>
        <w:jc w:val="center"/>
        <w:tblLook w:firstRow="1" w:lastRow="0" w:firstColumn="0" w:lastColumn="0" w:noHBand="0" w:noVBand="0" w:val="0020"/>
        <w:tblCaption w:val="Table 5. Ablation of TJ+N (α = 0.10, primary pipelines). Rel. IS: median over scenarios of the scenario median interval score relative to TJ+N (&lt; 1 = narrower/better). Cov. low/high σ tertile: mean coverage in the lowest and highest tertile of σ(x) over all scenarios."/>
      </w:tblPr>
      <w:tblGrid>
        <w:gridCol w:w="719"/>
        <w:gridCol w:w="719"/>
        <w:gridCol w:w="719"/>
        <w:gridCol w:w="719"/>
        <w:gridCol w:w="719"/>
        <w:gridCol w:w="719"/>
        <w:gridCol w:w="719"/>
        <w:gridCol w:w="719"/>
        <w:gridCol w:w="719"/>
        <w:gridCol w:w="719"/>
        <w:gridCol w:w="719"/>
      </w:tblGrid>
      <w:tr>
        <w:trPr>
          <w:tblHeader w:val="true"/>
        </w:trPr>
        <w:tc>
          <w:tcPr>
            <w:tcBorders>
              <w:top w:val="single" w:sz="8" w:color="000000"/>
              <w:bottom w:val="single" w:sz="8" w:color="000000"/>
            </w:tcBorders>
          </w:tcPr>
          <w:p>
            <w:pPr>
              <w:pStyle w:val="Compact"/>
              <w:spacing w:after="0"/>
              <w:jc w:val="left"/>
            </w:pPr>
            <w:r>
              <w:t xml:space="preserve">Variant</w:t>
            </w:r>
          </w:p>
        </w:tc>
        <w:tc>
          <w:tcPr>
            <w:tcBorders>
              <w:top w:val="single" w:sz="8" w:color="000000"/>
              <w:bottom w:val="single" w:sz="8" w:color="000000"/>
            </w:tcBorders>
          </w:tcPr>
          <w:p>
            <w:pPr>
              <w:pStyle w:val="Compact"/>
              <w:spacing w:after="0"/>
              <w:jc w:val="right"/>
            </w:pPr>
            <w:r>
              <w:t xml:space="preserve">Corn cov.</w:t>
            </w:r>
          </w:p>
        </w:tc>
        <w:tc>
          <w:tcPr>
            <w:tcBorders>
              <w:top w:val="single" w:sz="8" w:color="000000"/>
              <w:bottom w:val="single" w:sz="8" w:color="000000"/>
            </w:tcBorders>
          </w:tcPr>
          <w:p>
            <w:pPr>
              <w:pStyle w:val="Compact"/>
              <w:spacing w:after="0"/>
              <w:jc w:val="right"/>
            </w:pPr>
            <w:r>
              <w:t xml:space="preserve">Corn under</w:t>
            </w:r>
          </w:p>
        </w:tc>
        <w:tc>
          <w:tcPr>
            <w:tcBorders>
              <w:top w:val="single" w:sz="8" w:color="000000"/>
              <w:bottom w:val="single" w:sz="8" w:color="000000"/>
            </w:tcBorders>
          </w:tcPr>
          <w:p>
            <w:pPr>
              <w:pStyle w:val="Compact"/>
              <w:spacing w:after="0"/>
              <w:jc w:val="right"/>
            </w:pPr>
            <w:r>
              <w:t xml:space="preserve">Corn rel. IS</w:t>
            </w:r>
          </w:p>
        </w:tc>
        <w:tc>
          <w:tcPr>
            <w:tcBorders>
              <w:top w:val="single" w:sz="8" w:color="000000"/>
              <w:bottom w:val="single" w:sz="8" w:color="000000"/>
            </w:tcBorders>
          </w:tcPr>
          <w:p>
            <w:pPr>
              <w:pStyle w:val="Compact"/>
              <w:spacing w:after="0"/>
              <w:jc w:val="right"/>
            </w:pPr>
            <w:r>
              <w:t xml:space="preserve">Tablets cov.</w:t>
            </w:r>
          </w:p>
        </w:tc>
        <w:tc>
          <w:tcPr>
            <w:tcBorders>
              <w:top w:val="single" w:sz="8" w:color="000000"/>
              <w:bottom w:val="single" w:sz="8" w:color="000000"/>
            </w:tcBorders>
          </w:tcPr>
          <w:p>
            <w:pPr>
              <w:pStyle w:val="Compact"/>
              <w:spacing w:after="0"/>
              <w:jc w:val="right"/>
            </w:pPr>
            <w:r>
              <w:t xml:space="preserve">Tablets under</w:t>
            </w:r>
          </w:p>
        </w:tc>
        <w:tc>
          <w:tcPr>
            <w:tcBorders>
              <w:top w:val="single" w:sz="8" w:color="000000"/>
              <w:bottom w:val="single" w:sz="8" w:color="000000"/>
            </w:tcBorders>
          </w:tcPr>
          <w:p>
            <w:pPr>
              <w:pStyle w:val="Compact"/>
              <w:spacing w:after="0"/>
              <w:jc w:val="right"/>
            </w:pPr>
            <w:r>
              <w:t xml:space="preserve">Tablets rel. IS</w:t>
            </w:r>
          </w:p>
        </w:tc>
        <w:tc>
          <w:tcPr>
            <w:tcBorders>
              <w:top w:val="single" w:sz="8" w:color="000000"/>
              <w:bottom w:val="single" w:sz="8" w:color="000000"/>
            </w:tcBorders>
          </w:tcPr>
          <w:p>
            <w:pPr>
              <w:pStyle w:val="Compact"/>
              <w:spacing w:after="0"/>
              <w:jc w:val="right"/>
            </w:pPr>
            <w:r>
              <w:t xml:space="preserve">Mango cov.</w:t>
            </w:r>
          </w:p>
        </w:tc>
        <w:tc>
          <w:tcPr>
            <w:tcBorders>
              <w:top w:val="single" w:sz="8" w:color="000000"/>
              <w:bottom w:val="single" w:sz="8" w:color="000000"/>
            </w:tcBorders>
          </w:tcPr>
          <w:p>
            <w:pPr>
              <w:pStyle w:val="Compact"/>
              <w:spacing w:after="0"/>
              <w:jc w:val="right"/>
            </w:pPr>
            <w:r>
              <w:t xml:space="preserve">Mango under</w:t>
            </w:r>
          </w:p>
        </w:tc>
        <w:tc>
          <w:tcPr>
            <w:tcBorders>
              <w:top w:val="single" w:sz="8" w:color="000000"/>
              <w:bottom w:val="single" w:sz="8" w:color="000000"/>
            </w:tcBorders>
          </w:tcPr>
          <w:p>
            <w:pPr>
              <w:pStyle w:val="Compact"/>
              <w:spacing w:after="0"/>
              <w:jc w:val="right"/>
            </w:pPr>
            <w:r>
              <w:t xml:space="preserve">Mango rel. IS</w:t>
            </w:r>
          </w:p>
        </w:tc>
        <w:tc>
          <w:tcPr>
            <w:tcBorders>
              <w:top w:val="single" w:sz="8" w:color="000000"/>
              <w:bottom w:val="single" w:sz="8" w:color="000000"/>
            </w:tcBorders>
          </w:tcPr>
          <w:p>
            <w:pPr>
              <w:pStyle w:val="Compact"/>
              <w:spacing w:after="0"/>
              <w:jc w:val="right"/>
            </w:pPr>
            <w:r>
              <w:t xml:space="preserve">Cov. low/high σ tertile</w:t>
            </w:r>
          </w:p>
        </w:tc>
      </w:tr>
      <w:tr>
        <w:tc>
          <w:tcPr/>
          <w:p>
            <w:pPr>
              <w:pStyle w:val="Compact"/>
              <w:spacing w:after="0"/>
              <w:jc w:val="left"/>
            </w:pPr>
            <w:r>
              <w:t xml:space="preserve">TJ+N</w:t>
            </w:r>
          </w:p>
        </w:tc>
        <w:tc>
          <w:tcPr/>
          <w:p>
            <w:pPr>
              <w:pStyle w:val="Compact"/>
              <w:spacing w:after="0"/>
              <w:jc w:val="right"/>
            </w:pPr>
            <w:r>
              <w:t xml:space="preserve">0.931</w:t>
            </w:r>
          </w:p>
        </w:tc>
        <w:tc>
          <w:tcPr/>
          <w:p>
            <w:pPr>
              <w:pStyle w:val="Compact"/>
              <w:spacing w:after="0"/>
              <w:jc w:val="right"/>
            </w:pPr>
            <w:r>
              <w:t xml:space="preserve">0/24</w:t>
            </w:r>
          </w:p>
        </w:tc>
        <w:tc>
          <w:tcPr/>
          <w:p>
            <w:pPr>
              <w:pStyle w:val="Compact"/>
              <w:spacing w:after="0"/>
              <w:jc w:val="right"/>
            </w:pPr>
            <w:r>
              <w:t xml:space="preserve">1.000</w:t>
            </w:r>
          </w:p>
        </w:tc>
        <w:tc>
          <w:tcPr/>
          <w:p>
            <w:pPr>
              <w:pStyle w:val="Compact"/>
              <w:spacing w:after="0"/>
              <w:jc w:val="right"/>
            </w:pPr>
            <w:r>
              <w:t xml:space="preserve">0.910</w:t>
            </w:r>
          </w:p>
        </w:tc>
        <w:tc>
          <w:tcPr/>
          <w:p>
            <w:pPr>
              <w:pStyle w:val="Compact"/>
              <w:spacing w:after="0"/>
              <w:jc w:val="right"/>
            </w:pPr>
            <w:r>
              <w:t xml:space="preserve">0/12</w:t>
            </w:r>
          </w:p>
        </w:tc>
        <w:tc>
          <w:tcPr/>
          <w:p>
            <w:pPr>
              <w:pStyle w:val="Compact"/>
              <w:spacing w:after="0"/>
              <w:jc w:val="right"/>
            </w:pPr>
            <w:r>
              <w:t xml:space="preserve">1.000</w:t>
            </w:r>
          </w:p>
        </w:tc>
        <w:tc>
          <w:tcPr/>
          <w:p>
            <w:pPr>
              <w:pStyle w:val="Compact"/>
              <w:spacing w:after="0"/>
              <w:jc w:val="right"/>
            </w:pPr>
            <w:r>
              <w:t xml:space="preserve">0.904</w:t>
            </w:r>
          </w:p>
        </w:tc>
        <w:tc>
          <w:tcPr/>
          <w:p>
            <w:pPr>
              <w:pStyle w:val="Compact"/>
              <w:spacing w:after="0"/>
              <w:jc w:val="right"/>
            </w:pPr>
            <w:r>
              <w:t xml:space="preserve">0/4</w:t>
            </w:r>
          </w:p>
        </w:tc>
        <w:tc>
          <w:tcPr/>
          <w:p>
            <w:pPr>
              <w:pStyle w:val="Compact"/>
              <w:spacing w:after="0"/>
              <w:jc w:val="right"/>
            </w:pPr>
            <w:r>
              <w:t xml:space="preserve">1.000</w:t>
            </w:r>
          </w:p>
        </w:tc>
        <w:tc>
          <w:tcPr/>
          <w:p>
            <w:pPr>
              <w:pStyle w:val="Compact"/>
              <w:spacing w:after="0"/>
              <w:jc w:val="right"/>
            </w:pPr>
            <w:r>
              <w:t xml:space="preserve">0.904 / 0.933</w:t>
            </w:r>
          </w:p>
        </w:tc>
      </w:tr>
      <w:tr>
        <w:tc>
          <w:tcPr/>
          <w:p>
            <w:pPr>
              <w:pStyle w:val="Compact"/>
              <w:spacing w:after="0"/>
              <w:jc w:val="left"/>
            </w:pPr>
            <w:r>
              <w:t xml:space="preserve">TJ+</w:t>
            </w:r>
          </w:p>
        </w:tc>
        <w:tc>
          <w:tcPr/>
          <w:p>
            <w:pPr>
              <w:pStyle w:val="Compact"/>
              <w:spacing w:after="0"/>
              <w:jc w:val="right"/>
            </w:pPr>
            <w:r>
              <w:t xml:space="preserve">0.933</w:t>
            </w:r>
          </w:p>
        </w:tc>
        <w:tc>
          <w:tcPr/>
          <w:p>
            <w:pPr>
              <w:pStyle w:val="Compact"/>
              <w:spacing w:after="0"/>
              <w:jc w:val="right"/>
            </w:pPr>
            <w:r>
              <w:t xml:space="preserve">0/24</w:t>
            </w:r>
          </w:p>
        </w:tc>
        <w:tc>
          <w:tcPr/>
          <w:p>
            <w:pPr>
              <w:pStyle w:val="Compact"/>
              <w:spacing w:after="0"/>
              <w:jc w:val="right"/>
            </w:pPr>
            <w:r>
              <w:t xml:space="preserve">1.019</w:t>
            </w:r>
          </w:p>
        </w:tc>
        <w:tc>
          <w:tcPr/>
          <w:p>
            <w:pPr>
              <w:pStyle w:val="Compact"/>
              <w:spacing w:after="0"/>
              <w:jc w:val="right"/>
            </w:pPr>
            <w:r>
              <w:t xml:space="preserve">0.911</w:t>
            </w:r>
          </w:p>
        </w:tc>
        <w:tc>
          <w:tcPr/>
          <w:p>
            <w:pPr>
              <w:pStyle w:val="Compact"/>
              <w:spacing w:after="0"/>
              <w:jc w:val="right"/>
            </w:pPr>
            <w:r>
              <w:t xml:space="preserve">0/12</w:t>
            </w:r>
          </w:p>
        </w:tc>
        <w:tc>
          <w:tcPr/>
          <w:p>
            <w:pPr>
              <w:pStyle w:val="Compact"/>
              <w:spacing w:after="0"/>
              <w:jc w:val="right"/>
            </w:pPr>
            <w:r>
              <w:t xml:space="preserve">1.062</w:t>
            </w:r>
          </w:p>
        </w:tc>
        <w:tc>
          <w:tcPr/>
          <w:p>
            <w:pPr>
              <w:pStyle w:val="Compact"/>
              <w:spacing w:after="0"/>
              <w:jc w:val="right"/>
            </w:pPr>
            <w:r>
              <w:t xml:space="preserve">0.904</w:t>
            </w:r>
          </w:p>
        </w:tc>
        <w:tc>
          <w:tcPr/>
          <w:p>
            <w:pPr>
              <w:pStyle w:val="Compact"/>
              <w:spacing w:after="0"/>
              <w:jc w:val="right"/>
            </w:pPr>
            <w:r>
              <w:t xml:space="preserve">0/4</w:t>
            </w:r>
          </w:p>
        </w:tc>
        <w:tc>
          <w:tcPr/>
          <w:p>
            <w:pPr>
              <w:pStyle w:val="Compact"/>
              <w:spacing w:after="0"/>
              <w:jc w:val="right"/>
            </w:pPr>
            <w:r>
              <w:t xml:space="preserve">1.016</w:t>
            </w:r>
          </w:p>
        </w:tc>
        <w:tc>
          <w:tcPr/>
          <w:p>
            <w:pPr>
              <w:pStyle w:val="Compact"/>
              <w:spacing w:after="0"/>
              <w:jc w:val="right"/>
            </w:pPr>
            <w:r>
              <w:t xml:space="preserve">0.957 / 0.878</w:t>
            </w:r>
          </w:p>
        </w:tc>
      </w:tr>
      <w:tr>
        <w:tc>
          <w:tcPr/>
          <w:p>
            <w:pPr>
              <w:pStyle w:val="Compact"/>
              <w:spacing w:after="0"/>
              <w:jc w:val="left"/>
            </w:pPr>
            <w:r>
              <w:t xml:space="preserve">TCV+N</w:t>
            </w:r>
          </w:p>
        </w:tc>
        <w:tc>
          <w:tcPr/>
          <w:p>
            <w:pPr>
              <w:pStyle w:val="Compact"/>
              <w:spacing w:after="0"/>
              <w:jc w:val="right"/>
            </w:pPr>
            <w:r>
              <w:t xml:space="preserve">0.942</w:t>
            </w:r>
          </w:p>
        </w:tc>
        <w:tc>
          <w:tcPr/>
          <w:p>
            <w:pPr>
              <w:pStyle w:val="Compact"/>
              <w:spacing w:after="0"/>
              <w:jc w:val="right"/>
            </w:pPr>
            <w:r>
              <w:t xml:space="preserve">0/24</w:t>
            </w:r>
          </w:p>
        </w:tc>
        <w:tc>
          <w:tcPr/>
          <w:p>
            <w:pPr>
              <w:pStyle w:val="Compact"/>
              <w:spacing w:after="0"/>
              <w:jc w:val="right"/>
            </w:pPr>
            <w:r>
              <w:t xml:space="preserve">1.066</w:t>
            </w:r>
          </w:p>
        </w:tc>
        <w:tc>
          <w:tcPr/>
          <w:p>
            <w:pPr>
              <w:pStyle w:val="Compact"/>
              <w:spacing w:after="0"/>
              <w:jc w:val="right"/>
            </w:pPr>
            <w:r>
              <w:t xml:space="preserve">0.917</w:t>
            </w:r>
          </w:p>
        </w:tc>
        <w:tc>
          <w:tcPr/>
          <w:p>
            <w:pPr>
              <w:pStyle w:val="Compact"/>
              <w:spacing w:after="0"/>
              <w:jc w:val="right"/>
            </w:pPr>
            <w:r>
              <w:t xml:space="preserve">0/12</w:t>
            </w:r>
          </w:p>
        </w:tc>
        <w:tc>
          <w:tcPr/>
          <w:p>
            <w:pPr>
              <w:pStyle w:val="Compact"/>
              <w:spacing w:after="0"/>
              <w:jc w:val="right"/>
            </w:pPr>
            <w:r>
              <w:t xml:space="preserve">1.000</w:t>
            </w:r>
          </w:p>
        </w:tc>
        <w:tc>
          <w:tcPr/>
          <w:p>
            <w:pPr>
              <w:pStyle w:val="Compact"/>
              <w:spacing w:after="0"/>
              <w:jc w:val="right"/>
            </w:pPr>
            <w:r>
              <w:t xml:space="preserve">0.908</w:t>
            </w:r>
          </w:p>
        </w:tc>
        <w:tc>
          <w:tcPr/>
          <w:p>
            <w:pPr>
              <w:pStyle w:val="Compact"/>
              <w:spacing w:after="0"/>
              <w:jc w:val="right"/>
            </w:pPr>
            <w:r>
              <w:t xml:space="preserve">0/4</w:t>
            </w:r>
          </w:p>
        </w:tc>
        <w:tc>
          <w:tcPr/>
          <w:p>
            <w:pPr>
              <w:pStyle w:val="Compact"/>
              <w:spacing w:after="0"/>
              <w:jc w:val="right"/>
            </w:pPr>
            <w:r>
              <w:t xml:space="preserve">1.009</w:t>
            </w:r>
          </w:p>
        </w:tc>
        <w:tc>
          <w:tcPr/>
          <w:p>
            <w:pPr>
              <w:pStyle w:val="Compact"/>
              <w:spacing w:after="0"/>
              <w:jc w:val="right"/>
            </w:pPr>
            <w:r>
              <w:t xml:space="preserve">0.916 / 0.941</w:t>
            </w:r>
          </w:p>
        </w:tc>
      </w:tr>
      <w:tr>
        <w:tc>
          <w:tcPr/>
          <w:p>
            <w:pPr>
              <w:pStyle w:val="Compact"/>
              <w:spacing w:after="0"/>
              <w:jc w:val="left"/>
            </w:pPr>
            <w:r>
              <w:t xml:space="preserve">TJ-naive-N</w:t>
            </w:r>
          </w:p>
        </w:tc>
        <w:tc>
          <w:tcPr/>
          <w:p>
            <w:pPr>
              <w:pStyle w:val="Compact"/>
              <w:spacing w:after="0"/>
              <w:jc w:val="right"/>
            </w:pPr>
            <w:r>
              <w:t xml:space="preserve">0.919</w:t>
            </w:r>
          </w:p>
        </w:tc>
        <w:tc>
          <w:tcPr/>
          <w:p>
            <w:pPr>
              <w:pStyle w:val="Compact"/>
              <w:spacing w:after="0"/>
              <w:jc w:val="right"/>
            </w:pPr>
            <w:r>
              <w:t xml:space="preserve">0/24</w:t>
            </w:r>
          </w:p>
        </w:tc>
        <w:tc>
          <w:tcPr/>
          <w:p>
            <w:pPr>
              <w:pStyle w:val="Compact"/>
              <w:spacing w:after="0"/>
              <w:jc w:val="right"/>
            </w:pPr>
            <w:r>
              <w:t xml:space="preserve">0.961</w:t>
            </w:r>
          </w:p>
        </w:tc>
        <w:tc>
          <w:tcPr/>
          <w:p>
            <w:pPr>
              <w:pStyle w:val="Compact"/>
              <w:spacing w:after="0"/>
              <w:jc w:val="right"/>
            </w:pPr>
            <w:r>
              <w:t xml:space="preserve">0.905</w:t>
            </w:r>
          </w:p>
        </w:tc>
        <w:tc>
          <w:tcPr/>
          <w:p>
            <w:pPr>
              <w:pStyle w:val="Compact"/>
              <w:spacing w:after="0"/>
              <w:jc w:val="right"/>
            </w:pPr>
            <w:r>
              <w:t xml:space="preserve">0/12</w:t>
            </w:r>
          </w:p>
        </w:tc>
        <w:tc>
          <w:tcPr/>
          <w:p>
            <w:pPr>
              <w:pStyle w:val="Compact"/>
              <w:spacing w:after="0"/>
              <w:jc w:val="right"/>
            </w:pPr>
            <w:r>
              <w:t xml:space="preserve">0.999</w:t>
            </w:r>
          </w:p>
        </w:tc>
        <w:tc>
          <w:tcPr/>
          <w:p>
            <w:pPr>
              <w:pStyle w:val="Compact"/>
              <w:spacing w:after="0"/>
              <w:jc w:val="right"/>
            </w:pPr>
            <w:r>
              <w:t xml:space="preserve">0.903</w:t>
            </w:r>
          </w:p>
        </w:tc>
        <w:tc>
          <w:tcPr/>
          <w:p>
            <w:pPr>
              <w:pStyle w:val="Compact"/>
              <w:spacing w:after="0"/>
              <w:jc w:val="right"/>
            </w:pPr>
            <w:r>
              <w:t xml:space="preserve">0/4</w:t>
            </w:r>
          </w:p>
        </w:tc>
        <w:tc>
          <w:tcPr/>
          <w:p>
            <w:pPr>
              <w:pStyle w:val="Compact"/>
              <w:spacing w:after="0"/>
              <w:jc w:val="right"/>
            </w:pPr>
            <w:r>
              <w:t xml:space="preserve">0.996</w:t>
            </w:r>
          </w:p>
        </w:tc>
        <w:tc>
          <w:tcPr/>
          <w:p>
            <w:pPr>
              <w:pStyle w:val="Compact"/>
              <w:spacing w:after="0"/>
              <w:jc w:val="right"/>
            </w:pPr>
            <w:r>
              <w:t xml:space="preserve">0.894 / 0.924</w:t>
            </w:r>
          </w:p>
        </w:tc>
      </w:tr>
      <w:tr>
        <w:tc>
          <w:tcPr/>
          <w:p>
            <w:pPr>
              <w:pStyle w:val="Compact"/>
              <w:spacing w:after="0"/>
              <w:jc w:val="left"/>
            </w:pPr>
            <w:r>
              <w:t xml:space="preserve">TJ-insample-N</w:t>
            </w:r>
          </w:p>
        </w:tc>
        <w:tc>
          <w:tcPr/>
          <w:p>
            <w:pPr>
              <w:pStyle w:val="Compact"/>
              <w:spacing w:after="0"/>
              <w:jc w:val="right"/>
            </w:pPr>
            <w:r>
              <w:t xml:space="preserve">0.897</w:t>
            </w:r>
          </w:p>
        </w:tc>
        <w:tc>
          <w:tcPr/>
          <w:p>
            <w:pPr>
              <w:pStyle w:val="Compact"/>
              <w:spacing w:after="0"/>
              <w:jc w:val="right"/>
            </w:pPr>
            <w:r>
              <w:t xml:space="preserve">10/24</w:t>
            </w:r>
          </w:p>
        </w:tc>
        <w:tc>
          <w:tcPr/>
          <w:p>
            <w:pPr>
              <w:pStyle w:val="Compact"/>
              <w:spacing w:after="0"/>
              <w:jc w:val="right"/>
            </w:pPr>
            <w:r>
              <w:t xml:space="preserve">0.935</w:t>
            </w:r>
          </w:p>
        </w:tc>
        <w:tc>
          <w:tcPr/>
          <w:p>
            <w:pPr>
              <w:pStyle w:val="Compact"/>
              <w:spacing w:after="0"/>
              <w:jc w:val="right"/>
            </w:pPr>
            <w:r>
              <w:t xml:space="preserve">0.912</w:t>
            </w:r>
          </w:p>
        </w:tc>
        <w:tc>
          <w:tcPr/>
          <w:p>
            <w:pPr>
              <w:pStyle w:val="Compact"/>
              <w:spacing w:after="0"/>
              <w:jc w:val="right"/>
            </w:pPr>
            <w:r>
              <w:t xml:space="preserve">0/12</w:t>
            </w:r>
          </w:p>
        </w:tc>
        <w:tc>
          <w:tcPr/>
          <w:p>
            <w:pPr>
              <w:pStyle w:val="Compact"/>
              <w:spacing w:after="0"/>
              <w:jc w:val="right"/>
            </w:pPr>
            <w:r>
              <w:t xml:space="preserve">1.000</w:t>
            </w:r>
          </w:p>
        </w:tc>
        <w:tc>
          <w:tcPr/>
          <w:p>
            <w:pPr>
              <w:pStyle w:val="Compact"/>
              <w:spacing w:after="0"/>
              <w:jc w:val="right"/>
            </w:pPr>
            <w:r>
              <w:t xml:space="preserve">0.863</w:t>
            </w:r>
          </w:p>
        </w:tc>
        <w:tc>
          <w:tcPr/>
          <w:p>
            <w:pPr>
              <w:pStyle w:val="Compact"/>
              <w:spacing w:after="0"/>
              <w:jc w:val="right"/>
            </w:pPr>
            <w:r>
              <w:t xml:space="preserve">4/4</w:t>
            </w:r>
          </w:p>
        </w:tc>
        <w:tc>
          <w:tcPr/>
          <w:p>
            <w:pPr>
              <w:pStyle w:val="Compact"/>
              <w:spacing w:after="0"/>
              <w:jc w:val="right"/>
            </w:pPr>
            <w:r>
              <w:t xml:space="preserve">0.992</w:t>
            </w:r>
          </w:p>
        </w:tc>
        <w:tc>
          <w:tcPr/>
          <w:p>
            <w:pPr>
              <w:pStyle w:val="Compact"/>
              <w:spacing w:after="0"/>
              <w:jc w:val="right"/>
            </w:pPr>
            <w:r>
              <w:t xml:space="preserve">0.878 / 0.909</w:t>
            </w:r>
          </w:p>
        </w:tc>
      </w:tr>
      <w:tr>
        <w:tc>
          <w:tcPr/>
          <w:p>
            <w:pPr>
              <w:pStyle w:val="Compact"/>
              <w:spacing w:after="0"/>
              <w:jc w:val="left"/>
            </w:pPr>
            <w:r>
              <w:t xml:space="preserve">TJ+N[T2]</w:t>
            </w:r>
          </w:p>
        </w:tc>
        <w:tc>
          <w:tcPr/>
          <w:p>
            <w:pPr>
              <w:pStyle w:val="Compact"/>
              <w:spacing w:after="0"/>
              <w:jc w:val="right"/>
            </w:pPr>
            <w:r>
              <w:t xml:space="preserve">0.931</w:t>
            </w:r>
          </w:p>
        </w:tc>
        <w:tc>
          <w:tcPr/>
          <w:p>
            <w:pPr>
              <w:pStyle w:val="Compact"/>
              <w:spacing w:after="0"/>
              <w:jc w:val="right"/>
            </w:pPr>
            <w:r>
              <w:t xml:space="preserve">0/24</w:t>
            </w:r>
          </w:p>
        </w:tc>
        <w:tc>
          <w:tcPr/>
          <w:p>
            <w:pPr>
              <w:pStyle w:val="Compact"/>
              <w:spacing w:after="0"/>
              <w:jc w:val="right"/>
            </w:pPr>
            <w:r>
              <w:t xml:space="preserve">0.976</w:t>
            </w:r>
          </w:p>
        </w:tc>
        <w:tc>
          <w:tcPr/>
          <w:p>
            <w:pPr>
              <w:pStyle w:val="Compact"/>
              <w:spacing w:after="0"/>
              <w:jc w:val="right"/>
            </w:pPr>
            <w:r>
              <w:t xml:space="preserve">0.911</w:t>
            </w:r>
          </w:p>
        </w:tc>
        <w:tc>
          <w:tcPr/>
          <w:p>
            <w:pPr>
              <w:pStyle w:val="Compact"/>
              <w:spacing w:after="0"/>
              <w:jc w:val="right"/>
            </w:pPr>
            <w:r>
              <w:t xml:space="preserve">0/12</w:t>
            </w:r>
          </w:p>
        </w:tc>
        <w:tc>
          <w:tcPr/>
          <w:p>
            <w:pPr>
              <w:pStyle w:val="Compact"/>
              <w:spacing w:after="0"/>
              <w:jc w:val="right"/>
            </w:pPr>
            <w:r>
              <w:t xml:space="preserve">0.999</w:t>
            </w:r>
          </w:p>
        </w:tc>
        <w:tc>
          <w:tcPr/>
          <w:p>
            <w:pPr>
              <w:pStyle w:val="Compact"/>
              <w:spacing w:after="0"/>
              <w:jc w:val="right"/>
            </w:pPr>
            <w:r>
              <w:t xml:space="preserve">0.904</w:t>
            </w:r>
          </w:p>
        </w:tc>
        <w:tc>
          <w:tcPr/>
          <w:p>
            <w:pPr>
              <w:pStyle w:val="Compact"/>
              <w:spacing w:after="0"/>
              <w:jc w:val="right"/>
            </w:pPr>
            <w:r>
              <w:t xml:space="preserve">0/4</w:t>
            </w:r>
          </w:p>
        </w:tc>
        <w:tc>
          <w:tcPr/>
          <w:p>
            <w:pPr>
              <w:pStyle w:val="Compact"/>
              <w:spacing w:after="0"/>
              <w:jc w:val="right"/>
            </w:pPr>
            <w:r>
              <w:t xml:space="preserve">1.005</w:t>
            </w:r>
          </w:p>
        </w:tc>
        <w:tc>
          <w:tcPr/>
          <w:p>
            <w:pPr>
              <w:pStyle w:val="Compact"/>
              <w:spacing w:after="0"/>
              <w:jc w:val="right"/>
            </w:pPr>
            <w:r>
              <w:t xml:space="preserve">0.922 / 0.916</w:t>
            </w:r>
          </w:p>
        </w:tc>
      </w:tr>
      <w:tr>
        <w:tc>
          <w:tcPr>
            <w:tcBorders>
              <w:bottom w:val="single" w:sz="8" w:color="000000"/>
            </w:tcBorders>
          </w:tcPr>
          <w:p>
            <w:pPr>
              <w:pStyle w:val="Compact"/>
              <w:spacing w:after="0"/>
              <w:jc w:val="left"/>
            </w:pPr>
            <w:r>
              <w:t xml:space="preserve">TJ+N[Q]</w:t>
            </w:r>
          </w:p>
        </w:tc>
        <w:tc>
          <w:tcPr>
            <w:tcBorders>
              <w:bottom w:val="single" w:sz="8" w:color="000000"/>
            </w:tcBorders>
          </w:tcPr>
          <w:p>
            <w:pPr>
              <w:pStyle w:val="Compact"/>
              <w:spacing w:after="0"/>
              <w:jc w:val="right"/>
            </w:pPr>
            <w:r>
              <w:t xml:space="preserve">0.931</w:t>
            </w:r>
          </w:p>
        </w:tc>
        <w:tc>
          <w:tcPr>
            <w:tcBorders>
              <w:bottom w:val="single" w:sz="8" w:color="000000"/>
            </w:tcBorders>
          </w:tcPr>
          <w:p>
            <w:pPr>
              <w:pStyle w:val="Compact"/>
              <w:spacing w:after="0"/>
              <w:jc w:val="right"/>
            </w:pPr>
            <w:r>
              <w:t xml:space="preserve">0/24</w:t>
            </w:r>
          </w:p>
        </w:tc>
        <w:tc>
          <w:tcPr>
            <w:tcBorders>
              <w:bottom w:val="single" w:sz="8" w:color="000000"/>
            </w:tcBorders>
          </w:tcPr>
          <w:p>
            <w:pPr>
              <w:pStyle w:val="Compact"/>
              <w:spacing w:after="0"/>
              <w:jc w:val="right"/>
            </w:pPr>
            <w:r>
              <w:t xml:space="preserve">1.020</w:t>
            </w:r>
          </w:p>
        </w:tc>
        <w:tc>
          <w:tcPr>
            <w:tcBorders>
              <w:bottom w:val="single" w:sz="8" w:color="000000"/>
            </w:tcBorders>
          </w:tcPr>
          <w:p>
            <w:pPr>
              <w:pStyle w:val="Compact"/>
              <w:spacing w:after="0"/>
              <w:jc w:val="right"/>
            </w:pPr>
            <w:r>
              <w:t xml:space="preserve">0.911</w:t>
            </w:r>
          </w:p>
        </w:tc>
        <w:tc>
          <w:tcPr>
            <w:tcBorders>
              <w:bottom w:val="single" w:sz="8" w:color="000000"/>
            </w:tcBorders>
          </w:tcPr>
          <w:p>
            <w:pPr>
              <w:pStyle w:val="Compact"/>
              <w:spacing w:after="0"/>
              <w:jc w:val="right"/>
            </w:pPr>
            <w:r>
              <w:t xml:space="preserve">0/12</w:t>
            </w:r>
          </w:p>
        </w:tc>
        <w:tc>
          <w:tcPr>
            <w:tcBorders>
              <w:bottom w:val="single" w:sz="8" w:color="000000"/>
            </w:tcBorders>
          </w:tcPr>
          <w:p>
            <w:pPr>
              <w:pStyle w:val="Compact"/>
              <w:spacing w:after="0"/>
              <w:jc w:val="right"/>
            </w:pPr>
            <w:r>
              <w:t xml:space="preserve">1.011</w:t>
            </w:r>
          </w:p>
        </w:tc>
        <w:tc>
          <w:tcPr>
            <w:tcBorders>
              <w:bottom w:val="single" w:sz="8" w:color="000000"/>
            </w:tcBorders>
          </w:tcPr>
          <w:p>
            <w:pPr>
              <w:pStyle w:val="Compact"/>
              <w:spacing w:after="0"/>
              <w:jc w:val="right"/>
            </w:pPr>
            <w:r>
              <w:t xml:space="preserve">0.904</w:t>
            </w:r>
          </w:p>
        </w:tc>
        <w:tc>
          <w:tcPr>
            <w:tcBorders>
              <w:bottom w:val="single" w:sz="8" w:color="000000"/>
            </w:tcBorders>
          </w:tcPr>
          <w:p>
            <w:pPr>
              <w:pStyle w:val="Compact"/>
              <w:spacing w:after="0"/>
              <w:jc w:val="right"/>
            </w:pPr>
            <w:r>
              <w:t xml:space="preserve">0/4</w:t>
            </w:r>
          </w:p>
        </w:tc>
        <w:tc>
          <w:tcPr>
            <w:tcBorders>
              <w:bottom w:val="single" w:sz="8" w:color="000000"/>
            </w:tcBorders>
          </w:tcPr>
          <w:p>
            <w:pPr>
              <w:pStyle w:val="Compact"/>
              <w:spacing w:after="0"/>
              <w:jc w:val="right"/>
            </w:pPr>
            <w:r>
              <w:t xml:space="preserve">1.006</w:t>
            </w:r>
          </w:p>
        </w:tc>
        <w:tc>
          <w:tcPr>
            <w:tcBorders>
              <w:bottom w:val="single" w:sz="8" w:color="000000"/>
            </w:tcBorders>
          </w:tcPr>
          <w:p>
            <w:pPr>
              <w:pStyle w:val="Compact"/>
              <w:spacing w:after="0"/>
              <w:jc w:val="right"/>
            </w:pPr>
            <w:r>
              <w:t xml:space="preserve">0.914 / 0.924</w:t>
            </w:r>
          </w:p>
        </w:tc>
      </w:tr>
    </w:tbl>
    <w:p>
      <w:pPr>
        <w:pStyle w:val="CaptionedFigure"/>
        <w:keepNext/>
        <w:jc w:val="center"/>
      </w:pPr>
      <w:r>
        <w:drawing>
          <wp:inline>
            <wp:extent cx="5753100" cy="2218191"/>
            <wp:effectExtent b="0" l="0" r="0" t="0"/>
            <wp:docPr descr="Fig. 5. Ablation of TJ+N. Left: mean coverage. Right: median interval score relative to TJ+N (finite intervals only)." title="" id="46" name="Picture"/>
            <a:graphic>
              <a:graphicData uri="http://schemas.openxmlformats.org/drawingml/2006/picture">
                <pic:pic>
                  <pic:nvPicPr>
                    <pic:cNvPr descr="figures/fig5_ablation.png" id="47" name="Picture"/>
                    <pic:cNvPicPr>
                      <a:picLocks noChangeArrowheads="1" noChangeAspect="1"/>
                    </pic:cNvPicPr>
                  </pic:nvPicPr>
                  <pic:blipFill>
                    <a:blip r:embed="rId45"/>
                    <a:stretch>
                      <a:fillRect/>
                    </a:stretch>
                  </pic:blipFill>
                  <pic:spPr bwMode="auto">
                    <a:xfrm>
                      <a:off x="0" y="0"/>
                      <a:ext cx="5753100" cy="2218191"/>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Ablation of TJ+N. Left: mean coverage. Right: median interval score relative to TJ+N (finite intervals only).</w:t>
      </w:r>
    </w:p>
    <w:p>
      <w:pPr>
        <w:pStyle w:val="CaptionedFigure"/>
        <w:keepNext/>
        <w:jc w:val="center"/>
      </w:pPr>
      <w:r>
        <w:drawing>
          <wp:inline>
            <wp:extent cx="5753100" cy="2198175"/>
            <wp:effectExtent b="0" l="0" r="0" t="0"/>
            <wp:docPr descr="Fig. 6. Conditional coverage within tertiles of the difficulty σ(x) of the test spectra (primary pipelines, α = 0.10)." title="" id="49" name="Picture"/>
            <a:graphic>
              <a:graphicData uri="http://schemas.openxmlformats.org/drawingml/2006/picture">
                <pic:pic>
                  <pic:nvPicPr>
                    <pic:cNvPr descr="figures/fig7_conditional_coverage.png" id="50" name="Picture"/>
                    <pic:cNvPicPr>
                      <a:picLocks noChangeArrowheads="1" noChangeAspect="1"/>
                    </pic:cNvPicPr>
                  </pic:nvPicPr>
                  <pic:blipFill>
                    <a:blip r:embed="rId48"/>
                    <a:stretch>
                      <a:fillRect/>
                    </a:stretch>
                  </pic:blipFill>
                  <pic:spPr bwMode="auto">
                    <a:xfrm>
                      <a:off x="0" y="0"/>
                      <a:ext cx="5753100" cy="2198175"/>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Conditional coverage within tertiles of the difficulty σ(x) of the test spectra (primary pipelines, α = 0.10).</w:t>
      </w:r>
    </w:p>
    <w:bookmarkEnd w:id="51"/>
    <w:bookmarkStart w:id="55" w:name="robustness-rq4"/>
    <w:p>
      <w:pPr>
        <w:pStyle w:val="Heading2"/>
      </w:pPr>
      <w:r>
        <w:t xml:space="preserve">4.5. Robustness (RQ4)</w:t>
      </w:r>
    </w:p>
    <w:p>
      <w:pPr>
        <w:pStyle w:val="FirstParagraph"/>
      </w:pPr>
      <w:r>
        <w:t xml:space="preserve">Apart from post-standardisation drift, TJ+N was not flagged as under-covering in any of the 30 robustness scenarios (Fig. 7; Supplementary Table S9). These were Kennard–Stone selection of the standards, added noise at SNR 1000–100, and halving the source data.</w:t>
      </w:r>
    </w:p>
    <w:p>
      <w:pPr>
        <w:pStyle w:val="BodyText"/>
      </w:pPr>
      <w:r>
        <w:rPr>
          <w:bCs/>
          <w:b/>
        </w:rPr>
        <w:t xml:space="preserve">Kennard–Stone standards.</w:t>
      </w:r>
      <w:r>
        <w:t xml:space="preserve"> </w:t>
      </w:r>
      <w:r>
        <w:t xml:space="preserve">Selecting the standards by Kennard–Stone, which is outside the scope of Proposition 1, made TJ+N conservative (coverage 0.93–0.96). The selected standards span the extremes of the target population, so their leave-one-out residuals are, if anything, larger than those of typical samples. This empirical result is reassuring, but it is not a guarantee. Other non-random selection schemes, for example standards concentrated in a narrow concentration range, could bias coverage in either direction.</w:t>
      </w:r>
    </w:p>
    <w:p>
      <w:pPr>
        <w:pStyle w:val="BodyText"/>
      </w:pPr>
      <w:r>
        <w:rPr>
          <w:bCs/>
          <w:b/>
        </w:rPr>
        <w:t xml:space="preserve">Post-standardisation wavelength drift.</w:t>
      </w:r>
      <w:r>
        <w:t xml:space="preserve"> </w:t>
      </w:r>
      <w:r>
        <w:t xml:space="preserve">The decisive failure mode was a one-channel wavelength shift of the test spectra after the transfer had been fitted. This simulates instrument drift between standardisation and routine use, and it breaks exchangeability between standards and test samples. No method remained valid.</w:t>
      </w:r>
    </w:p>
    <w:p>
      <w:pPr>
        <w:numPr>
          <w:ilvl w:val="0"/>
          <w:numId w:val="1018"/>
        </w:numPr>
      </w:pPr>
      <w:r>
        <w:t xml:space="preserve">Tablets: TJ+N coverage was 0.04–0.07; Gauss-LOO 0.02–0.04.</w:t>
      </w:r>
    </w:p>
    <w:p>
      <w:pPr>
        <w:numPr>
          <w:ilvl w:val="0"/>
          <w:numId w:val="1018"/>
        </w:numPr>
      </w:pPr>
      <w:r>
        <w:t xml:space="preserve">Corn: TJ+N 0.60–0.94, against 0.05–0.45 for unnormalised TJ+ and 0.02–0.29 for Gauss-LOO.</w:t>
      </w:r>
    </w:p>
    <w:p>
      <w:pPr>
        <w:numPr>
          <w:ilvl w:val="0"/>
          <w:numId w:val="1018"/>
        </w:numPr>
      </w:pPr>
      <w:r>
        <w:t xml:space="preserve">Mango: TJ+N 0.73–0.97, against 0.08–0.22 for TJ+ and 0.07–0.21 for Gauss-LOO.</w:t>
      </w:r>
    </w:p>
    <w:p>
      <w:pPr>
        <w:pStyle w:val="FirstParagraph"/>
      </w:pPr>
      <w:r>
        <w:t xml:space="preserve">On corn and mango, the Q residual of the shifted spectra inflated σ(x) and recovered a large part of the coverage. On tablets, where the assay information is concentrated in a few sharp bands, it did not. A one-channel shift is a large drift. In an additional test with a sub-channel shift of ±0.25 channel (linear interpolation; specified during review; Supplementary Table S10), coverage was:</w:t>
      </w:r>
    </w:p>
    <w:p>
      <w:pPr>
        <w:numPr>
          <w:ilvl w:val="0"/>
          <w:numId w:val="1019"/>
        </w:numPr>
      </w:pPr>
      <w:r>
        <w:t xml:space="preserve">TJ+N: corn 0.84–0.96, tablets 0.59–0.62, mango 0.86–0.96 (4/12 scenarios under-covering);</w:t>
      </w:r>
    </w:p>
    <w:p>
      <w:pPr>
        <w:numPr>
          <w:ilvl w:val="0"/>
          <w:numId w:val="1019"/>
        </w:numPr>
      </w:pPr>
      <w:r>
        <w:t xml:space="preserve">Gauss-LOO: corn 0.62–0.71, tablets 0.66–0.66, mango 0.78–0.83 (12/12);</w:t>
      </w:r>
    </w:p>
    <w:p>
      <w:pPr>
        <w:numPr>
          <w:ilvl w:val="0"/>
          <w:numId w:val="1019"/>
        </w:numPr>
      </w:pPr>
      <w:r>
        <w:t xml:space="preserve">ASTM-PI: corn 0.02–0.31, tablets 0.66–0.66, mango 0.62–0.68.</w:t>
      </w:r>
    </w:p>
    <w:p>
      <w:pPr>
        <w:pStyle w:val="FirstParagraph"/>
      </w:pPr>
      <w:r>
        <w:t xml:space="preserve">TJ+N degraded least on corn and mango, but even this small drift invalidated all methods for the tablet assay. Drift after standardisation must therefore be detected (for example by monitoring Q) and corrected by re-standardisation. No interval method compensates for it reliably.</w:t>
      </w:r>
    </w:p>
    <w:p>
      <w:pPr>
        <w:pStyle w:val="CaptionedFigure"/>
        <w:keepNext/>
        <w:jc w:val="center"/>
      </w:pPr>
      <w:r>
        <w:drawing>
          <wp:inline>
            <wp:extent cx="5753100" cy="2579853"/>
            <wp:effectExtent b="0" l="0" r="0" t="0"/>
            <wp:docPr descr="Fig. 7. Robustness of interval coverage (α = 0.10): Kennard–Stone selection of standards, spectral noise added to all target spectra, a ±1-channel wavelength shift of the test spectra after standardisation, and halved source training data." title="" id="53" name="Picture"/>
            <a:graphic>
              <a:graphicData uri="http://schemas.openxmlformats.org/drawingml/2006/picture">
                <pic:pic>
                  <pic:nvPicPr>
                    <pic:cNvPr descr="figures/fig6_robustness.png" id="54" name="Picture"/>
                    <pic:cNvPicPr>
                      <a:picLocks noChangeArrowheads="1" noChangeAspect="1"/>
                    </pic:cNvPicPr>
                  </pic:nvPicPr>
                  <pic:blipFill>
                    <a:blip r:embed="rId52"/>
                    <a:stretch>
                      <a:fillRect/>
                    </a:stretch>
                  </pic:blipFill>
                  <pic:spPr bwMode="auto">
                    <a:xfrm>
                      <a:off x="0" y="0"/>
                      <a:ext cx="5753100" cy="2579853"/>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Robustness of interval coverage (α = 0.10): Kennard–Stone selection of standards, spectral noise added to all target spectra, a ±1-channel wavelength shift of the test spectra after standardisation, and halved source training data.</w:t>
      </w:r>
    </w:p>
    <w:bookmarkEnd w:id="55"/>
    <w:bookmarkStart w:id="56" w:name="Xcb0a70a72bf83b16794b68d731904a21add5d8c"/>
    <w:p>
      <w:pPr>
        <w:pStyle w:val="Heading2"/>
      </w:pPr>
      <w:r>
        <w:t xml:space="preserve">4.6. Generalisation across pipelines, directions, model classes and instruments (RQ5)</w:t>
      </w:r>
    </w:p>
    <w:p>
      <w:pPr>
        <w:pStyle w:val="FirstParagraph"/>
      </w:pPr>
      <w:r>
        <w:t xml:space="preserve">The conclusions did not depend on the primary pipeline, the transfer direction or the model class (Table 6).</w:t>
      </w:r>
    </w:p>
    <w:p>
      <w:pPr>
        <w:numPr>
          <w:ilvl w:val="0"/>
          <w:numId w:val="1020"/>
        </w:numPr>
      </w:pPr>
      <w:r>
        <w:rPr>
          <w:bCs/>
          <w:b/>
        </w:rPr>
        <w:t xml:space="preserve">Transfer pipelines.</w:t>
      </w:r>
      <w:r>
        <w:t xml:space="preserve"> </w:t>
      </w:r>
      <w:r>
        <w:t xml:space="preserve">With DS, SBC or no transfer instead of PDS, TJ+N and TJ+ were never flagged as under-covering (§4.3).</w:t>
      </w:r>
    </w:p>
    <w:p>
      <w:pPr>
        <w:numPr>
          <w:ilvl w:val="0"/>
          <w:numId w:val="1020"/>
        </w:numPr>
      </w:pPr>
      <w:r>
        <w:rPr>
          <w:bCs/>
          <w:b/>
        </w:rPr>
        <w:t xml:space="preserve">Reverse direction.</w:t>
      </w:r>
      <w:r>
        <w:t xml:space="preserve"> </w:t>
      </w:r>
      <w:r>
        <w:t xml:space="preserve">Transferring from mp5 to m5 gave the same picture: no under-coverage for TJ+N, and under-coverage of the source-calibrated intervals.</w:t>
      </w:r>
    </w:p>
    <w:p>
      <w:pPr>
        <w:numPr>
          <w:ilvl w:val="0"/>
          <w:numId w:val="1020"/>
        </w:numPr>
      </w:pPr>
      <w:r>
        <w:rPr>
          <w:bCs/>
          <w:b/>
        </w:rPr>
        <w:t xml:space="preserve">Ridge regression.</w:t>
      </w:r>
      <w:r>
        <w:t xml:space="preserve"> </w:t>
      </w:r>
      <w:r>
        <w:t xml:space="preserve">With ridge source models, TJ+N was valid on all three data sets.</w:t>
      </w:r>
    </w:p>
    <w:p>
      <w:pPr>
        <w:numPr>
          <w:ilvl w:val="0"/>
          <w:numId w:val="1020"/>
        </w:numPr>
      </w:pPr>
      <w:r>
        <w:rPr>
          <w:bCs/>
          <w:b/>
        </w:rPr>
        <w:t xml:space="preserve">1D-CNN on mango.</w:t>
      </w:r>
      <w:r>
        <w:t xml:space="preserve"> </w:t>
      </w:r>
      <w:r>
        <w:t xml:space="preserve">The CNN (110,369 parameters, early stopping after 101 epochs, 36 s on a CPU) reached RMSEP 1.22 % DM after SBC. On top of it:</w:t>
      </w:r>
    </w:p>
    <w:p>
      <w:pPr>
        <w:numPr>
          <w:ilvl w:val="1"/>
          <w:numId w:val="1021"/>
        </w:numPr>
      </w:pPr>
      <w:r>
        <w:t xml:space="preserve">TJ+N gave coverage 0.910 with the lowest interval score (5.24).</w:t>
      </w:r>
    </w:p>
    <w:p>
      <w:pPr>
        <w:numPr>
          <w:ilvl w:val="1"/>
          <w:numId w:val="1021"/>
        </w:numPr>
      </w:pPr>
      <w:r>
        <w:t xml:space="preserve">Gauss-LOO under-covered in 2/4 scenarios (coverage 0.894; score 5.42).</w:t>
      </w:r>
    </w:p>
    <w:p>
      <w:pPr>
        <w:numPr>
          <w:ilvl w:val="1"/>
          <w:numId w:val="1021"/>
        </w:numPr>
      </w:pPr>
      <w:r>
        <w:t xml:space="preserve">MC-dropout intervals</w:t>
      </w:r>
      <w:r>
        <w:t xml:space="preserve"> </w:t>
      </w:r>
      <w:r>
        <w:t xml:space="preserve">[35]</w:t>
      </w:r>
      <w:r>
        <w:t xml:space="preserve">, a common deep-learning uncertainty estimate for spectra</w:t>
      </w:r>
      <w:r>
        <w:t xml:space="preserve"> </w:t>
      </w:r>
      <w:r>
        <w:t xml:space="preserve">[44]</w:t>
      </w:r>
      <w:r>
        <w:t xml:space="preserve">, under-covered in 4/4 scenarios (coverage 0.807), presumably because dropout variance captures model uncertainty but not the systematic error introduced by the season shift.</w:t>
      </w:r>
    </w:p>
    <w:p>
      <w:pPr>
        <w:pStyle w:val="FirstParagraph"/>
      </w:pPr>
      <w:r>
        <w:t xml:space="preserve">Over all generalisation settings, TJ+N under-covered in 0 of 22 scenarios.</w:t>
      </w:r>
    </w:p>
    <w:p>
      <w:pPr>
        <w:pStyle w:val="BodyText"/>
      </w:pPr>
      <w:r>
        <w:rPr>
          <w:bCs/>
          <w:b/>
        </w:rPr>
        <w:t xml:space="preserve">Independent instrument shift (mango, E8).</w:t>
      </w:r>
      <w:r>
        <w:t xml:space="preserve"> </w:t>
      </w:r>
      <w:r>
        <w:t xml:space="preserve">Prompted by the review process, we added a test that was not part of the pre-registered design: transfer between handheld spectrometers on intact fruit, using the data providers’ extended data set with paired spectra of the same fruit on several instruments</w:t>
      </w:r>
      <w:r>
        <w:t xml:space="preserve"> </w:t>
      </w:r>
      <w:r>
        <w:t xml:space="preserve">[45]</w:t>
      </w:r>
      <w:r>
        <w:t xml:space="preserve">. The design was fixed before any result was computed:</w:t>
      </w:r>
    </w:p>
    <w:p>
      <w:pPr>
        <w:numPr>
          <w:ilvl w:val="0"/>
          <w:numId w:val="1022"/>
        </w:numPr>
      </w:pPr>
      <w:r>
        <w:t xml:space="preserve">source instrument 15006;</w:t>
      </w:r>
    </w:p>
    <w:p>
      <w:pPr>
        <w:numPr>
          <w:ilvl w:val="0"/>
          <w:numId w:val="1022"/>
        </w:numPr>
      </w:pPr>
      <w:r>
        <w:t xml:space="preserve">the three target instruments with most shared fruit;</w:t>
      </w:r>
    </w:p>
    <w:p>
      <w:pPr>
        <w:numPr>
          <w:ilvl w:val="0"/>
          <w:numId w:val="1022"/>
        </w:numPr>
      </w:pPr>
      <w:r>
        <w:t xml:space="preserve">PDS and SBC pipelines;</w:t>
      </w:r>
    </w:p>
    <w:p>
      <w:pPr>
        <w:numPr>
          <w:ilvl w:val="0"/>
          <w:numId w:val="1022"/>
        </w:numPr>
      </w:pPr>
      <w:r>
        <w:rPr>
          <w:iCs/>
          <w:i/>
        </w:rPr>
        <w:t xml:space="preserve">m</w:t>
      </w:r>
      <w:r>
        <w:t xml:space="preserve"> </w:t>
      </w:r>
      <w:r>
        <w:t xml:space="preserve">= 10–50 standards, 200 repetitions.</w:t>
      </w:r>
    </w:p>
    <w:p>
      <w:pPr>
        <w:pStyle w:val="FirstParagraph"/>
      </w:pPr>
      <w:r>
        <w:t xml:space="preserve">The results reproduced the main findings (Table 7).</w:t>
      </w:r>
    </w:p>
    <w:p>
      <w:pPr>
        <w:numPr>
          <w:ilvl w:val="0"/>
          <w:numId w:val="1023"/>
        </w:numPr>
      </w:pPr>
      <w:r>
        <w:t xml:space="preserve">ASTM-PI and SCP-S under-covered in every scenario: coverage 0.20–0.51 after PDS (24/24 scenarios) and 0.73–0.81 after SBC (24/24). WCP-S under-covered after PDS (0.15–0.47). After SBC it returned unbounded intervals in 100% of repetitions: valid, but uninformative.</w:t>
      </w:r>
    </w:p>
    <w:p>
      <w:pPr>
        <w:numPr>
          <w:ilvl w:val="0"/>
          <w:numId w:val="1023"/>
        </w:numPr>
      </w:pPr>
      <w:r>
        <w:t xml:space="preserve">TJ+N was valid: mean coverage 0.931 (PDS) and 0.906 (SBC). It was never flagged at any α (0/72 under-covering scenarios), whereas Gauss-LOO was flagged in 4/72.</w:t>
      </w:r>
    </w:p>
    <w:p>
      <w:pPr>
        <w:numPr>
          <w:ilvl w:val="0"/>
          <w:numId w:val="1023"/>
        </w:numPr>
      </w:pPr>
      <w:r>
        <w:t xml:space="preserve">PDS proved a poor transfer for these instruments (RMSEP 2.03–7.40 % DM, against 1.06–1.22 % with SBC). TJ+N made this visible through wide intervals (median width 11.1 vs 4.0 % DM), whereas the source-calibrated intervals remained narrow and missed most samples. Valid intervals are thus also a diagnostic of transfer quality.</w:t>
      </w:r>
    </w:p>
    <w:p>
      <w:pPr>
        <w:pStyle w:val="TableCaption"/>
        <w:keepNext/>
      </w:pPr>
      <w:r>
        <w:rPr>
          <w:bCs/>
          <w:b/>
        </w:rPr>
        <w:t xml:space="preserve">Table 6.</w:t>
      </w:r>
      <w:r>
        <w:t xml:space="preserve"> </w:t>
      </w:r>
      <w:r>
        <w:t xml:space="preserve">Generalisation (E5; α = 0.10). Each cell: mean coverage (under-covering / scenarios); median interval score (lower is better).</w:t>
      </w:r>
    </w:p>
    <w:tbl>
      <w:tblPr>
        <w:tblStyle w:val="Table"/>
        <w:tblW w:type="pct" w:w="5000"/>
        <w:jc w:val="center"/>
        <w:tblLook w:firstRow="1" w:lastRow="0" w:firstColumn="0" w:lastColumn="0" w:noHBand="0" w:noVBand="0" w:val="0020"/>
        <w:tblCaption w:val="Table 6. Generalisation (E5; α = 0.10). Each cell: mean coverage (under-covering / scenarios); median interval score (lower is better)."/>
      </w:tblPr>
      <w:tblGrid>
        <w:gridCol w:w="879"/>
        <w:gridCol w:w="879"/>
        <w:gridCol w:w="879"/>
        <w:gridCol w:w="879"/>
        <w:gridCol w:w="879"/>
        <w:gridCol w:w="879"/>
        <w:gridCol w:w="879"/>
        <w:gridCol w:w="879"/>
        <w:gridCol w:w="879"/>
      </w:tblGrid>
      <w:tr>
        <w:trPr>
          <w:tblHeader w:val="true"/>
        </w:trPr>
        <w:tc>
          <w:tcPr>
            <w:tcBorders>
              <w:top w:val="single" w:sz="8" w:color="000000"/>
              <w:bottom w:val="single" w:sz="8" w:color="000000"/>
            </w:tcBorders>
          </w:tcPr>
          <w:p>
            <w:pPr>
              <w:pStyle w:val="Compact"/>
              <w:spacing w:after="0"/>
              <w:jc w:val="left"/>
            </w:pPr>
            <w:r>
              <w:t xml:space="preserve">Setting</w:t>
            </w:r>
          </w:p>
        </w:tc>
        <w:tc>
          <w:tcPr>
            <w:tcBorders>
              <w:top w:val="single" w:sz="8" w:color="000000"/>
              <w:bottom w:val="single" w:sz="8" w:color="000000"/>
            </w:tcBorders>
          </w:tcPr>
          <w:p>
            <w:pPr>
              <w:pStyle w:val="Compact"/>
              <w:spacing w:after="0"/>
              <w:jc w:val="right"/>
            </w:pPr>
            <w:r>
              <w:t xml:space="preserve">TJ+N</w:t>
            </w:r>
          </w:p>
        </w:tc>
        <w:tc>
          <w:tcPr>
            <w:tcBorders>
              <w:top w:val="single" w:sz="8" w:color="000000"/>
              <w:bottom w:val="single" w:sz="8" w:color="000000"/>
            </w:tcBorders>
          </w:tcPr>
          <w:p>
            <w:pPr>
              <w:pStyle w:val="Compact"/>
              <w:spacing w:after="0"/>
              <w:jc w:val="right"/>
            </w:pPr>
            <w:r>
              <w:t xml:space="preserve">TJ+</w:t>
            </w:r>
          </w:p>
        </w:tc>
        <w:tc>
          <w:tcPr>
            <w:tcBorders>
              <w:top w:val="single" w:sz="8" w:color="000000"/>
              <w:bottom w:val="single" w:sz="8" w:color="000000"/>
            </w:tcBorders>
          </w:tcPr>
          <w:p>
            <w:pPr>
              <w:pStyle w:val="Compact"/>
              <w:spacing w:after="0"/>
              <w:jc w:val="right"/>
            </w:pPr>
            <w:r>
              <w:t xml:space="preserve">Gauss-LOO</w:t>
            </w:r>
          </w:p>
        </w:tc>
        <w:tc>
          <w:tcPr>
            <w:tcBorders>
              <w:top w:val="single" w:sz="8" w:color="000000"/>
              <w:bottom w:val="single" w:sz="8" w:color="000000"/>
            </w:tcBorders>
          </w:tcPr>
          <w:p>
            <w:pPr>
              <w:pStyle w:val="Compact"/>
              <w:spacing w:after="0"/>
              <w:jc w:val="right"/>
            </w:pPr>
            <w:r>
              <w:t xml:space="preserve">SCP-T-split-N</w:t>
            </w:r>
          </w:p>
        </w:tc>
        <w:tc>
          <w:tcPr>
            <w:tcBorders>
              <w:top w:val="single" w:sz="8" w:color="000000"/>
              <w:bottom w:val="single" w:sz="8" w:color="000000"/>
            </w:tcBorders>
          </w:tcPr>
          <w:p>
            <w:pPr>
              <w:pStyle w:val="Compact"/>
              <w:spacing w:after="0"/>
              <w:jc w:val="right"/>
            </w:pPr>
            <w:r>
              <w:t xml:space="preserve">ASTM-PI</w:t>
            </w:r>
          </w:p>
        </w:tc>
        <w:tc>
          <w:tcPr>
            <w:tcBorders>
              <w:top w:val="single" w:sz="8" w:color="000000"/>
              <w:bottom w:val="single" w:sz="8" w:color="000000"/>
            </w:tcBorders>
          </w:tcPr>
          <w:p>
            <w:pPr>
              <w:pStyle w:val="Compact"/>
              <w:spacing w:after="0"/>
              <w:jc w:val="right"/>
            </w:pPr>
            <w:r>
              <w:t xml:space="preserve">SCP-S</w:t>
            </w:r>
          </w:p>
        </w:tc>
        <w:tc>
          <w:tcPr>
            <w:tcBorders>
              <w:top w:val="single" w:sz="8" w:color="000000"/>
              <w:bottom w:val="single" w:sz="8" w:color="000000"/>
            </w:tcBorders>
          </w:tcPr>
          <w:p>
            <w:pPr>
              <w:pStyle w:val="Compact"/>
              <w:spacing w:after="0"/>
              <w:jc w:val="right"/>
            </w:pPr>
            <w:r>
              <w:t xml:space="preserve">WCP-S</w:t>
            </w:r>
          </w:p>
        </w:tc>
        <w:tc>
          <w:tcPr>
            <w:tcBorders>
              <w:top w:val="single" w:sz="8" w:color="000000"/>
              <w:bottom w:val="single" w:sz="8" w:color="000000"/>
            </w:tcBorders>
          </w:tcPr>
          <w:p>
            <w:pPr>
              <w:pStyle w:val="Compact"/>
              <w:spacing w:after="0"/>
              <w:jc w:val="right"/>
            </w:pPr>
            <w:r>
              <w:t xml:space="preserve">MC-dropout</w:t>
            </w:r>
          </w:p>
        </w:tc>
      </w:tr>
      <w:tr>
        <w:tc>
          <w:tcPr/>
          <w:p>
            <w:pPr>
              <w:pStyle w:val="Compact"/>
              <w:spacing w:after="0"/>
              <w:jc w:val="left"/>
            </w:pPr>
            <w:r>
              <w:t xml:space="preserve">Corn mp5→m5, PLS, PDS</w:t>
            </w:r>
          </w:p>
        </w:tc>
        <w:tc>
          <w:tcPr/>
          <w:p>
            <w:pPr>
              <w:pStyle w:val="Compact"/>
              <w:spacing w:after="0"/>
              <w:jc w:val="right"/>
            </w:pPr>
            <w:r>
              <w:t xml:space="preserve">0.931 (0/12); 1.11</w:t>
            </w:r>
          </w:p>
        </w:tc>
        <w:tc>
          <w:tcPr/>
          <w:p>
            <w:pPr>
              <w:pStyle w:val="Compact"/>
              <w:spacing w:after="0"/>
              <w:jc w:val="right"/>
            </w:pPr>
            <w:r>
              <w:t xml:space="preserve">0.932 (0/12); 1.21</w:t>
            </w:r>
          </w:p>
        </w:tc>
        <w:tc>
          <w:tcPr/>
          <w:p>
            <w:pPr>
              <w:pStyle w:val="Compact"/>
              <w:spacing w:after="0"/>
              <w:jc w:val="right"/>
            </w:pPr>
            <w:r>
              <w:t xml:space="preserve">0.905 (0/12); 1.17</w:t>
            </w:r>
          </w:p>
        </w:tc>
        <w:tc>
          <w:tcPr/>
          <w:p>
            <w:pPr>
              <w:pStyle w:val="Compact"/>
              <w:spacing w:after="0"/>
              <w:jc w:val="right"/>
            </w:pPr>
            <w:r>
              <w:t xml:space="preserve">0.971 (0/12); inf</w:t>
            </w:r>
          </w:p>
        </w:tc>
        <w:tc>
          <w:tcPr/>
          <w:p>
            <w:pPr>
              <w:pStyle w:val="Compact"/>
              <w:spacing w:after="0"/>
              <w:jc w:val="right"/>
            </w:pPr>
            <w:r>
              <w:t xml:space="preserve">0.657 (12/12); 1.34</w:t>
            </w:r>
          </w:p>
        </w:tc>
        <w:tc>
          <w:tcPr/>
          <w:p>
            <w:pPr>
              <w:pStyle w:val="Compact"/>
              <w:spacing w:after="0"/>
              <w:jc w:val="right"/>
            </w:pPr>
            <w:r>
              <w:t xml:space="preserve">0.757 (12/12); 1.25</w:t>
            </w:r>
          </w:p>
        </w:tc>
        <w:tc>
          <w:tcPr/>
          <w:p>
            <w:pPr>
              <w:pStyle w:val="Compact"/>
              <w:spacing w:after="0"/>
              <w:jc w:val="right"/>
            </w:pPr>
            <w:r>
              <w:t xml:space="preserve">0.800 (12/12); 1.53</w:t>
            </w:r>
          </w:p>
        </w:tc>
        <w:tc>
          <w:tcPr/>
          <w:p>
            <w:pPr>
              <w:pStyle w:val="Compact"/>
              <w:spacing w:after="0"/>
              <w:jc w:val="right"/>
            </w:pPr>
            <w:r>
              <w:t xml:space="preserve">–</w:t>
            </w:r>
          </w:p>
        </w:tc>
      </w:tr>
      <w:tr>
        <w:tc>
          <w:tcPr/>
          <w:p>
            <w:pPr>
              <w:pStyle w:val="Compact"/>
              <w:spacing w:after="0"/>
              <w:jc w:val="left"/>
            </w:pPr>
            <w:r>
              <w:t xml:space="preserve">Corn m5→mp5, ridge, PDS</w:t>
            </w:r>
          </w:p>
        </w:tc>
        <w:tc>
          <w:tcPr/>
          <w:p>
            <w:pPr>
              <w:pStyle w:val="Compact"/>
              <w:spacing w:after="0"/>
              <w:jc w:val="right"/>
            </w:pPr>
            <w:r>
              <w:t xml:space="preserve">0.943 (0/4); 1.21</w:t>
            </w:r>
          </w:p>
        </w:tc>
        <w:tc>
          <w:tcPr/>
          <w:p>
            <w:pPr>
              <w:pStyle w:val="Compact"/>
              <w:spacing w:after="0"/>
              <w:jc w:val="right"/>
            </w:pPr>
            <w:r>
              <w:t xml:space="preserve">0.953 (0/4); 1.17</w:t>
            </w:r>
          </w:p>
        </w:tc>
        <w:tc>
          <w:tcPr/>
          <w:p>
            <w:pPr>
              <w:pStyle w:val="Compact"/>
              <w:spacing w:after="0"/>
              <w:jc w:val="right"/>
            </w:pPr>
            <w:r>
              <w:t xml:space="preserve">0.904 (0/4); 1.06</w:t>
            </w:r>
          </w:p>
        </w:tc>
        <w:tc>
          <w:tcPr/>
          <w:p>
            <w:pPr>
              <w:pStyle w:val="Compact"/>
              <w:spacing w:after="0"/>
              <w:jc w:val="right"/>
            </w:pPr>
            <w:r>
              <w:t xml:space="preserve">1.000 (0/4); inf</w:t>
            </w:r>
          </w:p>
        </w:tc>
        <w:tc>
          <w:tcPr/>
          <w:p>
            <w:pPr>
              <w:pStyle w:val="Compact"/>
              <w:spacing w:after="0"/>
              <w:jc w:val="right"/>
            </w:pPr>
            <w:r>
              <w:t xml:space="preserve">0.057 (4/4); 3.6</w:t>
            </w:r>
          </w:p>
        </w:tc>
        <w:tc>
          <w:tcPr/>
          <w:p>
            <w:pPr>
              <w:pStyle w:val="Compact"/>
              <w:spacing w:after="0"/>
              <w:jc w:val="right"/>
            </w:pPr>
            <w:r>
              <w:t xml:space="preserve">0.416 (4/4); 1.98</w:t>
            </w:r>
          </w:p>
        </w:tc>
        <w:tc>
          <w:tcPr/>
          <w:p>
            <w:pPr>
              <w:pStyle w:val="Compact"/>
              <w:spacing w:after="0"/>
              <w:jc w:val="right"/>
            </w:pPr>
            <w:r>
              <w:t xml:space="preserve">0.518 (4/4); inf</w:t>
            </w:r>
          </w:p>
        </w:tc>
        <w:tc>
          <w:tcPr/>
          <w:p>
            <w:pPr>
              <w:pStyle w:val="Compact"/>
              <w:spacing w:after="0"/>
              <w:jc w:val="right"/>
            </w:pPr>
            <w:r>
              <w:t xml:space="preserve">–</w:t>
            </w:r>
          </w:p>
        </w:tc>
      </w:tr>
      <w:tr>
        <w:tc>
          <w:tcPr/>
          <w:p>
            <w:pPr>
              <w:pStyle w:val="Compact"/>
              <w:spacing w:after="0"/>
              <w:jc w:val="left"/>
            </w:pPr>
            <w:r>
              <w:t xml:space="preserve">Tablets assay, ridge, PDS</w:t>
            </w:r>
          </w:p>
        </w:tc>
        <w:tc>
          <w:tcPr/>
          <w:p>
            <w:pPr>
              <w:pStyle w:val="Compact"/>
              <w:spacing w:after="0"/>
              <w:jc w:val="right"/>
            </w:pPr>
            <w:r>
              <w:t xml:space="preserve">0.916 (0/1); 21.8</w:t>
            </w:r>
          </w:p>
        </w:tc>
        <w:tc>
          <w:tcPr/>
          <w:p>
            <w:pPr>
              <w:pStyle w:val="Compact"/>
              <w:spacing w:after="0"/>
              <w:jc w:val="right"/>
            </w:pPr>
            <w:r>
              <w:t xml:space="preserve">0.915 (0/1); 21.9</w:t>
            </w:r>
          </w:p>
        </w:tc>
        <w:tc>
          <w:tcPr/>
          <w:p>
            <w:pPr>
              <w:pStyle w:val="Compact"/>
              <w:spacing w:after="0"/>
              <w:jc w:val="right"/>
            </w:pPr>
            <w:r>
              <w:t xml:space="preserve">0.914 (0/1); 22</w:t>
            </w:r>
          </w:p>
        </w:tc>
        <w:tc>
          <w:tcPr/>
          <w:p>
            <w:pPr>
              <w:pStyle w:val="Compact"/>
              <w:spacing w:after="0"/>
              <w:jc w:val="right"/>
            </w:pPr>
            <w:r>
              <w:t xml:space="preserve">0.918 (0/1); 26.4</w:t>
            </w:r>
          </w:p>
        </w:tc>
        <w:tc>
          <w:tcPr/>
          <w:p>
            <w:pPr>
              <w:pStyle w:val="Compact"/>
              <w:spacing w:after="0"/>
              <w:jc w:val="right"/>
            </w:pPr>
            <w:r>
              <w:t xml:space="preserve">0.905 (0/1); 20.7</w:t>
            </w:r>
          </w:p>
        </w:tc>
        <w:tc>
          <w:tcPr/>
          <w:p>
            <w:pPr>
              <w:pStyle w:val="Compact"/>
              <w:spacing w:after="0"/>
              <w:jc w:val="right"/>
            </w:pPr>
            <w:r>
              <w:t xml:space="preserve">0.874 (1/1); 20.9</w:t>
            </w:r>
          </w:p>
        </w:tc>
        <w:tc>
          <w:tcPr/>
          <w:p>
            <w:pPr>
              <w:pStyle w:val="Compact"/>
              <w:spacing w:after="0"/>
              <w:jc w:val="right"/>
            </w:pPr>
            <w:r>
              <w:t xml:space="preserve">0.888 (1/1); 21.8</w:t>
            </w:r>
          </w:p>
        </w:tc>
        <w:tc>
          <w:tcPr/>
          <w:p>
            <w:pPr>
              <w:pStyle w:val="Compact"/>
              <w:spacing w:after="0"/>
              <w:jc w:val="right"/>
            </w:pPr>
            <w:r>
              <w:t xml:space="preserve">–</w:t>
            </w:r>
          </w:p>
        </w:tc>
      </w:tr>
      <w:tr>
        <w:tc>
          <w:tcPr/>
          <w:p>
            <w:pPr>
              <w:pStyle w:val="Compact"/>
              <w:spacing w:after="0"/>
              <w:jc w:val="left"/>
            </w:pPr>
            <w:r>
              <w:t xml:space="preserve">Mango, ridge, SBC</w:t>
            </w:r>
          </w:p>
        </w:tc>
        <w:tc>
          <w:tcPr/>
          <w:p>
            <w:pPr>
              <w:pStyle w:val="Compact"/>
              <w:spacing w:after="0"/>
              <w:jc w:val="right"/>
            </w:pPr>
            <w:r>
              <w:t xml:space="preserve">0.898 (0/1); 4.5</w:t>
            </w:r>
          </w:p>
        </w:tc>
        <w:tc>
          <w:tcPr/>
          <w:p>
            <w:pPr>
              <w:pStyle w:val="Compact"/>
              <w:spacing w:after="0"/>
              <w:jc w:val="right"/>
            </w:pPr>
            <w:r>
              <w:t xml:space="preserve">0.899 (0/1); 4.57</w:t>
            </w:r>
          </w:p>
        </w:tc>
        <w:tc>
          <w:tcPr/>
          <w:p>
            <w:pPr>
              <w:pStyle w:val="Compact"/>
              <w:spacing w:after="0"/>
              <w:jc w:val="right"/>
            </w:pPr>
            <w:r>
              <w:t xml:space="preserve">0.899 (0/1); 4.52</w:t>
            </w:r>
          </w:p>
        </w:tc>
        <w:tc>
          <w:tcPr/>
          <w:p>
            <w:pPr>
              <w:pStyle w:val="Compact"/>
              <w:spacing w:after="0"/>
              <w:jc w:val="right"/>
            </w:pPr>
            <w:r>
              <w:t xml:space="preserve">0.902 (0/1); 4.97</w:t>
            </w:r>
          </w:p>
        </w:tc>
        <w:tc>
          <w:tcPr/>
          <w:p>
            <w:pPr>
              <w:pStyle w:val="Compact"/>
              <w:spacing w:after="0"/>
              <w:jc w:val="right"/>
            </w:pPr>
            <w:r>
              <w:t xml:space="preserve">0.729 (1/1); 5.1</w:t>
            </w:r>
          </w:p>
        </w:tc>
        <w:tc>
          <w:tcPr/>
          <w:p>
            <w:pPr>
              <w:pStyle w:val="Compact"/>
              <w:spacing w:after="0"/>
              <w:jc w:val="right"/>
            </w:pPr>
            <w:r>
              <w:t xml:space="preserve">0.716 (1/1); 5.2</w:t>
            </w:r>
          </w:p>
        </w:tc>
        <w:tc>
          <w:tcPr/>
          <w:p>
            <w:pPr>
              <w:pStyle w:val="Compact"/>
              <w:spacing w:after="0"/>
              <w:jc w:val="right"/>
            </w:pPr>
            <w:r>
              <w:t xml:space="preserve">0.742 (1/1); inf</w:t>
            </w:r>
          </w:p>
        </w:tc>
        <w:tc>
          <w:tcPr/>
          <w:p>
            <w:pPr>
              <w:pStyle w:val="Compact"/>
              <w:spacing w:after="0"/>
              <w:jc w:val="right"/>
            </w:pPr>
            <w:r>
              <w:t xml:space="preserve">–</w:t>
            </w:r>
          </w:p>
        </w:tc>
      </w:tr>
      <w:tr>
        <w:tc>
          <w:tcPr>
            <w:tcBorders>
              <w:bottom w:val="single" w:sz="8" w:color="000000"/>
            </w:tcBorders>
          </w:tcPr>
          <w:p>
            <w:pPr>
              <w:pStyle w:val="Compact"/>
              <w:spacing w:after="0"/>
              <w:jc w:val="left"/>
            </w:pPr>
            <w:r>
              <w:t xml:space="preserve">Mango, 1D-CNN, SBC</w:t>
            </w:r>
          </w:p>
        </w:tc>
        <w:tc>
          <w:tcPr>
            <w:tcBorders>
              <w:bottom w:val="single" w:sz="8" w:color="000000"/>
            </w:tcBorders>
          </w:tcPr>
          <w:p>
            <w:pPr>
              <w:pStyle w:val="Compact"/>
              <w:spacing w:after="0"/>
              <w:jc w:val="right"/>
            </w:pPr>
            <w:r>
              <w:t xml:space="preserve">0.910 (0/4); 5.24</w:t>
            </w:r>
          </w:p>
        </w:tc>
        <w:tc>
          <w:tcPr>
            <w:tcBorders>
              <w:bottom w:val="single" w:sz="8" w:color="000000"/>
            </w:tcBorders>
          </w:tcPr>
          <w:p>
            <w:pPr>
              <w:pStyle w:val="Compact"/>
              <w:spacing w:after="0"/>
              <w:jc w:val="right"/>
            </w:pPr>
            <w:r>
              <w:t xml:space="preserve">0.909 (0/4); 5.51</w:t>
            </w:r>
          </w:p>
        </w:tc>
        <w:tc>
          <w:tcPr>
            <w:tcBorders>
              <w:bottom w:val="single" w:sz="8" w:color="000000"/>
            </w:tcBorders>
          </w:tcPr>
          <w:p>
            <w:pPr>
              <w:pStyle w:val="Compact"/>
              <w:spacing w:after="0"/>
              <w:jc w:val="right"/>
            </w:pPr>
            <w:r>
              <w:t xml:space="preserve">0.894 (2/4); 5.42</w:t>
            </w:r>
          </w:p>
        </w:tc>
        <w:tc>
          <w:tcPr>
            <w:tcBorders>
              <w:bottom w:val="single" w:sz="8" w:color="000000"/>
            </w:tcBorders>
          </w:tcPr>
          <w:p>
            <w:pPr>
              <w:pStyle w:val="Compact"/>
              <w:spacing w:after="0"/>
              <w:jc w:val="right"/>
            </w:pPr>
            <w:r>
              <w:t xml:space="preserve">0.945 (0/4); 5.59</w:t>
            </w:r>
          </w:p>
        </w:tc>
        <w:tc>
          <w:tcPr>
            <w:tcBorders>
              <w:bottom w:val="single" w:sz="8" w:color="000000"/>
            </w:tcBorders>
          </w:tcPr>
          <w:p>
            <w:pPr>
              <w:pStyle w:val="Compact"/>
              <w:spacing w:after="0"/>
              <w:jc w:val="right"/>
            </w:pPr>
            <w:r>
              <w:t xml:space="preserve">0.714 (4/4); 6.48</w:t>
            </w:r>
          </w:p>
        </w:tc>
        <w:tc>
          <w:tcPr>
            <w:tcBorders>
              <w:bottom w:val="single" w:sz="8" w:color="000000"/>
            </w:tcBorders>
          </w:tcPr>
          <w:p>
            <w:pPr>
              <w:pStyle w:val="Compact"/>
              <w:spacing w:after="0"/>
              <w:jc w:val="right"/>
            </w:pPr>
            <w:r>
              <w:t xml:space="preserve">0.693 (4/4); 6.71</w:t>
            </w:r>
          </w:p>
        </w:tc>
        <w:tc>
          <w:tcPr>
            <w:tcBorders>
              <w:bottom w:val="single" w:sz="8" w:color="000000"/>
            </w:tcBorders>
          </w:tcPr>
          <w:p>
            <w:pPr>
              <w:pStyle w:val="Compact"/>
              <w:spacing w:after="0"/>
              <w:jc w:val="right"/>
            </w:pPr>
            <w:r>
              <w:t xml:space="preserve">0.780 (4/4); inf</w:t>
            </w:r>
          </w:p>
        </w:tc>
        <w:tc>
          <w:tcPr>
            <w:tcBorders>
              <w:bottom w:val="single" w:sz="8" w:color="000000"/>
            </w:tcBorders>
          </w:tcPr>
          <w:p>
            <w:pPr>
              <w:pStyle w:val="Compact"/>
              <w:spacing w:after="0"/>
              <w:jc w:val="right"/>
            </w:pPr>
            <w:r>
              <w:t xml:space="preserve">0.807 (4/4); 5.66</w:t>
            </w:r>
          </w:p>
        </w:tc>
      </w:tr>
    </w:tbl>
    <w:p/>
    <w:p>
      <w:pPr>
        <w:pStyle w:val="TableCaption"/>
        <w:keepNext/>
      </w:pPr>
      <w:r>
        <w:rPr>
          <w:bCs/>
          <w:b/>
        </w:rPr>
        <w:t xml:space="preserve">Table 7.</w:t>
      </w:r>
      <w:r>
        <w:t xml:space="preserve"> </w:t>
      </w:r>
      <w:r>
        <w:t xml:space="preserve">Independent instrument shift (E8): mango dry matter, source instrument 15006, three target instruments × four values of m (12 scenarios per pipeline; α = 0.10; 200 repetitions).</w:t>
      </w:r>
    </w:p>
    <w:tbl>
      <w:tblPr>
        <w:tblStyle w:val="Table"/>
        <w:tblW w:type="pct" w:w="5000"/>
        <w:jc w:val="center"/>
        <w:tblLook w:firstRow="1" w:lastRow="0" w:firstColumn="0" w:lastColumn="0" w:noHBand="0" w:noVBand="0" w:val="0020"/>
        <w:tblCaption w:val="Table 7. Independent instrument shift (E8): mango dry matter, source instrument 15006, three target instruments × four values of m (12 scenarios per pipeline; α = 0.10; 200 repetitions)."/>
      </w:tblPr>
      <w:tblGrid>
        <w:gridCol w:w="1131"/>
        <w:gridCol w:w="1131"/>
        <w:gridCol w:w="1131"/>
        <w:gridCol w:w="1131"/>
        <w:gridCol w:w="1131"/>
        <w:gridCol w:w="1131"/>
        <w:gridCol w:w="1131"/>
      </w:tblGrid>
      <w:tr>
        <w:trPr>
          <w:tblHeader w:val="true"/>
        </w:trPr>
        <w:tc>
          <w:tcPr>
            <w:tcBorders>
              <w:top w:val="single" w:sz="8" w:color="000000"/>
              <w:bottom w:val="single" w:sz="8" w:color="000000"/>
            </w:tcBorders>
          </w:tcPr>
          <w:p>
            <w:pPr>
              <w:pStyle w:val="Compact"/>
              <w:spacing w:after="0"/>
              <w:jc w:val="left"/>
            </w:pPr>
            <w:r>
              <w:t xml:space="preserve">Pipeline</w:t>
            </w:r>
          </w:p>
        </w:tc>
        <w:tc>
          <w:tcPr>
            <w:tcBorders>
              <w:top w:val="single" w:sz="8" w:color="000000"/>
              <w:bottom w:val="single" w:sz="8" w:color="000000"/>
            </w:tcBorders>
          </w:tcPr>
          <w:p>
            <w:pPr>
              <w:pStyle w:val="Compact"/>
              <w:spacing w:after="0"/>
              <w:jc w:val="right"/>
            </w:pPr>
            <w:r>
              <w:t xml:space="preserve">Method</w:t>
            </w:r>
          </w:p>
        </w:tc>
        <w:tc>
          <w:tcPr>
            <w:tcBorders>
              <w:top w:val="single" w:sz="8" w:color="000000"/>
              <w:bottom w:val="single" w:sz="8" w:color="000000"/>
            </w:tcBorders>
          </w:tcPr>
          <w:p>
            <w:pPr>
              <w:pStyle w:val="Compact"/>
              <w:spacing w:after="0"/>
              <w:jc w:val="right"/>
            </w:pPr>
            <w:r>
              <w:t xml:space="preserve">Coverage (range)</w:t>
            </w:r>
          </w:p>
        </w:tc>
        <w:tc>
          <w:tcPr>
            <w:tcBorders>
              <w:top w:val="single" w:sz="8" w:color="000000"/>
              <w:bottom w:val="single" w:sz="8" w:color="000000"/>
            </w:tcBorders>
          </w:tcPr>
          <w:p>
            <w:pPr>
              <w:pStyle w:val="Compact"/>
              <w:spacing w:after="0"/>
              <w:jc w:val="right"/>
            </w:pPr>
            <w:r>
              <w:t xml:space="preserve">Under</w:t>
            </w:r>
          </w:p>
        </w:tc>
        <w:tc>
          <w:tcPr>
            <w:tcBorders>
              <w:top w:val="single" w:sz="8" w:color="000000"/>
              <w:bottom w:val="single" w:sz="8" w:color="000000"/>
            </w:tcBorders>
          </w:tcPr>
          <w:p>
            <w:pPr>
              <w:pStyle w:val="Compact"/>
              <w:spacing w:after="0"/>
              <w:jc w:val="right"/>
            </w:pPr>
            <w:r>
              <w:t xml:space="preserve">Unbounded (% reps)</w:t>
            </w:r>
          </w:p>
        </w:tc>
        <w:tc>
          <w:tcPr>
            <w:tcBorders>
              <w:top w:val="single" w:sz="8" w:color="000000"/>
              <w:bottom w:val="single" w:sz="8" w:color="000000"/>
            </w:tcBorders>
          </w:tcPr>
          <w:p>
            <w:pPr>
              <w:pStyle w:val="Compact"/>
              <w:spacing w:after="0"/>
              <w:jc w:val="right"/>
            </w:pPr>
            <w:r>
              <w:t xml:space="preserve">Median width (% DM)</w:t>
            </w:r>
          </w:p>
        </w:tc>
        <w:tc>
          <w:tcPr>
            <w:tcBorders>
              <w:top w:val="single" w:sz="8" w:color="000000"/>
              <w:bottom w:val="single" w:sz="8" w:color="000000"/>
            </w:tcBorders>
          </w:tcPr>
          <w:p>
            <w:pPr>
              <w:pStyle w:val="Compact"/>
              <w:spacing w:after="0"/>
              <w:jc w:val="right"/>
            </w:pPr>
            <w:r>
              <w:t xml:space="preserve">RMSEP (% DM)</w:t>
            </w:r>
          </w:p>
        </w:tc>
      </w:tr>
      <w:tr>
        <w:tc>
          <w:tcPr/>
          <w:p>
            <w:pPr>
              <w:pStyle w:val="Compact"/>
              <w:spacing w:after="0"/>
              <w:jc w:val="left"/>
            </w:pPr>
            <w:r>
              <w:t xml:space="preserve">PDS</w:t>
            </w:r>
          </w:p>
        </w:tc>
        <w:tc>
          <w:tcPr/>
          <w:p>
            <w:pPr>
              <w:pStyle w:val="Compact"/>
              <w:spacing w:after="0"/>
              <w:jc w:val="right"/>
            </w:pPr>
            <w:r>
              <w:t xml:space="preserve">TJ+N</w:t>
            </w:r>
          </w:p>
        </w:tc>
        <w:tc>
          <w:tcPr/>
          <w:p>
            <w:pPr>
              <w:pStyle w:val="Compact"/>
              <w:spacing w:after="0"/>
              <w:jc w:val="right"/>
            </w:pPr>
            <w:r>
              <w:t xml:space="preserve">0.931 (0.91–0.97)</w:t>
            </w:r>
          </w:p>
        </w:tc>
        <w:tc>
          <w:tcPr/>
          <w:p>
            <w:pPr>
              <w:pStyle w:val="Compact"/>
              <w:spacing w:after="0"/>
              <w:jc w:val="right"/>
            </w:pPr>
            <w:r>
              <w:t xml:space="preserve">0/12</w:t>
            </w:r>
          </w:p>
        </w:tc>
        <w:tc>
          <w:tcPr/>
          <w:p>
            <w:pPr>
              <w:pStyle w:val="Compact"/>
              <w:spacing w:after="0"/>
              <w:jc w:val="right"/>
            </w:pPr>
            <w:r>
              <w:t xml:space="preserve">0</w:t>
            </w:r>
          </w:p>
        </w:tc>
        <w:tc>
          <w:tcPr/>
          <w:p>
            <w:pPr>
              <w:pStyle w:val="Compact"/>
              <w:spacing w:after="0"/>
              <w:jc w:val="right"/>
            </w:pPr>
            <w:r>
              <w:t xml:space="preserve">11.05</w:t>
            </w:r>
          </w:p>
        </w:tc>
        <w:tc>
          <w:tcPr/>
          <w:p>
            <w:pPr>
              <w:pStyle w:val="Compact"/>
              <w:spacing w:after="0"/>
              <w:jc w:val="right"/>
            </w:pPr>
            <w:r>
              <w:t xml:space="preserve">4.03</w:t>
            </w:r>
          </w:p>
        </w:tc>
      </w:tr>
      <w:tr>
        <w:tc>
          <w:tcPr/>
          <w:p>
            <w:pPr>
              <w:pStyle w:val="Compact"/>
              <w:spacing w:after="0"/>
              <w:jc w:val="left"/>
            </w:pPr>
            <w:r>
              <w:t xml:space="preserve">PDS</w:t>
            </w:r>
          </w:p>
        </w:tc>
        <w:tc>
          <w:tcPr/>
          <w:p>
            <w:pPr>
              <w:pStyle w:val="Compact"/>
              <w:spacing w:after="0"/>
              <w:jc w:val="right"/>
            </w:pPr>
            <w:r>
              <w:t xml:space="preserve">TJ+</w:t>
            </w:r>
          </w:p>
        </w:tc>
        <w:tc>
          <w:tcPr/>
          <w:p>
            <w:pPr>
              <w:pStyle w:val="Compact"/>
              <w:spacing w:after="0"/>
              <w:jc w:val="right"/>
            </w:pPr>
            <w:r>
              <w:t xml:space="preserve">0.929 (0.90–0.97)</w:t>
            </w:r>
          </w:p>
        </w:tc>
        <w:tc>
          <w:tcPr/>
          <w:p>
            <w:pPr>
              <w:pStyle w:val="Compact"/>
              <w:spacing w:after="0"/>
              <w:jc w:val="right"/>
            </w:pPr>
            <w:r>
              <w:t xml:space="preserve">0/12</w:t>
            </w:r>
          </w:p>
        </w:tc>
        <w:tc>
          <w:tcPr/>
          <w:p>
            <w:pPr>
              <w:pStyle w:val="Compact"/>
              <w:spacing w:after="0"/>
              <w:jc w:val="right"/>
            </w:pPr>
            <w:r>
              <w:t xml:space="preserve">0</w:t>
            </w:r>
          </w:p>
        </w:tc>
        <w:tc>
          <w:tcPr/>
          <w:p>
            <w:pPr>
              <w:pStyle w:val="Compact"/>
              <w:spacing w:after="0"/>
              <w:jc w:val="right"/>
            </w:pPr>
            <w:r>
              <w:t xml:space="preserve">12.79</w:t>
            </w:r>
          </w:p>
        </w:tc>
        <w:tc>
          <w:tcPr/>
          <w:p>
            <w:pPr>
              <w:pStyle w:val="Compact"/>
              <w:spacing w:after="0"/>
              <w:jc w:val="right"/>
            </w:pPr>
            <w:r>
              <w:t xml:space="preserve">4.03</w:t>
            </w:r>
          </w:p>
        </w:tc>
      </w:tr>
      <w:tr>
        <w:tc>
          <w:tcPr/>
          <w:p>
            <w:pPr>
              <w:pStyle w:val="Compact"/>
              <w:spacing w:after="0"/>
              <w:jc w:val="left"/>
            </w:pPr>
            <w:r>
              <w:t xml:space="preserve">PDS</w:t>
            </w:r>
          </w:p>
        </w:tc>
        <w:tc>
          <w:tcPr/>
          <w:p>
            <w:pPr>
              <w:pStyle w:val="Compact"/>
              <w:spacing w:after="0"/>
              <w:jc w:val="right"/>
            </w:pPr>
            <w:r>
              <w:t xml:space="preserve">SCP-T-split-N</w:t>
            </w:r>
          </w:p>
        </w:tc>
        <w:tc>
          <w:tcPr/>
          <w:p>
            <w:pPr>
              <w:pStyle w:val="Compact"/>
              <w:spacing w:after="0"/>
              <w:jc w:val="right"/>
            </w:pPr>
            <w:r>
              <w:t xml:space="preserve">0.943 (0.91–1.00)</w:t>
            </w:r>
          </w:p>
        </w:tc>
        <w:tc>
          <w:tcPr/>
          <w:p>
            <w:pPr>
              <w:pStyle w:val="Compact"/>
              <w:spacing w:after="0"/>
              <w:jc w:val="right"/>
            </w:pPr>
            <w:r>
              <w:t xml:space="preserve">0/12</w:t>
            </w:r>
          </w:p>
        </w:tc>
        <w:tc>
          <w:tcPr/>
          <w:p>
            <w:pPr>
              <w:pStyle w:val="Compact"/>
              <w:spacing w:after="0"/>
              <w:jc w:val="right"/>
            </w:pPr>
            <w:r>
              <w:t xml:space="preserve">25</w:t>
            </w:r>
          </w:p>
        </w:tc>
        <w:tc>
          <w:tcPr/>
          <w:p>
            <w:pPr>
              <w:pStyle w:val="Compact"/>
              <w:spacing w:after="0"/>
              <w:jc w:val="right"/>
            </w:pPr>
            <w:r>
              <w:t xml:space="preserve">11.15</w:t>
            </w:r>
          </w:p>
        </w:tc>
        <w:tc>
          <w:tcPr/>
          <w:p>
            <w:pPr>
              <w:pStyle w:val="Compact"/>
              <w:spacing w:after="0"/>
              <w:jc w:val="right"/>
            </w:pPr>
            <w:r>
              <w:t xml:space="preserve">4.03</w:t>
            </w:r>
          </w:p>
        </w:tc>
      </w:tr>
      <w:tr>
        <w:tc>
          <w:tcPr/>
          <w:p>
            <w:pPr>
              <w:pStyle w:val="Compact"/>
              <w:spacing w:after="0"/>
              <w:jc w:val="left"/>
            </w:pPr>
            <w:r>
              <w:t xml:space="preserve">PDS</w:t>
            </w:r>
          </w:p>
        </w:tc>
        <w:tc>
          <w:tcPr/>
          <w:p>
            <w:pPr>
              <w:pStyle w:val="Compact"/>
              <w:spacing w:after="0"/>
              <w:jc w:val="right"/>
            </w:pPr>
            <w:r>
              <w:t xml:space="preserve">Gauss-LOO</w:t>
            </w:r>
          </w:p>
        </w:tc>
        <w:tc>
          <w:tcPr/>
          <w:p>
            <w:pPr>
              <w:pStyle w:val="Compact"/>
              <w:spacing w:after="0"/>
              <w:jc w:val="right"/>
            </w:pPr>
            <w:r>
              <w:t xml:space="preserve">0.916 (0.90–0.93)</w:t>
            </w:r>
          </w:p>
        </w:tc>
        <w:tc>
          <w:tcPr/>
          <w:p>
            <w:pPr>
              <w:pStyle w:val="Compact"/>
              <w:spacing w:after="0"/>
              <w:jc w:val="right"/>
            </w:pPr>
            <w:r>
              <w:t xml:space="preserve">0/12</w:t>
            </w:r>
          </w:p>
        </w:tc>
        <w:tc>
          <w:tcPr/>
          <w:p>
            <w:pPr>
              <w:pStyle w:val="Compact"/>
              <w:spacing w:after="0"/>
              <w:jc w:val="right"/>
            </w:pPr>
            <w:r>
              <w:t xml:space="preserve">0</w:t>
            </w:r>
          </w:p>
        </w:tc>
        <w:tc>
          <w:tcPr/>
          <w:p>
            <w:pPr>
              <w:pStyle w:val="Compact"/>
              <w:spacing w:after="0"/>
              <w:jc w:val="right"/>
            </w:pPr>
            <w:r>
              <w:t xml:space="preserve">12.13</w:t>
            </w:r>
          </w:p>
        </w:tc>
        <w:tc>
          <w:tcPr/>
          <w:p>
            <w:pPr>
              <w:pStyle w:val="Compact"/>
              <w:spacing w:after="0"/>
              <w:jc w:val="right"/>
            </w:pPr>
            <w:r>
              <w:t xml:space="preserve">4.03</w:t>
            </w:r>
          </w:p>
        </w:tc>
      </w:tr>
      <w:tr>
        <w:tc>
          <w:tcPr/>
          <w:p>
            <w:pPr>
              <w:pStyle w:val="Compact"/>
              <w:spacing w:after="0"/>
              <w:jc w:val="left"/>
            </w:pPr>
            <w:r>
              <w:t xml:space="preserve">PDS</w:t>
            </w:r>
          </w:p>
        </w:tc>
        <w:tc>
          <w:tcPr/>
          <w:p>
            <w:pPr>
              <w:pStyle w:val="Compact"/>
              <w:spacing w:after="0"/>
              <w:jc w:val="right"/>
            </w:pPr>
            <w:r>
              <w:t xml:space="preserve">ASTM-PI</w:t>
            </w:r>
          </w:p>
        </w:tc>
        <w:tc>
          <w:tcPr/>
          <w:p>
            <w:pPr>
              <w:pStyle w:val="Compact"/>
              <w:spacing w:after="0"/>
              <w:jc w:val="right"/>
            </w:pPr>
            <w:r>
              <w:t xml:space="preserve">0.355 (0.22–0.51)</w:t>
            </w:r>
          </w:p>
        </w:tc>
        <w:tc>
          <w:tcPr/>
          <w:p>
            <w:pPr>
              <w:pStyle w:val="Compact"/>
              <w:spacing w:after="0"/>
              <w:jc w:val="right"/>
            </w:pPr>
            <w:r>
              <w:t xml:space="preserve">12/12</w:t>
            </w:r>
          </w:p>
        </w:tc>
        <w:tc>
          <w:tcPr/>
          <w:p>
            <w:pPr>
              <w:pStyle w:val="Compact"/>
              <w:spacing w:after="0"/>
              <w:jc w:val="right"/>
            </w:pPr>
            <w:r>
              <w:t xml:space="preserve">0</w:t>
            </w:r>
          </w:p>
        </w:tc>
        <w:tc>
          <w:tcPr/>
          <w:p>
            <w:pPr>
              <w:pStyle w:val="Compact"/>
              <w:spacing w:after="0"/>
              <w:jc w:val="right"/>
            </w:pPr>
            <w:r>
              <w:t xml:space="preserve">2.71</w:t>
            </w:r>
          </w:p>
        </w:tc>
        <w:tc>
          <w:tcPr/>
          <w:p>
            <w:pPr>
              <w:pStyle w:val="Compact"/>
              <w:spacing w:after="0"/>
              <w:jc w:val="right"/>
            </w:pPr>
            <w:r>
              <w:t xml:space="preserve">4.03</w:t>
            </w:r>
          </w:p>
        </w:tc>
      </w:tr>
      <w:tr>
        <w:tc>
          <w:tcPr/>
          <w:p>
            <w:pPr>
              <w:pStyle w:val="Compact"/>
              <w:spacing w:after="0"/>
              <w:jc w:val="left"/>
            </w:pPr>
            <w:r>
              <w:t xml:space="preserve">PDS</w:t>
            </w:r>
          </w:p>
        </w:tc>
        <w:tc>
          <w:tcPr/>
          <w:p>
            <w:pPr>
              <w:pStyle w:val="Compact"/>
              <w:spacing w:after="0"/>
              <w:jc w:val="right"/>
            </w:pPr>
            <w:r>
              <w:t xml:space="preserve">SCP-S</w:t>
            </w:r>
          </w:p>
        </w:tc>
        <w:tc>
          <w:tcPr/>
          <w:p>
            <w:pPr>
              <w:pStyle w:val="Compact"/>
              <w:spacing w:after="0"/>
              <w:jc w:val="right"/>
            </w:pPr>
            <w:r>
              <w:t xml:space="preserve">0.342 (0.20–0.50)</w:t>
            </w:r>
          </w:p>
        </w:tc>
        <w:tc>
          <w:tcPr/>
          <w:p>
            <w:pPr>
              <w:pStyle w:val="Compact"/>
              <w:spacing w:after="0"/>
              <w:jc w:val="right"/>
            </w:pPr>
            <w:r>
              <w:t xml:space="preserve">12/12</w:t>
            </w:r>
          </w:p>
        </w:tc>
        <w:tc>
          <w:tcPr/>
          <w:p>
            <w:pPr>
              <w:pStyle w:val="Compact"/>
              <w:spacing w:after="0"/>
              <w:jc w:val="right"/>
            </w:pPr>
            <w:r>
              <w:t xml:space="preserve">0</w:t>
            </w:r>
          </w:p>
        </w:tc>
        <w:tc>
          <w:tcPr/>
          <w:p>
            <w:pPr>
              <w:pStyle w:val="Compact"/>
              <w:spacing w:after="0"/>
              <w:jc w:val="right"/>
            </w:pPr>
            <w:r>
              <w:t xml:space="preserve">2.60</w:t>
            </w:r>
          </w:p>
        </w:tc>
        <w:tc>
          <w:tcPr/>
          <w:p>
            <w:pPr>
              <w:pStyle w:val="Compact"/>
              <w:spacing w:after="0"/>
              <w:jc w:val="right"/>
            </w:pPr>
            <w:r>
              <w:t xml:space="preserve">4.03</w:t>
            </w:r>
          </w:p>
        </w:tc>
      </w:tr>
      <w:tr>
        <w:tc>
          <w:tcPr/>
          <w:p>
            <w:pPr>
              <w:pStyle w:val="Compact"/>
              <w:spacing w:after="0"/>
              <w:jc w:val="left"/>
            </w:pPr>
            <w:r>
              <w:t xml:space="preserve">PDS</w:t>
            </w:r>
          </w:p>
        </w:tc>
        <w:tc>
          <w:tcPr/>
          <w:p>
            <w:pPr>
              <w:pStyle w:val="Compact"/>
              <w:spacing w:after="0"/>
              <w:jc w:val="right"/>
            </w:pPr>
            <w:r>
              <w:t xml:space="preserve">WCP-S</w:t>
            </w:r>
          </w:p>
        </w:tc>
        <w:tc>
          <w:tcPr/>
          <w:p>
            <w:pPr>
              <w:pStyle w:val="Compact"/>
              <w:spacing w:after="0"/>
              <w:jc w:val="right"/>
            </w:pPr>
            <w:r>
              <w:t xml:space="preserve">0.292 (0.15–0.47)</w:t>
            </w:r>
          </w:p>
        </w:tc>
        <w:tc>
          <w:tcPr/>
          <w:p>
            <w:pPr>
              <w:pStyle w:val="Compact"/>
              <w:spacing w:after="0"/>
              <w:jc w:val="right"/>
            </w:pPr>
            <w:r>
              <w:t xml:space="preserve">12/12</w:t>
            </w:r>
          </w:p>
        </w:tc>
        <w:tc>
          <w:tcPr/>
          <w:p>
            <w:pPr>
              <w:pStyle w:val="Compact"/>
              <w:spacing w:after="0"/>
              <w:jc w:val="right"/>
            </w:pPr>
            <w:r>
              <w:t xml:space="preserve">25</w:t>
            </w:r>
          </w:p>
        </w:tc>
        <w:tc>
          <w:tcPr/>
          <w:p>
            <w:pPr>
              <w:pStyle w:val="Compact"/>
              <w:spacing w:after="0"/>
              <w:jc w:val="right"/>
            </w:pPr>
            <w:r>
              <w:t xml:space="preserve">2.24</w:t>
            </w:r>
          </w:p>
        </w:tc>
        <w:tc>
          <w:tcPr/>
          <w:p>
            <w:pPr>
              <w:pStyle w:val="Compact"/>
              <w:spacing w:after="0"/>
              <w:jc w:val="right"/>
            </w:pPr>
            <w:r>
              <w:t xml:space="preserve">4.03</w:t>
            </w:r>
          </w:p>
        </w:tc>
      </w:tr>
      <w:tr>
        <w:tc>
          <w:tcPr/>
          <w:p>
            <w:pPr>
              <w:pStyle w:val="Compact"/>
              <w:spacing w:after="0"/>
              <w:jc w:val="left"/>
            </w:pPr>
            <w:r>
              <w:t xml:space="preserve">PDS</w:t>
            </w:r>
          </w:p>
        </w:tc>
        <w:tc>
          <w:tcPr/>
          <w:p>
            <w:pPr>
              <w:pStyle w:val="Compact"/>
              <w:spacing w:after="0"/>
              <w:jc w:val="right"/>
            </w:pPr>
            <w:r>
              <w:t xml:space="preserve">Transport</w:t>
            </w:r>
          </w:p>
        </w:tc>
        <w:tc>
          <w:tcPr/>
          <w:p>
            <w:pPr>
              <w:pStyle w:val="Compact"/>
              <w:spacing w:after="0"/>
              <w:jc w:val="right"/>
            </w:pPr>
            <w:r>
              <w:t xml:space="preserve">0.978 (0.95–0.99)</w:t>
            </w:r>
          </w:p>
        </w:tc>
        <w:tc>
          <w:tcPr/>
          <w:p>
            <w:pPr>
              <w:pStyle w:val="Compact"/>
              <w:spacing w:after="0"/>
              <w:jc w:val="right"/>
            </w:pPr>
            <w:r>
              <w:t xml:space="preserve">0/12</w:t>
            </w:r>
          </w:p>
        </w:tc>
        <w:tc>
          <w:tcPr/>
          <w:p>
            <w:pPr>
              <w:pStyle w:val="Compact"/>
              <w:spacing w:after="0"/>
              <w:jc w:val="right"/>
            </w:pPr>
            <w:r>
              <w:t xml:space="preserve">0</w:t>
            </w:r>
          </w:p>
        </w:tc>
        <w:tc>
          <w:tcPr/>
          <w:p>
            <w:pPr>
              <w:pStyle w:val="Compact"/>
              <w:spacing w:after="0"/>
              <w:jc w:val="right"/>
            </w:pPr>
            <w:r>
              <w:t xml:space="preserve">24.63</w:t>
            </w:r>
          </w:p>
        </w:tc>
        <w:tc>
          <w:tcPr/>
          <w:p>
            <w:pPr>
              <w:pStyle w:val="Compact"/>
              <w:spacing w:after="0"/>
              <w:jc w:val="right"/>
            </w:pPr>
            <w:r>
              <w:t xml:space="preserve">4.03</w:t>
            </w:r>
          </w:p>
        </w:tc>
      </w:tr>
      <w:tr>
        <w:tc>
          <w:tcPr/>
          <w:p>
            <w:pPr>
              <w:pStyle w:val="Compact"/>
              <w:spacing w:after="0"/>
              <w:jc w:val="left"/>
            </w:pPr>
            <w:r>
              <w:t xml:space="preserve">PDS</w:t>
            </w:r>
          </w:p>
        </w:tc>
        <w:tc>
          <w:tcPr/>
          <w:p>
            <w:pPr>
              <w:pStyle w:val="Compact"/>
              <w:spacing w:after="0"/>
              <w:jc w:val="right"/>
            </w:pPr>
            <w:r>
              <w:t xml:space="preserve">LF-conv</w:t>
            </w:r>
          </w:p>
        </w:tc>
        <w:tc>
          <w:tcPr/>
          <w:p>
            <w:pPr>
              <w:pStyle w:val="Compact"/>
              <w:spacing w:after="0"/>
              <w:jc w:val="right"/>
            </w:pPr>
            <w:r>
              <w:t xml:space="preserve">0.887 (0.86–0.91)</w:t>
            </w:r>
          </w:p>
        </w:tc>
        <w:tc>
          <w:tcPr/>
          <w:p>
            <w:pPr>
              <w:pStyle w:val="Compact"/>
              <w:spacing w:after="0"/>
              <w:jc w:val="right"/>
            </w:pPr>
            <w:r>
              <w:t xml:space="preserve">6/12</w:t>
            </w:r>
          </w:p>
        </w:tc>
        <w:tc>
          <w:tcPr/>
          <w:p>
            <w:pPr>
              <w:pStyle w:val="Compact"/>
              <w:spacing w:after="0"/>
              <w:jc w:val="right"/>
            </w:pPr>
            <w:r>
              <w:t xml:space="preserve">0</w:t>
            </w:r>
          </w:p>
        </w:tc>
        <w:tc>
          <w:tcPr/>
          <w:p>
            <w:pPr>
              <w:pStyle w:val="Compact"/>
              <w:spacing w:after="0"/>
              <w:jc w:val="right"/>
            </w:pPr>
            <w:r>
              <w:t xml:space="preserve">11.83</w:t>
            </w:r>
          </w:p>
        </w:tc>
        <w:tc>
          <w:tcPr/>
          <w:p>
            <w:pPr>
              <w:pStyle w:val="Compact"/>
              <w:spacing w:after="0"/>
              <w:jc w:val="right"/>
            </w:pPr>
            <w:r>
              <w:t xml:space="preserve">4.03</w:t>
            </w:r>
          </w:p>
        </w:tc>
      </w:tr>
      <w:tr>
        <w:tc>
          <w:tcPr/>
          <w:p>
            <w:pPr>
              <w:pStyle w:val="Compact"/>
              <w:spacing w:after="0"/>
              <w:jc w:val="left"/>
            </w:pPr>
            <w:r>
              <w:t xml:space="preserve">SBC</w:t>
            </w:r>
          </w:p>
        </w:tc>
        <w:tc>
          <w:tcPr/>
          <w:p>
            <w:pPr>
              <w:pStyle w:val="Compact"/>
              <w:spacing w:after="0"/>
              <w:jc w:val="right"/>
            </w:pPr>
            <w:r>
              <w:t xml:space="preserve">TJ+N</w:t>
            </w:r>
          </w:p>
        </w:tc>
        <w:tc>
          <w:tcPr/>
          <w:p>
            <w:pPr>
              <w:pStyle w:val="Compact"/>
              <w:spacing w:after="0"/>
              <w:jc w:val="right"/>
            </w:pPr>
            <w:r>
              <w:t xml:space="preserve">0.906 (0.90–0.92)</w:t>
            </w:r>
          </w:p>
        </w:tc>
        <w:tc>
          <w:tcPr/>
          <w:p>
            <w:pPr>
              <w:pStyle w:val="Compact"/>
              <w:spacing w:after="0"/>
              <w:jc w:val="right"/>
            </w:pPr>
            <w:r>
              <w:t xml:space="preserve">0/12</w:t>
            </w:r>
          </w:p>
        </w:tc>
        <w:tc>
          <w:tcPr/>
          <w:p>
            <w:pPr>
              <w:pStyle w:val="Compact"/>
              <w:spacing w:after="0"/>
              <w:jc w:val="right"/>
            </w:pPr>
            <w:r>
              <w:t xml:space="preserve">0</w:t>
            </w:r>
          </w:p>
        </w:tc>
        <w:tc>
          <w:tcPr/>
          <w:p>
            <w:pPr>
              <w:pStyle w:val="Compact"/>
              <w:spacing w:after="0"/>
              <w:jc w:val="right"/>
            </w:pPr>
            <w:r>
              <w:t xml:space="preserve">4.00</w:t>
            </w:r>
          </w:p>
        </w:tc>
        <w:tc>
          <w:tcPr/>
          <w:p>
            <w:pPr>
              <w:pStyle w:val="Compact"/>
              <w:spacing w:after="0"/>
              <w:jc w:val="right"/>
            </w:pPr>
            <w:r>
              <w:t xml:space="preserve">1.14</w:t>
            </w:r>
          </w:p>
        </w:tc>
      </w:tr>
      <w:tr>
        <w:tc>
          <w:tcPr/>
          <w:p>
            <w:pPr>
              <w:pStyle w:val="Compact"/>
              <w:spacing w:after="0"/>
              <w:jc w:val="left"/>
            </w:pPr>
            <w:r>
              <w:t xml:space="preserve">SBC</w:t>
            </w:r>
          </w:p>
        </w:tc>
        <w:tc>
          <w:tcPr/>
          <w:p>
            <w:pPr>
              <w:pStyle w:val="Compact"/>
              <w:spacing w:after="0"/>
              <w:jc w:val="right"/>
            </w:pPr>
            <w:r>
              <w:t xml:space="preserve">TJ+</w:t>
            </w:r>
          </w:p>
        </w:tc>
        <w:tc>
          <w:tcPr/>
          <w:p>
            <w:pPr>
              <w:pStyle w:val="Compact"/>
              <w:spacing w:after="0"/>
              <w:jc w:val="right"/>
            </w:pPr>
            <w:r>
              <w:t xml:space="preserve">0.906 (0.90–0.92)</w:t>
            </w:r>
          </w:p>
        </w:tc>
        <w:tc>
          <w:tcPr/>
          <w:p>
            <w:pPr>
              <w:pStyle w:val="Compact"/>
              <w:spacing w:after="0"/>
              <w:jc w:val="right"/>
            </w:pPr>
            <w:r>
              <w:t xml:space="preserve">0/12</w:t>
            </w:r>
          </w:p>
        </w:tc>
        <w:tc>
          <w:tcPr/>
          <w:p>
            <w:pPr>
              <w:pStyle w:val="Compact"/>
              <w:spacing w:after="0"/>
              <w:jc w:val="right"/>
            </w:pPr>
            <w:r>
              <w:t xml:space="preserve">0</w:t>
            </w:r>
          </w:p>
        </w:tc>
        <w:tc>
          <w:tcPr/>
          <w:p>
            <w:pPr>
              <w:pStyle w:val="Compact"/>
              <w:spacing w:after="0"/>
              <w:jc w:val="right"/>
            </w:pPr>
            <w:r>
              <w:t xml:space="preserve">3.87</w:t>
            </w:r>
          </w:p>
        </w:tc>
        <w:tc>
          <w:tcPr/>
          <w:p>
            <w:pPr>
              <w:pStyle w:val="Compact"/>
              <w:spacing w:after="0"/>
              <w:jc w:val="right"/>
            </w:pPr>
            <w:r>
              <w:t xml:space="preserve">1.14</w:t>
            </w:r>
          </w:p>
        </w:tc>
      </w:tr>
      <w:tr>
        <w:tc>
          <w:tcPr/>
          <w:p>
            <w:pPr>
              <w:pStyle w:val="Compact"/>
              <w:spacing w:after="0"/>
              <w:jc w:val="left"/>
            </w:pPr>
            <w:r>
              <w:t xml:space="preserve">SBC</w:t>
            </w:r>
          </w:p>
        </w:tc>
        <w:tc>
          <w:tcPr/>
          <w:p>
            <w:pPr>
              <w:pStyle w:val="Compact"/>
              <w:spacing w:after="0"/>
              <w:jc w:val="right"/>
            </w:pPr>
            <w:r>
              <w:t xml:space="preserve">SCP-T-split-N</w:t>
            </w:r>
          </w:p>
        </w:tc>
        <w:tc>
          <w:tcPr/>
          <w:p>
            <w:pPr>
              <w:pStyle w:val="Compact"/>
              <w:spacing w:after="0"/>
              <w:jc w:val="right"/>
            </w:pPr>
            <w:r>
              <w:t xml:space="preserve">0.941 (0.90–1.00)</w:t>
            </w:r>
          </w:p>
        </w:tc>
        <w:tc>
          <w:tcPr/>
          <w:p>
            <w:pPr>
              <w:pStyle w:val="Compact"/>
              <w:spacing w:after="0"/>
              <w:jc w:val="right"/>
            </w:pPr>
            <w:r>
              <w:t xml:space="preserve">0/12</w:t>
            </w:r>
          </w:p>
        </w:tc>
        <w:tc>
          <w:tcPr/>
          <w:p>
            <w:pPr>
              <w:pStyle w:val="Compact"/>
              <w:spacing w:after="0"/>
              <w:jc w:val="right"/>
            </w:pPr>
            <w:r>
              <w:t xml:space="preserve">25</w:t>
            </w:r>
          </w:p>
        </w:tc>
        <w:tc>
          <w:tcPr/>
          <w:p>
            <w:pPr>
              <w:pStyle w:val="Compact"/>
              <w:spacing w:after="0"/>
              <w:jc w:val="right"/>
            </w:pPr>
            <w:r>
              <w:t xml:space="preserve">4.56</w:t>
            </w:r>
          </w:p>
        </w:tc>
        <w:tc>
          <w:tcPr/>
          <w:p>
            <w:pPr>
              <w:pStyle w:val="Compact"/>
              <w:spacing w:after="0"/>
              <w:jc w:val="right"/>
            </w:pPr>
            <w:r>
              <w:t xml:space="preserve">1.14</w:t>
            </w:r>
          </w:p>
        </w:tc>
      </w:tr>
      <w:tr>
        <w:tc>
          <w:tcPr/>
          <w:p>
            <w:pPr>
              <w:pStyle w:val="Compact"/>
              <w:spacing w:after="0"/>
              <w:jc w:val="left"/>
            </w:pPr>
            <w:r>
              <w:t xml:space="preserve">SBC</w:t>
            </w:r>
          </w:p>
        </w:tc>
        <w:tc>
          <w:tcPr/>
          <w:p>
            <w:pPr>
              <w:pStyle w:val="Compact"/>
              <w:spacing w:after="0"/>
              <w:jc w:val="right"/>
            </w:pPr>
            <w:r>
              <w:t xml:space="preserve">Gauss-LOO</w:t>
            </w:r>
          </w:p>
        </w:tc>
        <w:tc>
          <w:tcPr/>
          <w:p>
            <w:pPr>
              <w:pStyle w:val="Compact"/>
              <w:spacing w:after="0"/>
              <w:jc w:val="right"/>
            </w:pPr>
            <w:r>
              <w:t xml:space="preserve">0.900 (0.89–0.91)</w:t>
            </w:r>
          </w:p>
        </w:tc>
        <w:tc>
          <w:tcPr/>
          <w:p>
            <w:pPr>
              <w:pStyle w:val="Compact"/>
              <w:spacing w:after="0"/>
              <w:jc w:val="right"/>
            </w:pPr>
            <w:r>
              <w:t xml:space="preserve">0/12</w:t>
            </w:r>
          </w:p>
        </w:tc>
        <w:tc>
          <w:tcPr/>
          <w:p>
            <w:pPr>
              <w:pStyle w:val="Compact"/>
              <w:spacing w:after="0"/>
              <w:jc w:val="right"/>
            </w:pPr>
            <w:r>
              <w:t xml:space="preserve">0</w:t>
            </w:r>
          </w:p>
        </w:tc>
        <w:tc>
          <w:tcPr/>
          <w:p>
            <w:pPr>
              <w:pStyle w:val="Compact"/>
              <w:spacing w:after="0"/>
              <w:jc w:val="right"/>
            </w:pPr>
            <w:r>
              <w:t xml:space="preserve">3.85</w:t>
            </w:r>
          </w:p>
        </w:tc>
        <w:tc>
          <w:tcPr/>
          <w:p>
            <w:pPr>
              <w:pStyle w:val="Compact"/>
              <w:spacing w:after="0"/>
              <w:jc w:val="right"/>
            </w:pPr>
            <w:r>
              <w:t xml:space="preserve">1.14</w:t>
            </w:r>
          </w:p>
        </w:tc>
      </w:tr>
      <w:tr>
        <w:tc>
          <w:tcPr/>
          <w:p>
            <w:pPr>
              <w:pStyle w:val="Compact"/>
              <w:spacing w:after="0"/>
              <w:jc w:val="left"/>
            </w:pPr>
            <w:r>
              <w:t xml:space="preserve">SBC</w:t>
            </w:r>
          </w:p>
        </w:tc>
        <w:tc>
          <w:tcPr/>
          <w:p>
            <w:pPr>
              <w:pStyle w:val="Compact"/>
              <w:spacing w:after="0"/>
              <w:jc w:val="right"/>
            </w:pPr>
            <w:r>
              <w:t xml:space="preserve">ASTM-PI</w:t>
            </w:r>
          </w:p>
        </w:tc>
        <w:tc>
          <w:tcPr/>
          <w:p>
            <w:pPr>
              <w:pStyle w:val="Compact"/>
              <w:spacing w:after="0"/>
              <w:jc w:val="right"/>
            </w:pPr>
            <w:r>
              <w:t xml:space="preserve">0.781 (0.74–0.81)</w:t>
            </w:r>
          </w:p>
        </w:tc>
        <w:tc>
          <w:tcPr/>
          <w:p>
            <w:pPr>
              <w:pStyle w:val="Compact"/>
              <w:spacing w:after="0"/>
              <w:jc w:val="right"/>
            </w:pPr>
            <w:r>
              <w:t xml:space="preserve">12/12</w:t>
            </w:r>
          </w:p>
        </w:tc>
        <w:tc>
          <w:tcPr/>
          <w:p>
            <w:pPr>
              <w:pStyle w:val="Compact"/>
              <w:spacing w:after="0"/>
              <w:jc w:val="right"/>
            </w:pPr>
            <w:r>
              <w:t xml:space="preserve">0</w:t>
            </w:r>
          </w:p>
        </w:tc>
        <w:tc>
          <w:tcPr/>
          <w:p>
            <w:pPr>
              <w:pStyle w:val="Compact"/>
              <w:spacing w:after="0"/>
              <w:jc w:val="right"/>
            </w:pPr>
            <w:r>
              <w:t xml:space="preserve">2.66</w:t>
            </w:r>
          </w:p>
        </w:tc>
        <w:tc>
          <w:tcPr/>
          <w:p>
            <w:pPr>
              <w:pStyle w:val="Compact"/>
              <w:spacing w:after="0"/>
              <w:jc w:val="right"/>
            </w:pPr>
            <w:r>
              <w:t xml:space="preserve">1.14</w:t>
            </w:r>
          </w:p>
        </w:tc>
      </w:tr>
      <w:tr>
        <w:tc>
          <w:tcPr/>
          <w:p>
            <w:pPr>
              <w:pStyle w:val="Compact"/>
              <w:spacing w:after="0"/>
              <w:jc w:val="left"/>
            </w:pPr>
            <w:r>
              <w:t xml:space="preserve">SBC</w:t>
            </w:r>
          </w:p>
        </w:tc>
        <w:tc>
          <w:tcPr/>
          <w:p>
            <w:pPr>
              <w:pStyle w:val="Compact"/>
              <w:spacing w:after="0"/>
              <w:jc w:val="right"/>
            </w:pPr>
            <w:r>
              <w:t xml:space="preserve">SCP-S</w:t>
            </w:r>
          </w:p>
        </w:tc>
        <w:tc>
          <w:tcPr/>
          <w:p>
            <w:pPr>
              <w:pStyle w:val="Compact"/>
              <w:spacing w:after="0"/>
              <w:jc w:val="right"/>
            </w:pPr>
            <w:r>
              <w:t xml:space="preserve">0.762 (0.73–0.80)</w:t>
            </w:r>
          </w:p>
        </w:tc>
        <w:tc>
          <w:tcPr/>
          <w:p>
            <w:pPr>
              <w:pStyle w:val="Compact"/>
              <w:spacing w:after="0"/>
              <w:jc w:val="right"/>
            </w:pPr>
            <w:r>
              <w:t xml:space="preserve">12/12</w:t>
            </w:r>
          </w:p>
        </w:tc>
        <w:tc>
          <w:tcPr/>
          <w:p>
            <w:pPr>
              <w:pStyle w:val="Compact"/>
              <w:spacing w:after="0"/>
              <w:jc w:val="right"/>
            </w:pPr>
            <w:r>
              <w:t xml:space="preserve">0</w:t>
            </w:r>
          </w:p>
        </w:tc>
        <w:tc>
          <w:tcPr/>
          <w:p>
            <w:pPr>
              <w:pStyle w:val="Compact"/>
              <w:spacing w:after="0"/>
              <w:jc w:val="right"/>
            </w:pPr>
            <w:r>
              <w:t xml:space="preserve">2.60</w:t>
            </w:r>
          </w:p>
        </w:tc>
        <w:tc>
          <w:tcPr/>
          <w:p>
            <w:pPr>
              <w:pStyle w:val="Compact"/>
              <w:spacing w:after="0"/>
              <w:jc w:val="right"/>
            </w:pPr>
            <w:r>
              <w:t xml:space="preserve">1.14</w:t>
            </w:r>
          </w:p>
        </w:tc>
      </w:tr>
      <w:tr>
        <w:tc>
          <w:tcPr>
            <w:tcBorders>
              <w:bottom w:val="single" w:sz="8" w:color="000000"/>
            </w:tcBorders>
          </w:tcPr>
          <w:p>
            <w:pPr>
              <w:pStyle w:val="Compact"/>
              <w:spacing w:after="0"/>
              <w:jc w:val="left"/>
            </w:pPr>
            <w:r>
              <w:t xml:space="preserve">SBC</w:t>
            </w:r>
          </w:p>
        </w:tc>
        <w:tc>
          <w:tcPr>
            <w:tcBorders>
              <w:bottom w:val="single" w:sz="8" w:color="000000"/>
            </w:tcBorders>
          </w:tcPr>
          <w:p>
            <w:pPr>
              <w:pStyle w:val="Compact"/>
              <w:spacing w:after="0"/>
              <w:jc w:val="right"/>
            </w:pPr>
            <w:r>
              <w:t xml:space="preserve">WCP-S</w:t>
            </w:r>
          </w:p>
        </w:tc>
        <w:tc>
          <w:tcPr>
            <w:tcBorders>
              <w:bottom w:val="single" w:sz="8" w:color="000000"/>
            </w:tcBorders>
          </w:tcPr>
          <w:p>
            <w:pPr>
              <w:pStyle w:val="Compact"/>
              <w:spacing w:after="0"/>
              <w:jc w:val="right"/>
            </w:pPr>
            <w:r>
              <w:t xml:space="preserve">1.000 (1.00–1.00)</w:t>
            </w:r>
          </w:p>
        </w:tc>
        <w:tc>
          <w:tcPr>
            <w:tcBorders>
              <w:bottom w:val="single" w:sz="8" w:color="000000"/>
            </w:tcBorders>
          </w:tcPr>
          <w:p>
            <w:pPr>
              <w:pStyle w:val="Compact"/>
              <w:spacing w:after="0"/>
              <w:jc w:val="right"/>
            </w:pPr>
            <w:r>
              <w:t xml:space="preserve">0/12</w:t>
            </w:r>
          </w:p>
        </w:tc>
        <w:tc>
          <w:tcPr>
            <w:tcBorders>
              <w:bottom w:val="single" w:sz="8" w:color="000000"/>
            </w:tcBorders>
          </w:tcPr>
          <w:p>
            <w:pPr>
              <w:pStyle w:val="Compact"/>
              <w:spacing w:after="0"/>
              <w:jc w:val="right"/>
            </w:pPr>
            <w:r>
              <w:t xml:space="preserve">100</w:t>
            </w:r>
          </w:p>
        </w:tc>
        <w:tc>
          <w:tcPr>
            <w:tcBorders>
              <w:bottom w:val="single" w:sz="8" w:color="000000"/>
            </w:tcBorders>
          </w:tcPr>
          <w:p>
            <w:pPr>
              <w:pStyle w:val="Compact"/>
              <w:spacing w:after="0"/>
              <w:jc w:val="right"/>
            </w:pPr>
            <w:r>
              <w:t xml:space="preserve">4.54</w:t>
            </w:r>
          </w:p>
        </w:tc>
        <w:tc>
          <w:tcPr>
            <w:tcBorders>
              <w:bottom w:val="single" w:sz="8" w:color="000000"/>
            </w:tcBorders>
          </w:tcPr>
          <w:p>
            <w:pPr>
              <w:pStyle w:val="Compact"/>
              <w:spacing w:after="0"/>
              <w:jc w:val="right"/>
            </w:pPr>
            <w:r>
              <w:t xml:space="preserve">1.14</w:t>
            </w:r>
          </w:p>
        </w:tc>
      </w:tr>
    </w:tbl>
    <w:bookmarkEnd w:id="56"/>
    <w:bookmarkStart w:id="57" w:name="label-free-variant-exploratory"/>
    <w:p>
      <w:pPr>
        <w:pStyle w:val="Heading2"/>
      </w:pPr>
      <w:r>
        <w:t xml:space="preserve">4.7. Label-free variant (exploratory)</w:t>
      </w:r>
    </w:p>
    <w:p>
      <w:pPr>
        <w:pStyle w:val="FirstParagraph"/>
      </w:pPr>
      <w:r>
        <w:t xml:space="preserve">The label-free LF-conv interval uses only paired, unlabelled standards. It was not reliable: it under-covered in 20 of 36 paired scenarios at α = 0.10. Its independence assumption between source error and transfer discrepancy is evidently too strong. Reference values for at least a random subset of standards remain necessary for valid intervals.</w:t>
      </w:r>
    </w:p>
    <w:bookmarkEnd w:id="57"/>
    <w:bookmarkStart w:id="58" w:name="X55324eec78cb4e3e7ae077323f55c8bd14b1a14"/>
    <w:p>
      <w:pPr>
        <w:pStyle w:val="Heading2"/>
      </w:pPr>
      <w:r>
        <w:t xml:space="preserve">4.8. Sensitivity to transfer and model settings</w:t>
      </w:r>
    </w:p>
    <w:p>
      <w:pPr>
        <w:pStyle w:val="FirstParagraph"/>
      </w:pPr>
      <w:r>
        <w:t xml:space="preserve">Changing the PDS window (3, 7 or 11 channels instead of the pre-registered 5) or the number of latent variables (±2) changed point accuracy considerably. For example, the mean corn RMSEP with</w:t>
      </w:r>
      <w:r>
        <w:t xml:space="preserve"> </w:t>
      </w:r>
      <w:r>
        <w:rPr>
          <w:iCs/>
          <w:i/>
        </w:rPr>
        <w:t xml:space="preserve">m</w:t>
      </w:r>
      <w:r>
        <w:t xml:space="preserve"> </w:t>
      </w:r>
      <w:r>
        <w:t xml:space="preserve">= 15 was 0.281 with the pre-registered 5-channel window and 0.237 (3 channels), 0.348 (7 channels), 0.503 (11 channels) with the other windows. The pre-registered window was thus not the most accurate choice for corn; it was nevertheless kept, since it was fixed before any target data were analysed. Interval validity was unaffected: TJ+N under-covered in 0 of 27 sensitivity scenarios (coverage 0.898–0.972; Table S3). The source-calibrated intervals under-covered in 48 of 54 cases. Their validity also depended on the setting. For example, with an 11-channel PDS window the tablet-assay coverage of ASTM-PI and SCP-S fell to 0.87 and 0.84. Because TJ+ calibrates on the deployed pipeline itself, poorer transfer settings are reflected in wider, but still valid, intervals.</w:t>
      </w:r>
    </w:p>
    <w:bookmarkEnd w:id="58"/>
    <w:bookmarkStart w:id="65" w:name="error-analysis"/>
    <w:p>
      <w:pPr>
        <w:pStyle w:val="Heading2"/>
      </w:pPr>
      <w:r>
        <w:t xml:space="preserve">4.9. Error analysis</w:t>
      </w:r>
    </w:p>
    <w:p>
      <w:pPr>
        <w:pStyle w:val="FirstParagraph"/>
      </w:pPr>
      <w:r>
        <w:t xml:space="preserve">Misses of the conventional intervals were associated with spectra that the source model reconstructed poorly after transfer (Fig. 8). On corn, the miss rate of ASTM-PI was 0.76 in the lowest and 0.86 in the highest Q-residual quintile of the test spectra. Gauss-LOO, which uses one width for all samples, was valid on average but missed more often in the highest Q quintile: 0.12 (corn), 0.17 (tablets) and 0.13 (mango), against 0.04, 0.10 and 0.10 for TJ+N, for a nominal 0.10. The difficulty normalisation thus moves coverage to where it is needed. A large Q residual after transfer is in any case a useful warning flag for an individual prediction.</w:t>
      </w:r>
    </w:p>
    <w:p>
      <w:pPr>
        <w:pStyle w:val="BodyText"/>
      </w:pPr>
      <w:r>
        <w:t xml:space="preserve">Coverage is a property of the procedure, not of one realised set of standards. Across repetitions, the 5th percentile of per-repetition coverage of TJ+N at</w:t>
      </w:r>
      <w:r>
        <w:t xml:space="preserve"> </w:t>
      </w:r>
      <w:r>
        <w:rPr>
          <w:iCs/>
          <w:i/>
        </w:rPr>
        <w:t xml:space="preserve">m</w:t>
      </w:r>
      <w:r>
        <w:t xml:space="preserve"> </w:t>
      </w:r>
      <w:r>
        <w:t xml:space="preserve">= 20 was 0.70–0.81 (Fig. 9). An unlucky draw of 20 standards can therefore give a markedly lower realised coverage on a given test batch. This variability, intrinsic to marginal guarantees with small calibration sets, shrinks as</w:t>
      </w:r>
      <w:r>
        <w:t xml:space="preserve"> </w:t>
      </w:r>
      <w:r>
        <w:rPr>
          <w:iCs/>
          <w:i/>
        </w:rPr>
        <w:t xml:space="preserve">m</w:t>
      </w:r>
      <w:r>
        <w:t xml:space="preserve"> </w:t>
      </w:r>
      <w:r>
        <w:t xml:space="preserve">grows (0.82–0.84 at</w:t>
      </w:r>
      <w:r>
        <w:t xml:space="preserve"> </w:t>
      </w:r>
      <w:r>
        <w:rPr>
          <w:iCs/>
          <w:i/>
        </w:rPr>
        <w:t xml:space="preserve">m</w:t>
      </w:r>
      <w:r>
        <w:t xml:space="preserve"> </w:t>
      </w:r>
      <w:r>
        <w:t xml:space="preserve">= 50 for tablets and mango). Put differently, the share of repetitions whose realised coverage on the test set fell below 0.80 was corn m = 20: 8%; tablets m = 20: 6%; tablets m = 50: 2%; mango m = 20: 10%; mango m = 50: 2%. Users who need a guarantee for their particular set of standards (training-conditional coverage) should use more standards or a more conservative α.</w:t>
      </w:r>
    </w:p>
    <w:p>
      <w:pPr>
        <w:pStyle w:val="CaptionedFigure"/>
        <w:keepNext/>
        <w:jc w:val="center"/>
      </w:pPr>
      <w:r>
        <w:drawing>
          <wp:inline>
            <wp:extent cx="5753100" cy="2193570"/>
            <wp:effectExtent b="0" l="0" r="0" t="0"/>
            <wp:docPr descr="Fig. 8. Miss rate (1 − coverage) by Q-residual quintile of the test spectra (first 100 repetitions; corn m = 15, tablets assay and mango m = 20). Horizontal line: nominal miss rate 0.10." title="" id="60" name="Picture"/>
            <a:graphic>
              <a:graphicData uri="http://schemas.openxmlformats.org/drawingml/2006/picture">
                <pic:pic>
                  <pic:nvPicPr>
                    <pic:cNvPr descr="figures/fig8_error_analysis.png" id="61" name="Picture"/>
                    <pic:cNvPicPr>
                      <a:picLocks noChangeArrowheads="1" noChangeAspect="1"/>
                    </pic:cNvPicPr>
                  </pic:nvPicPr>
                  <pic:blipFill>
                    <a:blip r:embed="rId59"/>
                    <a:stretch>
                      <a:fillRect/>
                    </a:stretch>
                  </pic:blipFill>
                  <pic:spPr bwMode="auto">
                    <a:xfrm>
                      <a:off x="0" y="0"/>
                      <a:ext cx="5753100" cy="2193570"/>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Miss rate (1 − coverage) by Q-residual quintile of the test spectra (first 100 repetitions; corn m = 15, tablets assay and mango m = 20). Horizontal line: nominal miss rate 0.10.</w:t>
      </w:r>
    </w:p>
    <w:p>
      <w:pPr>
        <w:pStyle w:val="CaptionedFigure"/>
        <w:keepNext/>
        <w:jc w:val="center"/>
      </w:pPr>
      <w:r>
        <w:drawing>
          <wp:inline>
            <wp:extent cx="5753100" cy="2055635"/>
            <wp:effectExtent b="0" l="0" r="0" t="0"/>
            <wp:docPr descr="Fig. 9. Distribution over repetitions of the realised test-set coverage for one scenario per data set (violins; dots = mean). The guarantee concerns the mean; individual draws of standards vary." title="" id="63" name="Picture"/>
            <a:graphic>
              <a:graphicData uri="http://schemas.openxmlformats.org/drawingml/2006/picture">
                <pic:pic>
                  <pic:nvPicPr>
                    <pic:cNvPr descr="figures/fig10_coverage_distribution.png" id="64" name="Picture"/>
                    <pic:cNvPicPr>
                      <a:picLocks noChangeArrowheads="1" noChangeAspect="1"/>
                    </pic:cNvPicPr>
                  </pic:nvPicPr>
                  <pic:blipFill>
                    <a:blip r:embed="rId62"/>
                    <a:stretch>
                      <a:fillRect/>
                    </a:stretch>
                  </pic:blipFill>
                  <pic:spPr bwMode="auto">
                    <a:xfrm>
                      <a:off x="0" y="0"/>
                      <a:ext cx="5753100" cy="2055635"/>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Distribution over repetitions of the realised test-set coverage for one scenario per data set (violins; dots = mean). The guarantee concerns the mean; individual draws of standards vary.</w:t>
      </w:r>
    </w:p>
    <w:bookmarkEnd w:id="65"/>
    <w:bookmarkStart w:id="66" w:name="computational-cost-rq6"/>
    <w:p>
      <w:pPr>
        <w:pStyle w:val="Heading2"/>
      </w:pPr>
      <w:r>
        <w:t xml:space="preserve">4.10. Computational cost (RQ6)</w:t>
      </w:r>
    </w:p>
    <w:p>
      <w:pPr>
        <w:pStyle w:val="FirstParagraph"/>
      </w:pPr>
      <w:r>
        <w:t xml:space="preserve">TJ+N requires</w:t>
      </w:r>
      <w:r>
        <w:t xml:space="preserve"> </w:t>
      </w:r>
      <w:r>
        <w:rPr>
          <w:iCs/>
          <w:i/>
        </w:rPr>
        <w:t xml:space="preserve">m</w:t>
      </w:r>
      <w:r>
        <w:t xml:space="preserve"> </w:t>
      </w:r>
      <w:r>
        <w:t xml:space="preserve">leave-one-out refits of the transfer step (plus five refits for the optional CV+ comparison included in our timing). On a single CPU core, one transfer fit with prediction took 4.6 ms (corn,</w:t>
      </w:r>
      <w:r>
        <w:t xml:space="preserve"> </w:t>
      </w:r>
      <w:r>
        <w:rPr>
          <w:iCs/>
          <w:i/>
        </w:rPr>
        <w:t xml:space="preserve">m</w:t>
      </w:r>
      <w:r>
        <w:t xml:space="preserve"> </w:t>
      </w:r>
      <w:r>
        <w:t xml:space="preserve">= 20), 24.3 ms (tablets,</w:t>
      </w:r>
      <w:r>
        <w:t xml:space="preserve"> </w:t>
      </w:r>
      <w:r>
        <w:rPr>
          <w:iCs/>
          <w:i/>
        </w:rPr>
        <w:t xml:space="preserve">m</w:t>
      </w:r>
      <w:r>
        <w:t xml:space="preserve"> </w:t>
      </w:r>
      <w:r>
        <w:t xml:space="preserve">= 50, 410 test spectra) and 0.4 ms (mango SBC). The complete TJ+N interval computation took 0.15 s, 2.79 s and 0.06 s, respectively, with peak memory below 15 MB (Fig. S3). The source model is never re-fitted. Measured over</w:t>
      </w:r>
      <w:r>
        <w:t xml:space="preserve"> </w:t>
      </w:r>
      <w:r>
        <w:rPr>
          <w:iCs/>
          <w:i/>
        </w:rPr>
        <w:t xml:space="preserve">m</w:t>
      </w:r>
      <w:r>
        <w:t xml:space="preserve"> </w:t>
      </w:r>
      <w:r>
        <w:t xml:space="preserve">= 10–50, the cost of TJ+N grew approximately linearly with the number of standards (corn: 0.10 s at m = 10 to 0.15 s at m = 20; tablets: 0.80 s at m = 10 to 2.56 s at m = 50; mango: 0.02 s at m = 10 to 0.06 s at m = 50; Supplementary Table S7). These timings include the five CV+ refits and are thus upper bounds.</w:t>
      </w:r>
    </w:p>
    <w:p>
      <w:pPr>
        <w:pStyle w:val="BodyText"/>
      </w:pPr>
      <w:r>
        <w:rPr>
          <w:bCs/>
          <w:b/>
        </w:rPr>
        <w:t xml:space="preserve">Deployment.</w:t>
      </w:r>
    </w:p>
    <w:p>
      <w:pPr>
        <w:numPr>
          <w:ilvl w:val="0"/>
          <w:numId w:val="1024"/>
        </w:numPr>
      </w:pPr>
      <w:r>
        <w:t xml:space="preserve">The</w:t>
      </w:r>
      <w:r>
        <w:t xml:space="preserve"> </w:t>
      </w:r>
      <w:r>
        <w:rPr>
          <w:iCs/>
          <w:i/>
        </w:rPr>
        <w:t xml:space="preserve">m</w:t>
      </w:r>
      <w:r>
        <w:t xml:space="preserve"> </w:t>
      </w:r>
      <w:r>
        <w:t xml:space="preserve">leave-one-out transfers are fitted once, when the instrument is standardised.</w:t>
      </w:r>
    </w:p>
    <w:p>
      <w:pPr>
        <w:numPr>
          <w:ilvl w:val="0"/>
          <w:numId w:val="1024"/>
        </w:numPr>
      </w:pPr>
      <w:r>
        <w:t xml:space="preserve">For each routine spectrum, TJ+N then requires</w:t>
      </w:r>
      <w:r>
        <w:t xml:space="preserve"> </w:t>
      </w:r>
      <w:r>
        <w:rPr>
          <w:iCs/>
          <w:i/>
        </w:rPr>
        <w:t xml:space="preserve">m</w:t>
      </w:r>
      <w:r>
        <w:t xml:space="preserve"> </w:t>
      </w:r>
      <w:r>
        <w:t xml:space="preserve">applications of a stored transfer map and</w:t>
      </w:r>
      <w:r>
        <w:t xml:space="preserve"> </w:t>
      </w:r>
      <w:r>
        <w:rPr>
          <w:iCs/>
          <w:i/>
        </w:rPr>
        <w:t xml:space="preserve">m</w:t>
      </w:r>
      <w:r>
        <w:t xml:space="preserve"> </w:t>
      </w:r>
      <w:r>
        <w:t xml:space="preserve">predictions of the source model. For PDS, each map is a</w:t>
      </w:r>
      <w:r>
        <w:t xml:space="preserve"> </w:t>
      </w:r>
      <w:r>
        <w:rPr>
          <w:iCs/>
          <w:i/>
        </w:rPr>
        <w:t xml:space="preserve">p</w:t>
      </w:r>
      <w:r>
        <w:t xml:space="preserve"> </w:t>
      </w:r>
      <w:r>
        <w:t xml:space="preserve">× 5 coefficient array (about 28 kB for 700 channels); for SBC, it is two numbers.</w:t>
      </w:r>
    </w:p>
    <w:p>
      <w:pPr>
        <w:numPr>
          <w:ilvl w:val="0"/>
          <w:numId w:val="1024"/>
        </w:numPr>
      </w:pPr>
      <w:r>
        <w:t xml:space="preserve">Energy use is negligible at these scales.</w:t>
      </w:r>
    </w:p>
    <w:p>
      <w:pPr>
        <w:numPr>
          <w:ilvl w:val="0"/>
          <w:numId w:val="1024"/>
        </w:numPr>
      </w:pPr>
      <w:r>
        <w:t xml:space="preserve">For computationally expensive adaptation methods, for example domain-adaptive PLS with hyperparameter search or neural domain adaptation, the five-fold CV+ variant reduces the cost to five refits. It remained valid in all scenarios, at the price of somewhat wider intervals (§4.4).</w:t>
      </w:r>
    </w:p>
    <w:p>
      <w:pPr>
        <w:pStyle w:val="FirstParagraph"/>
      </w:pPr>
      <w:r>
        <w:t xml:space="preserve">The added cost is therefore negligible for routine laboratory use.</w:t>
      </w:r>
    </w:p>
    <w:bookmarkEnd w:id="66"/>
    <w:bookmarkStart w:id="67" w:name="Xbee438485c0f551ce74fd4f49e5841838c057f4"/>
    <w:p>
      <w:pPr>
        <w:pStyle w:val="Heading2"/>
      </w:pPr>
      <w:r>
        <w:t xml:space="preserve">4.11. Relation to analytical measurement uncertainty</w:t>
      </w:r>
    </w:p>
    <w:p>
      <w:pPr>
        <w:pStyle w:val="FirstParagraph"/>
      </w:pPr>
      <w:r>
        <w:t xml:space="preserve">A TJ+ interval is a</w:t>
      </w:r>
      <w:r>
        <w:t xml:space="preserve"> </w:t>
      </w:r>
      <w:r>
        <w:rPr>
          <w:iCs/>
          <w:i/>
        </w:rPr>
        <w:t xml:space="preserve">prediction</w:t>
      </w:r>
      <w:r>
        <w:t xml:space="preserve"> </w:t>
      </w:r>
      <w:r>
        <w:t xml:space="preserve">interval for the reference value of an individual routine sample. Its target is the value that the reference method would return. Its width therefore reflects, jointly, the error of the reference method, spectral noise, model error and the error introduced by the transfer. All of these enter the leave-one-standard-out residuals.</w:t>
      </w:r>
    </w:p>
    <w:p>
      <w:pPr>
        <w:pStyle w:val="BodyText"/>
      </w:pPr>
      <w:r>
        <w:t xml:space="preserve">It is not a GUM-type uncertainty budget, in which components are estimated separately and propagated. Nor is it conditional on the particular sample: the 1−2α (empirically ≈1−α) statement concerns samples drawn from the routine population. Error-propagation approaches to multivariate prediction uncertainty</w:t>
      </w:r>
      <w:r>
        <w:t xml:space="preserve"> </w:t>
      </w:r>
      <w:r>
        <w:t xml:space="preserve">[13–15]</w:t>
      </w:r>
      <w:r>
        <w:t xml:space="preserve"> </w:t>
      </w:r>
      <w:r>
        <w:t xml:space="preserve">give sample-specific uncertainties, but they rest on a calibration error model that, as shown in §4.2, no longer holds after transfer.</w:t>
      </w:r>
    </w:p>
    <w:p>
      <w:pPr>
        <w:pStyle w:val="BodyText"/>
      </w:pPr>
      <w:r>
        <w:t xml:space="preserve">TJ+N is complementary. It provides an empirically calibrated coverage statement for the transferred method, it can be used to check whether a parametric uncertainty statement still holds after transfer, and, through σ(x), it retains sample-specific widths. Where the reference-method repeatability is known, comparing it with the TJ+N interval width shows how much of the uncertainty after transfer stems from the NIR method itself.</w:t>
      </w:r>
    </w:p>
    <w:bookmarkEnd w:id="67"/>
    <w:bookmarkStart w:id="68" w:name="practical-recommendations"/>
    <w:p>
      <w:pPr>
        <w:pStyle w:val="Heading2"/>
      </w:pPr>
      <w:r>
        <w:t xml:space="preserve">4.12. Practical recommendations</w:t>
      </w:r>
    </w:p>
    <w:p>
      <w:pPr>
        <w:numPr>
          <w:ilvl w:val="0"/>
          <w:numId w:val="1025"/>
        </w:numPr>
      </w:pPr>
      <w:r>
        <w:t xml:space="preserve">Do not reuse source-domain interval formulas after transfer without checking them on target data.</w:t>
      </w:r>
    </w:p>
    <w:p>
      <w:pPr>
        <w:numPr>
          <w:ilvl w:val="0"/>
          <w:numId w:val="1025"/>
        </w:numPr>
      </w:pPr>
      <w:r>
        <w:t xml:space="preserve">Draw at least part of the transfer standards at random from the routine target population, and obtain their reference values.</w:t>
      </w:r>
    </w:p>
    <w:p>
      <w:pPr>
        <w:numPr>
          <w:ilvl w:val="0"/>
          <w:numId w:val="1025"/>
        </w:numPr>
      </w:pPr>
      <w:r>
        <w:t xml:space="preserve">Use TJ+ intervals: re-fit the transfer with each standard left out. This needs</w:t>
      </w:r>
      <w:r>
        <w:t xml:space="preserve"> </w:t>
      </w:r>
      <w:r>
        <w:rPr>
          <w:iCs/>
          <w:i/>
        </w:rPr>
        <w:t xml:space="preserve">m</w:t>
      </w:r>
      <w:r>
        <w:t xml:space="preserve"> </w:t>
      </w:r>
      <w:r>
        <w:t xml:space="preserve">≥ 9 for 90% and</w:t>
      </w:r>
      <w:r>
        <w:t xml:space="preserve"> </w:t>
      </w:r>
      <w:r>
        <w:rPr>
          <w:iCs/>
          <w:i/>
        </w:rPr>
        <w:t xml:space="preserve">m</w:t>
      </w:r>
      <w:r>
        <w:t xml:space="preserve"> </w:t>
      </w:r>
      <w:r>
        <w:t xml:space="preserve">≥ 19 for 95% intervals.</w:t>
      </w:r>
    </w:p>
    <w:p>
      <w:pPr>
        <w:numPr>
          <w:ilvl w:val="0"/>
          <w:numId w:val="1025"/>
        </w:numPr>
      </w:pPr>
      <w:r>
        <w:t xml:space="preserve">Report the leave-one-standard-out RMSE as well. Gaussian intervals built from it are a reasonable approximation at 90% but can under-cover at 95%.</w:t>
      </w:r>
    </w:p>
    <w:p>
      <w:pPr>
        <w:numPr>
          <w:ilvl w:val="0"/>
          <w:numId w:val="1025"/>
        </w:numPr>
      </w:pPr>
      <w:r>
        <w:t xml:space="preserve">Flag predictions with large Q residuals after transfer. Re-check coverage periodically on a few fresh reference samples, because drift after standardisation invalidates any interval calibrated at standardisation time.</w:t>
      </w:r>
    </w:p>
    <w:bookmarkEnd w:id="68"/>
    <w:bookmarkEnd w:id="69"/>
    <w:bookmarkStart w:id="70" w:name="limitations"/>
    <w:p>
      <w:pPr>
        <w:pStyle w:val="Heading1"/>
      </w:pPr>
      <w:r>
        <w:t xml:space="preserve">5. Limitations</w:t>
      </w:r>
    </w:p>
    <w:p>
      <w:pPr>
        <w:numPr>
          <w:ilvl w:val="0"/>
          <w:numId w:val="1026"/>
        </w:numPr>
      </w:pPr>
      <w:r>
        <w:rPr>
          <w:bCs/>
          <w:b/>
        </w:rPr>
        <w:t xml:space="preserve">Reference values for the standards.</w:t>
      </w:r>
    </w:p>
    <w:p>
      <w:pPr>
        <w:numPr>
          <w:ilvl w:val="1"/>
          <w:numId w:val="1027"/>
        </w:numPr>
      </w:pPr>
      <w:r>
        <w:t xml:space="preserve">TJ+ needs the reference values of the transfer standards.</w:t>
      </w:r>
    </w:p>
    <w:p>
      <w:pPr>
        <w:numPr>
          <w:ilvl w:val="1"/>
          <w:numId w:val="1027"/>
        </w:numPr>
      </w:pPr>
      <w:r>
        <w:t xml:space="preserve">SBC needs them anyway, and PDS/DS standards are usually calibration samples with known values.</w:t>
      </w:r>
    </w:p>
    <w:p>
      <w:pPr>
        <w:numPr>
          <w:ilvl w:val="1"/>
          <w:numId w:val="1027"/>
        </w:numPr>
      </w:pPr>
      <w:r>
        <w:t xml:space="preserve">When reference values are unavailable, only the exploratory label-free variant applies, and it carries no guarantee and under-covered in our tests (§4.7).</w:t>
      </w:r>
    </w:p>
    <w:p>
      <w:pPr>
        <w:numPr>
          <w:ilvl w:val="0"/>
          <w:numId w:val="1026"/>
        </w:numPr>
      </w:pPr>
      <w:r>
        <w:rPr>
          <w:bCs/>
          <w:b/>
        </w:rPr>
        <w:t xml:space="preserve">How the standards are selected.</w:t>
      </w:r>
    </w:p>
    <w:p>
      <w:pPr>
        <w:numPr>
          <w:ilvl w:val="1"/>
          <w:numId w:val="1028"/>
        </w:numPr>
      </w:pPr>
      <w:r>
        <w:t xml:space="preserve">The guarantee assumes the standards are a random sample of the target population, exchangeable with future samples.</w:t>
      </w:r>
    </w:p>
    <w:p>
      <w:pPr>
        <w:numPr>
          <w:ilvl w:val="1"/>
          <w:numId w:val="1028"/>
        </w:numPr>
      </w:pPr>
      <w:r>
        <w:t xml:space="preserve">Kennard–Stone and other representative designs violate this assumption. Kennard–Stone selection made TJ+N conservative in our tests (§4.5), but it is not covered by Proposition 1.</w:t>
      </w:r>
    </w:p>
    <w:p>
      <w:pPr>
        <w:numPr>
          <w:ilvl w:val="1"/>
          <w:numId w:val="1028"/>
        </w:numPr>
      </w:pPr>
      <w:r>
        <w:t xml:space="preserve">In practice, a random subset of standards can be reserved for interval calibration.</w:t>
      </w:r>
    </w:p>
    <w:p>
      <w:pPr>
        <w:numPr>
          <w:ilvl w:val="0"/>
          <w:numId w:val="1026"/>
        </w:numPr>
      </w:pPr>
      <w:r>
        <w:rPr>
          <w:bCs/>
          <w:b/>
        </w:rPr>
        <w:t xml:space="preserve">Marginal, not conditional, guarantee.</w:t>
      </w:r>
    </w:p>
    <w:p>
      <w:pPr>
        <w:numPr>
          <w:ilvl w:val="1"/>
          <w:numId w:val="1029"/>
        </w:numPr>
      </w:pPr>
      <w:r>
        <w:t xml:space="preserve">Coverage holds on average over the draw of standards and future samples.</w:t>
      </w:r>
    </w:p>
    <w:p>
      <w:pPr>
        <w:numPr>
          <w:ilvl w:val="1"/>
          <w:numId w:val="1029"/>
        </w:numPr>
      </w:pPr>
      <w:r>
        <w:t xml:space="preserve">With small</w:t>
      </w:r>
      <w:r>
        <w:t xml:space="preserve"> </w:t>
      </w:r>
      <w:r>
        <w:rPr>
          <w:iCs/>
          <w:i/>
        </w:rPr>
        <w:t xml:space="preserve">m</w:t>
      </w:r>
      <w:r>
        <w:t xml:space="preserve">, the realised coverage for one particular set of standards varies (Fig. 9). Conditional coverage across difficulty strata is only approximately balanced (Fig. 6).</w:t>
      </w:r>
    </w:p>
    <w:p>
      <w:pPr>
        <w:numPr>
          <w:ilvl w:val="1"/>
          <w:numId w:val="1029"/>
        </w:numPr>
      </w:pPr>
      <w:r>
        <w:t xml:space="preserve">The worst-case bound is 1−2α, although the observed coverage was close to or above 1−α.</w:t>
      </w:r>
    </w:p>
    <w:p>
      <w:pPr>
        <w:numPr>
          <w:ilvl w:val="0"/>
          <w:numId w:val="1026"/>
        </w:numPr>
      </w:pPr>
      <w:r>
        <w:rPr>
          <w:bCs/>
          <w:b/>
        </w:rPr>
        <w:t xml:space="preserve">Scope of the evidence.</w:t>
      </w:r>
    </w:p>
    <w:p>
      <w:pPr>
        <w:numPr>
          <w:ilvl w:val="1"/>
          <w:numId w:val="1030"/>
        </w:numPr>
      </w:pPr>
      <w:r>
        <w:t xml:space="preserve">Three public NIR data sets were used, one of them small (corn,</w:t>
      </w:r>
      <w:r>
        <w:t xml:space="preserve"> </w:t>
      </w:r>
      <w:r>
        <w:rPr>
          <w:iCs/>
          <w:i/>
        </w:rPr>
        <w:t xml:space="preserve">n</w:t>
      </w:r>
      <w:r>
        <w:t xml:space="preserve"> </w:t>
      </w:r>
      <w:r>
        <w:t xml:space="preserve">= 80). They cover two instrument pairs for corn, one for tablets, one season shift and three handheld-instrument pairs for mango.</w:t>
      </w:r>
    </w:p>
    <w:p>
      <w:pPr>
        <w:numPr>
          <w:ilvl w:val="1"/>
          <w:numId w:val="1030"/>
        </w:numPr>
      </w:pPr>
      <w:r>
        <w:t xml:space="preserve">Coverage refers to the samples in these data sets. Test samples recur across repetitions, so the results characterise the procedure on these populations, not on all possible samples.</w:t>
      </w:r>
    </w:p>
    <w:p>
      <w:pPr>
        <w:numPr>
          <w:ilvl w:val="1"/>
          <w:numId w:val="1030"/>
        </w:numPr>
      </w:pPr>
      <w:r>
        <w:t xml:space="preserve">The noise, wavelength-shift and source-size perturbations are simulated.</w:t>
      </w:r>
    </w:p>
    <w:p>
      <w:pPr>
        <w:numPr>
          <w:ilvl w:val="1"/>
          <w:numId w:val="1030"/>
        </w:numPr>
      </w:pPr>
      <w:r>
        <w:t xml:space="preserve">Other techniques (Raman, MIR), non-linear or deep domain-adaptation transfers, and process data streams with drift were not tested.</w:t>
      </w:r>
    </w:p>
    <w:p>
      <w:pPr>
        <w:numPr>
          <w:ilvl w:val="1"/>
          <w:numId w:val="1030"/>
        </w:numPr>
      </w:pPr>
      <w:r>
        <w:t xml:space="preserve">Probabilistic alternatives that model the transfer jointly (for example Gaussian-process or Bayesian PLS models) were not compared; their intervals depend on model assumptions that would themselves need validation after transfer.</w:t>
      </w:r>
    </w:p>
    <w:p>
      <w:pPr>
        <w:numPr>
          <w:ilvl w:val="1"/>
          <w:numId w:val="1030"/>
        </w:numPr>
      </w:pPr>
      <w:r>
        <w:t xml:space="preserve">Very high confidence levels are expensive: at α = 0.01, a bounded TJ+ interval requires</w:t>
      </w:r>
      <w:r>
        <w:t xml:space="preserve"> </w:t>
      </w:r>
      <w:r>
        <w:rPr>
          <w:iCs/>
          <w:i/>
        </w:rPr>
        <w:t xml:space="preserve">m</w:t>
      </w:r>
      <w:r>
        <w:t xml:space="preserve"> </w:t>
      </w:r>
      <w:r>
        <w:t xml:space="preserve">≥ 99 standards.</w:t>
      </w:r>
    </w:p>
    <w:p>
      <w:pPr>
        <w:numPr>
          <w:ilvl w:val="0"/>
          <w:numId w:val="1026"/>
        </w:numPr>
      </w:pPr>
      <w:r>
        <w:rPr>
          <w:bCs/>
          <w:b/>
        </w:rPr>
        <w:t xml:space="preserve">A simple competitor.</w:t>
      </w:r>
      <w:r>
        <w:t xml:space="preserve"> </w:t>
      </w:r>
      <w:r>
        <w:t xml:space="preserve">Gaussian intervals built from leave-one-standard-out residuals (Gauss-LOO) were often as efficient as TJ+N, and in some scenarios more so (§4.3). The advantage of TJ+N is its distribution-free guarantee and its behaviour under heavy-tailed or heteroscedastic errors, not uniformly narrower intervals.</w:t>
      </w:r>
    </w:p>
    <w:p>
      <w:pPr>
        <w:numPr>
          <w:ilvl w:val="0"/>
          <w:numId w:val="1026"/>
        </w:numPr>
      </w:pPr>
      <w:r>
        <w:rPr>
          <w:bCs/>
          <w:b/>
        </w:rPr>
        <w:t xml:space="preserve">Difficulty normalisation.</w:t>
      </w:r>
      <w:r>
        <w:t xml:space="preserve"> </w:t>
      </w:r>
      <w:r>
        <w:t xml:space="preserve">The pre-registered σ(x), built from T² and Q, improved efficiency and conditional coverage in most scenarios, but not uniformly. On corn it over-covered difficult samples, and a T²-only variant was more balanced there. That variant was identified</w:t>
      </w:r>
      <w:r>
        <w:t xml:space="preserve"> </w:t>
      </w:r>
      <w:r>
        <w:rPr>
          <w:iCs/>
          <w:i/>
        </w:rPr>
        <w:t xml:space="preserve">post hoc</w:t>
      </w:r>
      <w:r>
        <w:t xml:space="preserve"> </w:t>
      </w:r>
      <w:r>
        <w:t xml:space="preserve">and needs confirmation on independent data.</w:t>
      </w:r>
    </w:p>
    <w:p>
      <w:pPr>
        <w:numPr>
          <w:ilvl w:val="0"/>
          <w:numId w:val="1026"/>
        </w:numPr>
      </w:pPr>
      <w:r>
        <w:rPr>
          <w:bCs/>
          <w:b/>
        </w:rPr>
        <w:t xml:space="preserve">Drift after standardisation.</w:t>
      </w:r>
      <w:r>
        <w:t xml:space="preserve"> </w:t>
      </w:r>
      <w:r>
        <w:t xml:space="preserve">A wavelength shift of the routine spectra after the transfer had been fitted invalidated the intervals of all methods, including TJ+N. This happened for a one-channel shift and, for some responses, already for a quarter-channel shift (§4.5). The guarantee presupposes a stable target instrument between standardisation and use.</w:t>
      </w:r>
    </w:p>
    <w:bookmarkEnd w:id="70"/>
    <w:bookmarkStart w:id="71" w:name="conclusions"/>
    <w:p>
      <w:pPr>
        <w:pStyle w:val="Heading1"/>
      </w:pPr>
      <w:r>
        <w:t xml:space="preserve">6. Conclusions</w:t>
      </w:r>
    </w:p>
    <w:p>
      <w:pPr>
        <w:pStyle w:val="FirstParagraph"/>
      </w:pPr>
      <w:r>
        <w:t xml:space="preserve">Prediction intervals for calibrations moved to a new instrument or season should not be calibrated on source-domain data. In our benchmark, the classical parametric interval, source split conformal prediction and covariate-shift-weighted conformal prediction all under-covered after transfer, sometimes severely.</w:t>
      </w:r>
    </w:p>
    <w:p>
      <w:pPr>
        <w:pStyle w:val="BodyText"/>
      </w:pPr>
      <w:r>
        <w:t xml:space="preserve">The transfer jackknife+ re-fits only the transfer step in a leave-one-standard-out loop. It thereby reuses the transfer standards that calibration transfer already requires, and gives distribution-free intervals with a finite-sample guarantee. Its intervals were valid across instruments, properties, shift types and model classes whenever its assumptions held. They were bounded with far fewer standards than the valid alternative that splits the standards. The extra cost is</w:t>
      </w:r>
      <w:r>
        <w:t xml:space="preserve"> </w:t>
      </w:r>
      <w:r>
        <w:rPr>
          <w:iCs/>
          <w:i/>
        </w:rPr>
        <w:t xml:space="preserve">m</w:t>
      </w:r>
      <w:r>
        <w:t xml:space="preserve"> </w:t>
      </w:r>
      <w:r>
        <w:t xml:space="preserve">refits of the transfer step, which took seconds or less in all cases studied. No interval method, TJ+N included, protects against drift that occurs after standardisation; it must be monitored.</w:t>
      </w:r>
    </w:p>
    <w:p>
      <w:pPr>
        <w:pStyle w:val="BodyText"/>
      </w:pPr>
      <w:r>
        <w:t xml:space="preserve">We recommend:</w:t>
      </w:r>
    </w:p>
    <w:p>
      <w:pPr>
        <w:numPr>
          <w:ilvl w:val="0"/>
          <w:numId w:val="1031"/>
        </w:numPr>
      </w:pPr>
      <w:r>
        <w:t xml:space="preserve">drawing at least a random subset of transfer standards from the target population;</w:t>
      </w:r>
    </w:p>
    <w:p>
      <w:pPr>
        <w:numPr>
          <w:ilvl w:val="0"/>
          <w:numId w:val="1031"/>
        </w:numPr>
      </w:pPr>
      <w:r>
        <w:t xml:space="preserve">using</w:t>
      </w:r>
      <w:r>
        <w:t xml:space="preserve"> </w:t>
      </w:r>
      <w:r>
        <w:rPr>
          <w:iCs/>
          <w:i/>
        </w:rPr>
        <w:t xml:space="preserve">m</w:t>
      </w:r>
      <w:r>
        <w:t xml:space="preserve"> </w:t>
      </w:r>
      <w:r>
        <w:t xml:space="preserve">≥ 9 (α = 0.10) or</w:t>
      </w:r>
      <w:r>
        <w:t xml:space="preserve"> </w:t>
      </w:r>
      <w:r>
        <w:rPr>
          <w:iCs/>
          <w:i/>
        </w:rPr>
        <w:t xml:space="preserve">m</w:t>
      </w:r>
      <w:r>
        <w:t xml:space="preserve"> </w:t>
      </w:r>
      <w:r>
        <w:t xml:space="preserve">≥ 19 (α = 0.05);</w:t>
      </w:r>
    </w:p>
    <w:p>
      <w:pPr>
        <w:numPr>
          <w:ilvl w:val="0"/>
          <w:numId w:val="1031"/>
        </w:numPr>
      </w:pPr>
      <w:r>
        <w:t xml:space="preserve">reporting TJ+-type intervals, or at least Gaussian leave-one-standard-out intervals, alongside RMSEP whenever a calibration is transferred.</w:t>
      </w:r>
    </w:p>
    <w:bookmarkEnd w:id="71"/>
    <w:bookmarkStart w:id="72" w:name="declarations"/>
    <w:p>
      <w:pPr>
        <w:pStyle w:val="Heading1"/>
      </w:pPr>
      <w:r>
        <w:t xml:space="preserve">Declarations</w:t>
      </w:r>
    </w:p>
    <w:p>
      <w:pPr>
        <w:pStyle w:val="FirstParagraph"/>
      </w:pPr>
      <w:r>
        <w:rPr>
          <w:bCs/>
          <w:b/>
        </w:rPr>
        <w:t xml:space="preserve">CRediT authorship contribution statement.</w:t>
      </w:r>
      <w:r>
        <w:t xml:space="preserve"> </w:t>
      </w:r>
      <w:r>
        <w:t xml:space="preserve">[Author 1]: Conceptualization, Methodology, Software, Formal analysis, Writing – original draft. [Author 2]: Supervision, Validation, Writing – review &amp; editing.</w:t>
      </w:r>
      <w:r>
        <w:t xml:space="preserve"> </w:t>
      </w:r>
      <w:r>
        <w:rPr>
          <w:iCs/>
          <w:i/>
        </w:rPr>
        <w:t xml:space="preserve">(To be completed by the authors.)</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Declaration of generative AI and AI-assisted technologies in the writing process.</w:t>
      </w:r>
      <w:r>
        <w:t xml:space="preserve"> </w:t>
      </w:r>
      <w:r>
        <w:t xml:space="preserve">During the preparation of this work the authors used an AI assistant (Claude, Anthropic) for literature search support, code development, data analysis and drafting of the manuscript. After using this tool, the authors reviewed and edited the content as needed and take full responsibility for the content of the publication.</w:t>
      </w:r>
    </w:p>
    <w:p>
      <w:pPr>
        <w:pStyle w:val="BodyText"/>
      </w:pPr>
      <w:r>
        <w:rPr>
          <w:bCs/>
          <w:b/>
        </w:rPr>
        <w:t xml:space="preserve">Funding.</w:t>
      </w:r>
      <w:r>
        <w:t xml:space="preserve"> </w:t>
      </w:r>
      <w:r>
        <w:t xml:space="preserve">[To be completed by the authors; e.g. </w:t>
      </w:r>
      <w:r>
        <w:t xml:space="preserve">“</w:t>
      </w:r>
      <w:r>
        <w:t xml:space="preserve">This research did not receive any specific grant from funding agencies in the public, commercial, or not-for-profit sectors.</w:t>
      </w:r>
      <w:r>
        <w:t xml:space="preserve">”</w:t>
      </w:r>
      <w:r>
        <w:t xml:space="preserve">]</w:t>
      </w:r>
    </w:p>
    <w:p>
      <w:pPr>
        <w:pStyle w:val="BodyText"/>
      </w:pPr>
      <w:r>
        <w:rPr>
          <w:bCs/>
          <w:b/>
        </w:rPr>
        <w:t xml:space="preserve">Data availability.</w:t>
      </w:r>
      <w:r>
        <w:t xml:space="preserve"> </w:t>
      </w:r>
      <w:r>
        <w:t xml:space="preserve">All data sets are public: corn and IDRC Shootout 2002 tablets from Eigenvector Research</w:t>
      </w:r>
      <w:r>
        <w:t xml:space="preserve"> </w:t>
      </w:r>
      <w:r>
        <w:t xml:space="preserve">[36]</w:t>
      </w:r>
      <w:r>
        <w:t xml:space="preserve">, and mango DMC from Mendeley Data (CC BY 4.0). Record version 1 (doi:10.17632/46htwnp833.1) was used for the season shift</w:t>
      </w:r>
      <w:r>
        <w:t xml:space="preserve"> </w:t>
      </w:r>
      <w:r>
        <w:t xml:space="preserve">[37]</w:t>
      </w:r>
      <w:r>
        <w:t xml:space="preserve">, and record version 6 (doi:10.17632/46htwnp833.6) for the instrument shift</w:t>
      </w:r>
      <w:r>
        <w:t xml:space="preserve"> </w:t>
      </w:r>
      <w:r>
        <w:t xml:space="preserve">[45]</w:t>
      </w:r>
      <w:r>
        <w:t xml:space="preserve">. All code, configuration, raw per-repetition results and the scripts regenerating every table and figure are available at [repository URL / archived DOI to be inserted on acceptance].</w:t>
      </w:r>
    </w:p>
    <w:p>
      <w:pPr>
        <w:pStyle w:val="BodyText"/>
      </w:pPr>
      <w:r>
        <w:rPr>
          <w:bCs/>
          <w:b/>
        </w:rPr>
        <w:t xml:space="preserve">Acknowledgements.</w:t>
      </w:r>
      <w:r>
        <w:t xml:space="preserve"> </w:t>
      </w:r>
      <w:r>
        <w:t xml:space="preserve">We thank the providers of the public data sets: Cargill and Eigenvector Research (corn), the International Diffuse Reflectance Conference (Shootout 2002), and N. Anderson, K. Walsh, P. Subedi and J. Walsh (mango).</w:t>
      </w:r>
    </w:p>
    <w:bookmarkEnd w:id="72"/>
    <w:bookmarkStart w:id="73" w:name="appendix-a.-proof-of-proposition-1"/>
    <w:p>
      <w:pPr>
        <w:pStyle w:val="Heading1"/>
      </w:pPr>
      <w:r>
        <w:t xml:space="preserve">Appendix A. Proof of Proposition 1</w:t>
      </w:r>
    </w:p>
    <w:p>
      <w:pPr>
        <w:pStyle w:val="FirstParagraph"/>
      </w:pPr>
      <w:r>
        <w:rPr>
          <w:bCs/>
          <w:b/>
        </w:rPr>
        <w:t xml:space="preserve">Setting.</w:t>
      </w:r>
      <w:r>
        <w:t xml:space="preserve"> </w:t>
      </w:r>
      <w:r>
        <w:t xml:space="preserve">Let</w:t>
      </w:r>
      <w:r>
        <w:t xml:space="preserve"> </w:t>
      </w:r>
      <m:oMath>
        <m:sSub>
          <m:e>
            <m:r>
              <m:t>Z</m:t>
            </m:r>
          </m:e>
          <m:sub>
            <m:r>
              <m:t>1</m:t>
            </m:r>
          </m:sub>
        </m:sSub>
        <m:r>
          <m:rPr>
            <m:sty m:val="p"/>
          </m:rPr>
          <m:t>,</m:t>
        </m:r>
        <m:r>
          <m:rPr>
            <m:sty m:val="p"/>
          </m:rPr>
          <m:t>…</m:t>
        </m:r>
        <m:r>
          <m:rPr>
            <m:sty m:val="p"/>
          </m:rPr>
          <m:t>,</m:t>
        </m:r>
        <m:sSub>
          <m:e>
            <m:r>
              <m:t>Z</m:t>
            </m:r>
          </m:e>
          <m:sub>
            <m:r>
              <m:t>m</m:t>
            </m:r>
          </m:sub>
        </m:sSub>
      </m:oMath>
      <w:r>
        <w:t xml:space="preserve"> </w:t>
      </w:r>
      <w:r>
        <w:t xml:space="preserve">be the transfer standards and</w:t>
      </w:r>
      <w:r>
        <w:t xml:space="preserve"> </w:t>
      </w:r>
      <m:oMath>
        <m:sSub>
          <m:e>
            <m:r>
              <m:t>Z</m:t>
            </m:r>
          </m:e>
          <m:sub>
            <m:r>
              <m:t>m</m:t>
            </m:r>
            <m:r>
              <m:rPr>
                <m:sty m:val="p"/>
              </m:rPr>
              <m:t>+</m:t>
            </m:r>
            <m:r>
              <m:t>1</m:t>
            </m:r>
          </m:sub>
        </m:sSub>
        <m:r>
          <m:rPr>
            <m:sty m:val="p"/>
          </m:rPr>
          <m:t>=</m:t>
        </m:r>
        <m:d>
          <m:dPr>
            <m:begChr m:val="("/>
            <m:endChr m:val=")"/>
            <m:sepChr m:val=""/>
            <m:grow/>
          </m:dPr>
          <m:e>
            <m:sSubSup>
              <m:e>
                <m:r>
                  <m:rPr>
                    <m:sty m:val="b"/>
                  </m:rPr>
                  <m:t>x</m:t>
                </m:r>
              </m:e>
              <m:sub>
                <m:r>
                  <m:t>m</m:t>
                </m:r>
                <m:r>
                  <m:rPr>
                    <m:sty m:val="p"/>
                  </m:rPr>
                  <m:t>+</m:t>
                </m:r>
                <m:r>
                  <m:t>1</m:t>
                </m:r>
              </m:sub>
              <m:sup>
                <m:r>
                  <m:t>T</m:t>
                </m:r>
              </m:sup>
            </m:sSubSup>
            <m:r>
              <m:rPr>
                <m:sty m:val="p"/>
              </m:rPr>
              <m:t>,</m:t>
            </m:r>
            <m:sSubSup>
              <m:e>
                <m:r>
                  <m:rPr>
                    <m:sty m:val="b"/>
                  </m:rPr>
                  <m:t>x</m:t>
                </m:r>
              </m:e>
              <m:sub>
                <m:r>
                  <m:t>m</m:t>
                </m:r>
                <m:r>
                  <m:rPr>
                    <m:sty m:val="p"/>
                  </m:rPr>
                  <m:t>+</m:t>
                </m:r>
                <m:r>
                  <m:t>1</m:t>
                </m:r>
              </m:sub>
              <m:sup>
                <m:r>
                  <m:t>S</m:t>
                </m:r>
              </m:sup>
            </m:sSubSup>
            <m:r>
              <m:rPr>
                <m:sty m:val="p"/>
              </m:rPr>
              <m:t>,</m:t>
            </m:r>
            <m:sSub>
              <m:e>
                <m:r>
                  <m:t>y</m:t>
                </m:r>
              </m:e>
              <m:sub>
                <m:r>
                  <m:t>m</m:t>
                </m:r>
                <m:r>
                  <m:rPr>
                    <m:sty m:val="p"/>
                  </m:rPr>
                  <m:t>+</m:t>
                </m:r>
                <m:r>
                  <m:t>1</m:t>
                </m:r>
              </m:sub>
            </m:sSub>
          </m:e>
        </m:d>
      </m:oMath>
      <w:r>
        <w:t xml:space="preserve"> </w:t>
      </w:r>
      <w:r>
        <w:t xml:space="preserve">the future sample. Its master spectrum</w:t>
      </w:r>
      <w:r>
        <w:t xml:space="preserve"> </w:t>
      </w:r>
      <m:oMath>
        <m:sSubSup>
          <m:e>
            <m:r>
              <m:rPr>
                <m:sty m:val="b"/>
              </m:rPr>
              <m:t>x</m:t>
            </m:r>
          </m:e>
          <m:sub>
            <m:r>
              <m:t>m</m:t>
            </m:r>
            <m:r>
              <m:rPr>
                <m:sty m:val="p"/>
              </m:rPr>
              <m:t>+</m:t>
            </m:r>
            <m:r>
              <m:t>1</m:t>
            </m:r>
          </m:sub>
          <m:sup>
            <m:r>
              <m:t>S</m:t>
            </m:r>
          </m:sup>
        </m:sSubSup>
      </m:oMath>
      <w:r>
        <w:t xml:space="preserve"> </w:t>
      </w:r>
      <w:r>
        <w:t xml:space="preserve">is never used by the procedure; it enters only the argument, as the spectrum the sample</w:t>
      </w:r>
      <w:r>
        <w:t xml:space="preserve"> </w:t>
      </w:r>
      <w:r>
        <w:rPr>
          <w:iCs/>
          <w:i/>
        </w:rPr>
        <w:t xml:space="preserve">would</w:t>
      </w:r>
      <w:r>
        <w:t xml:space="preserve"> </w:t>
      </w:r>
      <w:r>
        <w:t xml:space="preserve">give on the master instrument. For any index set</w:t>
      </w:r>
      <w:r>
        <w:t xml:space="preserve"> </w:t>
      </w:r>
      <m:oMath>
        <m:r>
          <m:t>S</m:t>
        </m:r>
        <m:r>
          <m:rPr>
            <m:sty m:val="p"/>
          </m:rPr>
          <m:t>⊆</m:t>
        </m:r>
        <m:r>
          <m:rPr>
            <m:sty m:val="p"/>
          </m:rPr>
          <m:t>{</m:t>
        </m:r>
        <m:r>
          <m:t>1</m:t>
        </m:r>
        <m:r>
          <m:rPr>
            <m:sty m:val="p"/>
          </m:rPr>
          <m:t>,</m:t>
        </m:r>
        <m:r>
          <m:rPr>
            <m:sty m:val="p"/>
          </m:rPr>
          <m:t>…</m:t>
        </m:r>
        <m:r>
          <m:rPr>
            <m:sty m:val="p"/>
          </m:rPr>
          <m:t>,</m:t>
        </m:r>
        <m:r>
          <m:t>m</m:t>
        </m:r>
        <m:r>
          <m:rPr>
            <m:sty m:val="p"/>
          </m:rPr>
          <m:t>+</m:t>
        </m:r>
        <m:r>
          <m:t>1</m:t>
        </m:r>
        <m:r>
          <m:rPr>
            <m:sty m:val="p"/>
          </m:rPr>
          <m:t>}</m:t>
        </m:r>
      </m:oMath>
      <w:r>
        <w:t xml:space="preserve">, let</w:t>
      </w:r>
      <w:r>
        <w:t xml:space="preserve"> </w:t>
      </w:r>
      <m:oMath>
        <m:sSub>
          <m:e>
            <m:r>
              <m:t>μ</m:t>
            </m:r>
          </m:e>
          <m:sub>
            <m:r>
              <m:t>S</m:t>
            </m:r>
          </m:sub>
        </m:sSub>
      </m:oMath>
      <w:r>
        <w:t xml:space="preserve"> </w:t>
      </w:r>
      <w:r>
        <w:t xml:space="preserve">and</w:t>
      </w:r>
      <w:r>
        <w:t xml:space="preserve"> </w:t>
      </w:r>
      <m:oMath>
        <m:sSub>
          <m:e>
            <m:r>
              <m:t>σ</m:t>
            </m:r>
          </m:e>
          <m:sub>
            <m:r>
              <m:t>S</m:t>
            </m:r>
          </m:sub>
        </m:sSub>
      </m:oMath>
      <w:r>
        <w:t xml:space="preserve"> </w:t>
      </w:r>
      <w:r>
        <w:t xml:space="preserve">be the deployed predictor (Eq. (1)) and the difficulty function obtained by applying the transfer algorithm</w:t>
      </w:r>
      <w:r>
        <w:t xml:space="preserve"> </w:t>
      </w:r>
      <m:oMath>
        <m:r>
          <m:rPr>
            <m:sty m:val="p"/>
            <m:scr m:val="script"/>
          </m:rPr>
          <m:t>T</m:t>
        </m:r>
      </m:oMath>
      <w:r>
        <w:t xml:space="preserve"> </w:t>
      </w:r>
      <w:r>
        <w:t xml:space="preserve">to</w:t>
      </w:r>
      <w:r>
        <w:t xml:space="preserve"> </w:t>
      </w:r>
      <m:oMath>
        <m:r>
          <m:rPr>
            <m:sty m:val="p"/>
          </m:rPr>
          <m:t>{</m:t>
        </m:r>
        <m:sSub>
          <m:e>
            <m:r>
              <m:t>Z</m:t>
            </m:r>
          </m:e>
          <m:sub>
            <m:r>
              <m:t>k</m:t>
            </m:r>
          </m:sub>
        </m:sSub>
        <m:r>
          <m:rPr>
            <m:sty m:val="p"/>
          </m:rPr>
          <m:t>:</m:t>
        </m:r>
        <m:r>
          <m:t>k</m:t>
        </m:r>
        <m:r>
          <m:rPr>
            <m:sty m:val="p"/>
          </m:rPr>
          <m:t>∈</m:t>
        </m:r>
        <m:r>
          <m:t>S</m:t>
        </m:r>
        <m:r>
          <m:rPr>
            <m:sty m:val="p"/>
          </m:rPr>
          <m:t>}</m:t>
        </m:r>
      </m:oMath>
      <w:r>
        <w:t xml:space="preserve">. The source model</w:t>
      </w:r>
      <w:r>
        <w:t xml:space="preserve"> </w:t>
      </w:r>
      <m:oMath>
        <m:r>
          <m:t>f</m:t>
        </m:r>
      </m:oMath>
      <w:r>
        <w:t xml:space="preserve"> </w:t>
      </w:r>
      <w:r>
        <w:t xml:space="preserve">and the function</w:t>
      </w:r>
      <w:r>
        <w:t xml:space="preserve"> </w:t>
      </w:r>
      <m:oMath>
        <m:r>
          <m:t>σ</m:t>
        </m:r>
      </m:oMath>
      <w:r>
        <w:t xml:space="preserve"> </w:t>
      </w:r>
      <w:r>
        <w:t xml:space="preserve">of Eq. (2) are fixed beforehand from source data.</w:t>
      </w:r>
      <w:r>
        <w:t xml:space="preserve"> </w:t>
      </w:r>
      <m:oMath>
        <m:r>
          <m:rPr>
            <m:sty m:val="p"/>
            <m:scr m:val="script"/>
          </m:rPr>
          <m:t>T</m:t>
        </m:r>
      </m:oMath>
      <w:r>
        <w:t xml:space="preserve"> </w:t>
      </w:r>
      <w:r>
        <w:t xml:space="preserve">is</w:t>
      </w:r>
      <w:r>
        <w:t xml:space="preserve"> </w:t>
      </w:r>
      <w:r>
        <w:rPr>
          <w:iCs/>
          <w:i/>
        </w:rPr>
        <w:t xml:space="preserve">symmetric</w:t>
      </w:r>
      <w:r>
        <w:t xml:space="preserve">, i.e. invariant to the order of its inputs; this holds for PDS, DS and SBC, which are least-squares fits on the set of standards. Because</w:t>
      </w:r>
      <w:r>
        <w:t xml:space="preserve"> </w:t>
      </w:r>
      <m:oMath>
        <m:r>
          <m:t>σ</m:t>
        </m:r>
        <m:r>
          <m:rPr>
            <m:sty m:val="p"/>
          </m:rPr>
          <m:t>≥</m:t>
        </m:r>
        <m:r>
          <m:t>ε</m:t>
        </m:r>
        <m:r>
          <m:rPr>
            <m:sty m:val="p"/>
          </m:rPr>
          <m:t>&gt;</m:t>
        </m:r>
        <m:r>
          <m:t>0</m:t>
        </m:r>
      </m:oMath>
      <w:r>
        <w:t xml:space="preserve">, all normalised scores are well defined.</w:t>
      </w:r>
    </w:p>
    <w:p>
      <w:pPr>
        <w:pStyle w:val="BodyText"/>
      </w:pPr>
      <w:r>
        <w:rPr>
          <w:bCs/>
          <w:b/>
        </w:rPr>
        <w:t xml:space="preserve">Step 1 (scores).</w:t>
      </w:r>
      <w:r>
        <w:t xml:space="preserve"> </w:t>
      </w:r>
      <w:r>
        <w:t xml:space="preserve">For</w:t>
      </w:r>
      <w:r>
        <w:t xml:space="preserve"> </w:t>
      </w:r>
      <m:oMath>
        <m:r>
          <m:t>i</m:t>
        </m:r>
        <m:r>
          <m:rPr>
            <m:sty m:val="p"/>
          </m:rPr>
          <m:t>≠</m:t>
        </m:r>
        <m:r>
          <m:t>j</m:t>
        </m:r>
      </m:oMath>
      <w:r>
        <w:t xml:space="preserve">, write</w:t>
      </w:r>
      <w:r>
        <w:t xml:space="preserve"> </w:t>
      </w:r>
      <m:oMath>
        <m:r>
          <m:rPr>
            <m:sty m:val="p"/>
          </m:rPr>
          <m:t>−</m:t>
        </m:r>
        <m:r>
          <m:t>i</m:t>
        </m:r>
        <m:r>
          <m:t>j</m:t>
        </m:r>
      </m:oMath>
      <w:r>
        <w:t xml:space="preserve"> </w:t>
      </w:r>
      <w:r>
        <w:t xml:space="preserve">for the set</w:t>
      </w:r>
      <w:r>
        <w:t xml:space="preserve"> </w:t>
      </w:r>
      <m:oMath>
        <m:r>
          <m:rPr>
            <m:sty m:val="p"/>
          </m:rPr>
          <m:t>{</m:t>
        </m:r>
        <m:r>
          <m:t>1</m:t>
        </m:r>
        <m:r>
          <m:rPr>
            <m:sty m:val="p"/>
          </m:rPr>
          <m:t>,</m:t>
        </m:r>
        <m:r>
          <m:rPr>
            <m:sty m:val="p"/>
          </m:rPr>
          <m:t>…</m:t>
        </m:r>
        <m:r>
          <m:rPr>
            <m:sty m:val="p"/>
          </m:rPr>
          <m:t>,</m:t>
        </m:r>
        <m:r>
          <m:t>m</m:t>
        </m:r>
        <m:r>
          <m:rPr>
            <m:sty m:val="p"/>
          </m:rPr>
          <m:t>+</m:t>
        </m:r>
        <m:r>
          <m:t>1</m:t>
        </m:r>
        <m:r>
          <m:rPr>
            <m:sty m:val="p"/>
          </m:rPr>
          <m:t>}</m:t>
        </m:r>
        <m:r>
          <m:rPr>
            <m:sty m:val="p"/>
          </m:rPr>
          <m:t>\</m:t>
        </m:r>
        <m:r>
          <m:rPr>
            <m:sty m:val="p"/>
          </m:rPr>
          <m:t>{</m:t>
        </m:r>
        <m:r>
          <m:t>i</m:t>
        </m:r>
        <m:r>
          <m:rPr>
            <m:sty m:val="p"/>
          </m:rPr>
          <m:t>,</m:t>
        </m:r>
        <m:r>
          <m:t>j</m:t>
        </m:r>
        <m:r>
          <m:rPr>
            <m:sty m:val="p"/>
          </m:rPr>
          <m:t>}</m:t>
        </m:r>
      </m:oMath>
      <w:r>
        <w:t xml:space="preserve"> </w:t>
      </w:r>
      <w:r>
        <w:t xml:space="preserve">and define</w:t>
      </w:r>
    </w:p>
    <w:p>
      <w:pPr>
        <w:pStyle w:val="BodyText"/>
      </w:pPr>
      <m:oMathPara>
        <m:oMathParaPr>
          <m:jc m:val="center"/>
        </m:oMathParaPr>
        <m:oMath>
          <m:sSub>
            <m:e>
              <m:r>
                <m:t>R</m:t>
              </m:r>
            </m:e>
            <m:sub>
              <m:r>
                <m:t>i</m:t>
              </m:r>
              <m:r>
                <m:t>j</m:t>
              </m:r>
            </m:sub>
          </m:sSub>
          <m:r>
            <m:rPr>
              <m:sty m:val="p"/>
            </m:rPr>
            <m:t>=</m:t>
          </m:r>
          <m:f>
            <m:fPr>
              <m:type m:val="bar"/>
            </m:fPr>
            <m:num>
              <m:r>
                <m:rPr>
                  <m:sty m:val="p"/>
                </m:rPr>
                <m:t>|</m:t>
              </m:r>
              <m:sSub>
                <m:e>
                  <m:r>
                    <m:t>y</m:t>
                  </m:r>
                </m:e>
                <m:sub>
                  <m:r>
                    <m:t>i</m:t>
                  </m:r>
                </m:sub>
              </m:sSub>
              <m:r>
                <m:rPr>
                  <m:sty m:val="p"/>
                </m:rPr>
                <m:t>−</m:t>
              </m:r>
              <m:sSub>
                <m:e>
                  <m:r>
                    <m:t>μ</m:t>
                  </m:r>
                </m:e>
                <m:sub>
                  <m:r>
                    <m:rPr>
                      <m:sty m:val="p"/>
                    </m:rPr>
                    <m:t>−</m:t>
                  </m:r>
                  <m:r>
                    <m:t>i</m:t>
                  </m:r>
                  <m:r>
                    <m:t>j</m:t>
                  </m:r>
                </m:sub>
              </m:sSub>
              <m:d>
                <m:dPr>
                  <m:begChr m:val="("/>
                  <m:endChr m:val=")"/>
                  <m:sepChr m:val=""/>
                  <m:grow/>
                </m:dPr>
                <m:e>
                  <m:sSubSup>
                    <m:e>
                      <m:r>
                        <m:rPr>
                          <m:sty m:val="b"/>
                        </m:rPr>
                        <m:t>x</m:t>
                      </m:r>
                    </m:e>
                    <m:sub>
                      <m:r>
                        <m:t>i</m:t>
                      </m:r>
                    </m:sub>
                    <m:sup>
                      <m:r>
                        <m:t>T</m:t>
                      </m:r>
                    </m:sup>
                  </m:sSubSup>
                </m:e>
              </m:d>
              <m:r>
                <m:rPr>
                  <m:sty m:val="p"/>
                </m:rPr>
                <m:t>|</m:t>
              </m:r>
            </m:num>
            <m:den>
              <m:sSub>
                <m:e>
                  <m:r>
                    <m:t>σ</m:t>
                  </m:r>
                </m:e>
                <m:sub>
                  <m:r>
                    <m:rPr>
                      <m:sty m:val="p"/>
                    </m:rPr>
                    <m:t>−</m:t>
                  </m:r>
                  <m:r>
                    <m:t>i</m:t>
                  </m:r>
                  <m:r>
                    <m:t>j</m:t>
                  </m:r>
                </m:sub>
              </m:sSub>
              <m:d>
                <m:dPr>
                  <m:begChr m:val="("/>
                  <m:endChr m:val=")"/>
                  <m:sepChr m:val=""/>
                  <m:grow/>
                </m:dPr>
                <m:e>
                  <m:sSubSup>
                    <m:e>
                      <m:r>
                        <m:rPr>
                          <m:sty m:val="b"/>
                        </m:rPr>
                        <m:t>x</m:t>
                      </m:r>
                    </m:e>
                    <m:sub>
                      <m:r>
                        <m:t>i</m:t>
                      </m:r>
                    </m:sub>
                    <m:sup>
                      <m:r>
                        <m:t>T</m:t>
                      </m:r>
                    </m:sup>
                  </m:sSubSup>
                </m:e>
              </m:d>
            </m:den>
          </m:f>
          <m:r>
            <m:rPr>
              <m:sty m:val="p"/>
            </m:rPr>
            <m:t>.</m:t>
          </m:r>
        </m:oMath>
      </m:oMathPara>
    </w:p>
    <w:p>
      <w:pPr>
        <w:pStyle w:val="FirstParagraph"/>
      </w:pPr>
      <w:r>
        <w:t xml:space="preserve">The fit that excludes</w:t>
      </w:r>
      <w:r>
        <w:t xml:space="preserve"> </w:t>
      </w:r>
      <m:oMath>
        <m:r>
          <m:t>i</m:t>
        </m:r>
      </m:oMath>
      <w:r>
        <w:t xml:space="preserve"> </w:t>
      </w:r>
      <w:r>
        <w:t xml:space="preserve">and</w:t>
      </w:r>
      <w:r>
        <w:t xml:space="preserve"> </w:t>
      </w:r>
      <m:oMath>
        <m:r>
          <m:t>m</m:t>
        </m:r>
        <m:r>
          <m:rPr>
            <m:sty m:val="p"/>
          </m:rPr>
          <m:t>+</m:t>
        </m:r>
        <m:r>
          <m:t>1</m:t>
        </m:r>
      </m:oMath>
      <w:r>
        <w:t xml:space="preserve"> </w:t>
      </w:r>
      <w:r>
        <w:t xml:space="preserve">is exactly the leave-one-out fit</w:t>
      </w:r>
      <w:r>
        <w:t xml:space="preserve"> </w:t>
      </w:r>
      <m:oMath>
        <m:sSub>
          <m:e>
            <m:r>
              <m:t>μ</m:t>
            </m:r>
          </m:e>
          <m:sub>
            <m:r>
              <m:rPr>
                <m:sty m:val="p"/>
              </m:rPr>
              <m:t>−</m:t>
            </m:r>
            <m:r>
              <m:t>i</m:t>
            </m:r>
          </m:sub>
        </m:sSub>
      </m:oMath>
      <w:r>
        <w:t xml:space="preserve"> </w:t>
      </w:r>
      <w:r>
        <w:t xml:space="preserve">of Eq. (3), computed from the</w:t>
      </w:r>
      <w:r>
        <w:t xml:space="preserve"> </w:t>
      </w:r>
      <m:oMath>
        <m:r>
          <m:t>m</m:t>
        </m:r>
      </m:oMath>
      <w:r>
        <w:t xml:space="preserve"> </w:t>
      </w:r>
      <w:r>
        <w:t xml:space="preserve">standards without standard</w:t>
      </w:r>
      <w:r>
        <w:t xml:space="preserve"> </w:t>
      </w:r>
      <m:oMath>
        <m:r>
          <m:t>i</m:t>
        </m:r>
      </m:oMath>
      <w:r>
        <w:t xml:space="preserve">. Hence</w:t>
      </w:r>
      <w:r>
        <w:t xml:space="preserve"> </w:t>
      </w:r>
      <m:oMath>
        <m:sSub>
          <m:e>
            <m:r>
              <m:t>R</m:t>
            </m:r>
          </m:e>
          <m:sub>
            <m:r>
              <m:t>i</m:t>
            </m:r>
          </m:sub>
        </m:sSub>
        <m:r>
          <m:rPr>
            <m:sty m:val="p"/>
          </m:rPr>
          <m:t>=</m:t>
        </m:r>
        <m:sSub>
          <m:e>
            <m:r>
              <m:t>R</m:t>
            </m:r>
          </m:e>
          <m:sub>
            <m:r>
              <m:t>i</m:t>
            </m:r>
            <m:r>
              <m:rPr>
                <m:sty m:val="p"/>
              </m:rPr>
              <m:t>,</m:t>
            </m:r>
            <m:r>
              <m:t>m</m:t>
            </m:r>
            <m:r>
              <m:rPr>
                <m:sty m:val="p"/>
              </m:rPr>
              <m:t>+</m:t>
            </m:r>
            <m:r>
              <m:t>1</m:t>
            </m:r>
          </m:sub>
        </m:sSub>
      </m:oMath>
      <w:r>
        <w:t xml:space="preserve">, and for the future sample</w:t>
      </w:r>
      <w:r>
        <w:t xml:space="preserve"> </w:t>
      </w:r>
      <m:oMath>
        <m:r>
          <m:rPr>
            <m:sty m:val="p"/>
          </m:rPr>
          <m:t>|</m:t>
        </m:r>
        <m:sSub>
          <m:e>
            <m:r>
              <m:t>y</m:t>
            </m:r>
          </m:e>
          <m:sub>
            <m:r>
              <m:t>m</m:t>
            </m:r>
            <m:r>
              <m:rPr>
                <m:sty m:val="p"/>
              </m:rPr>
              <m:t>+</m:t>
            </m:r>
            <m:r>
              <m:t>1</m:t>
            </m:r>
          </m:sub>
        </m:sSub>
        <m:r>
          <m:rPr>
            <m:sty m:val="p"/>
          </m:rPr>
          <m:t>−</m:t>
        </m:r>
        <m:sSub>
          <m:e>
            <m:r>
              <m:t>μ</m:t>
            </m:r>
          </m:e>
          <m:sub>
            <m:r>
              <m:rPr>
                <m:sty m:val="p"/>
              </m:rPr>
              <m:t>−</m:t>
            </m:r>
            <m:r>
              <m:t>i</m:t>
            </m:r>
          </m:sub>
        </m:sSub>
        <m:d>
          <m:dPr>
            <m:begChr m:val="("/>
            <m:endChr m:val=")"/>
            <m:sepChr m:val=""/>
            <m:grow/>
          </m:dPr>
          <m:e>
            <m:sSubSup>
              <m:e>
                <m:r>
                  <m:rPr>
                    <m:sty m:val="b"/>
                  </m:rPr>
                  <m:t>x</m:t>
                </m:r>
              </m:e>
              <m:sub>
                <m:r>
                  <m:t>m</m:t>
                </m:r>
                <m:r>
                  <m:rPr>
                    <m:sty m:val="p"/>
                  </m:rPr>
                  <m:t>+</m:t>
                </m:r>
                <m:r>
                  <m:t>1</m:t>
                </m:r>
              </m:sub>
              <m:sup>
                <m:r>
                  <m:t>T</m:t>
                </m:r>
              </m:sup>
            </m:sSubSup>
          </m:e>
        </m:d>
        <m:r>
          <m:rPr>
            <m:sty m:val="p"/>
          </m:rPr>
          <m:t>|</m:t>
        </m:r>
        <m:r>
          <m:rPr>
            <m:sty m:val="p"/>
          </m:rPr>
          <m:t>/</m:t>
        </m:r>
        <m:sSub>
          <m:e>
            <m:r>
              <m:t>σ</m:t>
            </m:r>
          </m:e>
          <m:sub>
            <m:r>
              <m:rPr>
                <m:sty m:val="p"/>
              </m:rPr>
              <m:t>−</m:t>
            </m:r>
            <m:r>
              <m:t>i</m:t>
            </m:r>
          </m:sub>
        </m:sSub>
        <m:d>
          <m:dPr>
            <m:begChr m:val="("/>
            <m:endChr m:val=")"/>
            <m:sepChr m:val=""/>
            <m:grow/>
          </m:dPr>
          <m:e>
            <m:sSubSup>
              <m:e>
                <m:r>
                  <m:rPr>
                    <m:sty m:val="b"/>
                  </m:rPr>
                  <m:t>x</m:t>
                </m:r>
              </m:e>
              <m:sub>
                <m:r>
                  <m:t>m</m:t>
                </m:r>
                <m:r>
                  <m:rPr>
                    <m:sty m:val="p"/>
                  </m:rPr>
                  <m:t>+</m:t>
                </m:r>
                <m:r>
                  <m:t>1</m:t>
                </m:r>
              </m:sub>
              <m:sup>
                <m:r>
                  <m:t>T</m:t>
                </m:r>
              </m:sup>
            </m:sSubSup>
          </m:e>
        </m:d>
        <m:r>
          <m:rPr>
            <m:sty m:val="p"/>
          </m:rPr>
          <m:t>=</m:t>
        </m:r>
        <m:sSub>
          <m:e>
            <m:r>
              <m:t>R</m:t>
            </m:r>
          </m:e>
          <m:sub>
            <m:r>
              <m:t>m</m:t>
            </m:r>
            <m:r>
              <m:rPr>
                <m:sty m:val="p"/>
              </m:rPr>
              <m:t>+</m:t>
            </m:r>
            <m:r>
              <m:t>1</m:t>
            </m:r>
            <m:r>
              <m:rPr>
                <m:sty m:val="p"/>
              </m:rPr>
              <m:t>,</m:t>
            </m:r>
            <m:r>
              <m:t>i</m:t>
            </m:r>
          </m:sub>
        </m:sSub>
      </m:oMath>
      <w:r>
        <w:t xml:space="preserve">.</w:t>
      </w:r>
    </w:p>
    <w:p>
      <w:pPr>
        <w:pStyle w:val="BodyText"/>
      </w:pPr>
      <w:r>
        <w:rPr>
          <w:bCs/>
          <w:b/>
        </w:rPr>
        <w:t xml:space="preserve">Step 2 (miscoverage implies many lost comparisons).</w:t>
      </w:r>
      <w:r>
        <w:t xml:space="preserve"> </w:t>
      </w:r>
      <w:r>
        <w:t xml:space="preserve">Let</w:t>
      </w:r>
      <w:r>
        <w:t xml:space="preserve"> </w:t>
      </w:r>
      <m:oMath>
        <m:sSub>
          <m:e>
            <m:r>
              <m:t>U</m:t>
            </m:r>
          </m:e>
          <m:sub>
            <m:r>
              <m:t>i</m:t>
            </m:r>
          </m:sub>
        </m:sSub>
        <m:r>
          <m:rPr>
            <m:sty m:val="p"/>
          </m:rPr>
          <m:t>=</m:t>
        </m:r>
        <m:sSub>
          <m:e>
            <m:r>
              <m:t>μ</m:t>
            </m:r>
          </m:e>
          <m:sub>
            <m:r>
              <m:rPr>
                <m:sty m:val="p"/>
              </m:rPr>
              <m:t>−</m:t>
            </m:r>
            <m:r>
              <m:t>i</m:t>
            </m:r>
          </m:sub>
        </m:sSub>
        <m:d>
          <m:dPr>
            <m:begChr m:val="("/>
            <m:endChr m:val=")"/>
            <m:sepChr m:val=""/>
            <m:grow/>
          </m:dPr>
          <m:e>
            <m:r>
              <m:rPr>
                <m:sty m:val="b"/>
              </m:rPr>
              <m:t>x</m:t>
            </m:r>
          </m:e>
        </m:d>
        <m:r>
          <m:rPr>
            <m:sty m:val="p"/>
          </m:rPr>
          <m:t>+</m:t>
        </m:r>
        <m:sSub>
          <m:e>
            <m:r>
              <m:t>σ</m:t>
            </m:r>
          </m:e>
          <m:sub>
            <m:r>
              <m:rPr>
                <m:sty m:val="p"/>
              </m:rPr>
              <m:t>−</m:t>
            </m:r>
            <m:r>
              <m:t>i</m:t>
            </m:r>
          </m:sub>
        </m:sSub>
        <m:d>
          <m:dPr>
            <m:begChr m:val="("/>
            <m:endChr m:val=")"/>
            <m:sepChr m:val=""/>
            <m:grow/>
          </m:dPr>
          <m:e>
            <m:r>
              <m:rPr>
                <m:sty m:val="b"/>
              </m:rPr>
              <m:t>x</m:t>
            </m:r>
          </m:e>
        </m:d>
        <m:sSub>
          <m:e>
            <m:r>
              <m:t>R</m:t>
            </m:r>
          </m:e>
          <m:sub>
            <m:r>
              <m:t>i</m:t>
            </m:r>
          </m:sub>
        </m:sSub>
      </m:oMath>
      <w:r>
        <w:t xml:space="preserve"> </w:t>
      </w:r>
      <w:r>
        <w:t xml:space="preserve">and</w:t>
      </w:r>
      <w:r>
        <w:t xml:space="preserve"> </w:t>
      </w:r>
      <m:oMath>
        <m:sSub>
          <m:e>
            <m:r>
              <m:t>L</m:t>
            </m:r>
          </m:e>
          <m:sub>
            <m:r>
              <m:t>i</m:t>
            </m:r>
          </m:sub>
        </m:sSub>
        <m:r>
          <m:rPr>
            <m:sty m:val="p"/>
          </m:rPr>
          <m:t>=</m:t>
        </m:r>
        <m:sSub>
          <m:e>
            <m:r>
              <m:t>μ</m:t>
            </m:r>
          </m:e>
          <m:sub>
            <m:r>
              <m:rPr>
                <m:sty m:val="p"/>
              </m:rPr>
              <m:t>−</m:t>
            </m:r>
            <m:r>
              <m:t>i</m:t>
            </m:r>
          </m:sub>
        </m:sSub>
        <m:d>
          <m:dPr>
            <m:begChr m:val="("/>
            <m:endChr m:val=")"/>
            <m:sepChr m:val=""/>
            <m:grow/>
          </m:dPr>
          <m:e>
            <m:r>
              <m:rPr>
                <m:sty m:val="b"/>
              </m:rPr>
              <m:t>x</m:t>
            </m:r>
          </m:e>
        </m:d>
        <m:r>
          <m:rPr>
            <m:sty m:val="p"/>
          </m:rPr>
          <m:t>−</m:t>
        </m:r>
        <m:sSub>
          <m:e>
            <m:r>
              <m:t>σ</m:t>
            </m:r>
          </m:e>
          <m:sub>
            <m:r>
              <m:rPr>
                <m:sty m:val="p"/>
              </m:rPr>
              <m:t>−</m:t>
            </m:r>
            <m:r>
              <m:t>i</m:t>
            </m:r>
          </m:sub>
        </m:sSub>
        <m:d>
          <m:dPr>
            <m:begChr m:val="("/>
            <m:endChr m:val=")"/>
            <m:sepChr m:val=""/>
            <m:grow/>
          </m:dPr>
          <m:e>
            <m:r>
              <m:rPr>
                <m:sty m:val="b"/>
              </m:rPr>
              <m:t>x</m:t>
            </m:r>
          </m:e>
        </m:d>
        <m:sSub>
          <m:e>
            <m:r>
              <m:t>R</m:t>
            </m:r>
          </m:e>
          <m:sub>
            <m:r>
              <m:t>i</m:t>
            </m:r>
          </m:sub>
        </m:sSub>
      </m:oMath>
      <w:r>
        <w:t xml:space="preserve"> </w:t>
      </w:r>
      <w:r>
        <w:t xml:space="preserve">with</w:t>
      </w:r>
      <w:r>
        <w:t xml:space="preserve"> </w:t>
      </w:r>
      <m:oMath>
        <m:r>
          <m:rPr>
            <m:sty m:val="b"/>
          </m:rPr>
          <m:t>x</m:t>
        </m:r>
        <m:r>
          <m:rPr>
            <m:sty m:val="p"/>
          </m:rPr>
          <m:t>=</m:t>
        </m:r>
        <m:sSubSup>
          <m:e>
            <m:r>
              <m:rPr>
                <m:sty m:val="b"/>
              </m:rPr>
              <m:t>x</m:t>
            </m:r>
          </m:e>
          <m:sub>
            <m:r>
              <m:t>m</m:t>
            </m:r>
            <m:r>
              <m:rPr>
                <m:sty m:val="p"/>
              </m:rPr>
              <m:t>+</m:t>
            </m:r>
            <m:r>
              <m:t>1</m:t>
            </m:r>
          </m:sub>
          <m:sup>
            <m:r>
              <m:t>T</m:t>
            </m:r>
          </m:sup>
        </m:sSubSup>
      </m:oMath>
      <w:r>
        <w:t xml:space="preserve">.</w:t>
      </w:r>
    </w:p>
    <w:p>
      <w:pPr>
        <w:numPr>
          <w:ilvl w:val="0"/>
          <w:numId w:val="1032"/>
        </w:numPr>
      </w:pPr>
      <w:r>
        <w:rPr>
          <w:iCs/>
          <w:i/>
        </w:rPr>
        <w:t xml:space="preserve">Upper tail.</w:t>
      </w:r>
      <w:r>
        <w:t xml:space="preserve"> </w:t>
      </w:r>
      <w:r>
        <w:t xml:space="preserve">If</w:t>
      </w:r>
      <w:r>
        <w:t xml:space="preserve"> </w:t>
      </w:r>
      <m:oMath>
        <m:sSub>
          <m:e>
            <m:r>
              <m:t>y</m:t>
            </m:r>
          </m:e>
          <m:sub>
            <m:r>
              <m:t>m</m:t>
            </m:r>
            <m:r>
              <m:rPr>
                <m:sty m:val="p"/>
              </m:rPr>
              <m:t>+</m:t>
            </m:r>
            <m:r>
              <m:t>1</m:t>
            </m:r>
          </m:sub>
        </m:sSub>
      </m:oMath>
      <w:r>
        <w:t xml:space="preserve"> </w:t>
      </w:r>
      <w:r>
        <w:t xml:space="preserve">exceeds the upper bound in Eq. (4), the</w:t>
      </w:r>
      <w:r>
        <w:t xml:space="preserve"> </w:t>
      </w:r>
      <m:oMath>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r>
          <m:rPr>
            <m:sty m:val="p"/>
          </m:rPr>
          <m:t>⌉</m:t>
        </m:r>
      </m:oMath>
      <w:r>
        <w:t xml:space="preserve">-th smallest</w:t>
      </w:r>
      <w:r>
        <w:t xml:space="preserve"> </w:t>
      </w:r>
      <m:oMath>
        <m:sSub>
          <m:e>
            <m:r>
              <m:t>U</m:t>
            </m:r>
          </m:e>
          <m:sub>
            <m:r>
              <m:t>i</m:t>
            </m:r>
          </m:sub>
        </m:sSub>
      </m:oMath>
      <w:r>
        <w:t xml:space="preserve">, then</w:t>
      </w:r>
      <w:r>
        <w:t xml:space="preserve"> </w:t>
      </w:r>
      <m:oMath>
        <m:sSub>
          <m:e>
            <m:r>
              <m:t>y</m:t>
            </m:r>
          </m:e>
          <m:sub>
            <m:r>
              <m:t>m</m:t>
            </m:r>
            <m:r>
              <m:rPr>
                <m:sty m:val="p"/>
              </m:rPr>
              <m:t>+</m:t>
            </m:r>
            <m:r>
              <m:t>1</m:t>
            </m:r>
          </m:sub>
        </m:sSub>
        <m:r>
          <m:rPr>
            <m:sty m:val="p"/>
          </m:rPr>
          <m:t>&gt;</m:t>
        </m:r>
        <m:sSub>
          <m:e>
            <m:r>
              <m:t>U</m:t>
            </m:r>
          </m:e>
          <m:sub>
            <m:r>
              <m:t>i</m:t>
            </m:r>
          </m:sub>
        </m:sSub>
      </m:oMath>
      <w:r>
        <w:t xml:space="preserve"> </w:t>
      </w:r>
      <w:r>
        <w:t xml:space="preserve">for at least</w:t>
      </w:r>
      <w:r>
        <w:t xml:space="preserve"> </w:t>
      </w:r>
      <m:oMath>
        <m:d>
          <m:dPr>
            <m:begChr m:val="("/>
            <m:endChr m:val=")"/>
            <m:sepChr m:val=""/>
            <m:grow/>
          </m:dPr>
          <m:e>
            <m:r>
              <m:t>1</m:t>
            </m:r>
            <m:r>
              <m:rPr>
                <m:sty m:val="p"/>
              </m:rPr>
              <m:t>−</m:t>
            </m:r>
            <m:r>
              <m:t>α</m:t>
            </m:r>
          </m:e>
        </m:d>
        <m:d>
          <m:dPr>
            <m:begChr m:val="("/>
            <m:endChr m:val=")"/>
            <m:sepChr m:val=""/>
            <m:grow/>
          </m:dPr>
          <m:e>
            <m:r>
              <m:t>m</m:t>
            </m:r>
            <m:r>
              <m:rPr>
                <m:sty m:val="p"/>
              </m:rPr>
              <m:t>+</m:t>
            </m:r>
            <m:r>
              <m:t>1</m:t>
            </m:r>
          </m:e>
        </m:d>
      </m:oMath>
      <w:r>
        <w:t xml:space="preserve"> </w:t>
      </w:r>
      <w:r>
        <w:t xml:space="preserve">indices</w:t>
      </w:r>
      <w:r>
        <w:t xml:space="preserve"> </w:t>
      </w:r>
      <m:oMath>
        <m:r>
          <m:t>i</m:t>
        </m:r>
      </m:oMath>
      <w:r>
        <w:t xml:space="preserve">.</w:t>
      </w:r>
    </w:p>
    <w:p>
      <w:pPr>
        <w:numPr>
          <w:ilvl w:val="0"/>
          <w:numId w:val="1032"/>
        </w:numPr>
      </w:pPr>
      <w:r>
        <w:rPr>
          <w:iCs/>
          <w:i/>
        </w:rPr>
        <w:t xml:space="preserve">Lower tail.</w:t>
      </w:r>
      <w:r>
        <w:t xml:space="preserve"> </w:t>
      </w:r>
      <w:r>
        <w:t xml:space="preserve">If</w:t>
      </w:r>
      <w:r>
        <w:t xml:space="preserve"> </w:t>
      </w:r>
      <m:oMath>
        <m:sSub>
          <m:e>
            <m:r>
              <m:t>y</m:t>
            </m:r>
          </m:e>
          <m:sub>
            <m:r>
              <m:t>m</m:t>
            </m:r>
            <m:r>
              <m:rPr>
                <m:sty m:val="p"/>
              </m:rPr>
              <m:t>+</m:t>
            </m:r>
            <m:r>
              <m:t>1</m:t>
            </m:r>
          </m:sub>
        </m:sSub>
      </m:oMath>
      <w:r>
        <w:t xml:space="preserve"> </w:t>
      </w:r>
      <w:r>
        <w:t xml:space="preserve">is below the lower bound, the</w:t>
      </w:r>
      <w:r>
        <w:t xml:space="preserve"> </w:t>
      </w:r>
      <m:oMath>
        <m:r>
          <m:t>k</m:t>
        </m:r>
      </m:oMath>
      <w:r>
        <w:t xml:space="preserve">-th smallest</w:t>
      </w:r>
      <w:r>
        <w:t xml:space="preserve"> </w:t>
      </w:r>
      <m:oMath>
        <m:sSub>
          <m:e>
            <m:r>
              <m:t>L</m:t>
            </m:r>
          </m:e>
          <m:sub>
            <m:r>
              <m:t>i</m:t>
            </m:r>
          </m:sub>
        </m:sSub>
      </m:oMath>
      <w:r>
        <w:t xml:space="preserve"> </w:t>
      </w:r>
      <w:r>
        <w:t xml:space="preserve">with</w:t>
      </w:r>
      <w:r>
        <w:t xml:space="preserve"> </w:t>
      </w:r>
      <m:oMath>
        <m:r>
          <m:t>k</m:t>
        </m:r>
        <m:r>
          <m:rPr>
            <m:sty m:val="p"/>
          </m:rPr>
          <m:t>=</m:t>
        </m:r>
        <m:r>
          <m:rPr>
            <m:sty m:val="p"/>
          </m:rPr>
          <m:t>⌊</m:t>
        </m:r>
        <m:r>
          <m:t>α</m:t>
        </m:r>
        <m:d>
          <m:dPr>
            <m:begChr m:val="("/>
            <m:endChr m:val=")"/>
            <m:sepChr m:val=""/>
            <m:grow/>
          </m:dPr>
          <m:e>
            <m:r>
              <m:t>m</m:t>
            </m:r>
            <m:r>
              <m:rPr>
                <m:sty m:val="p"/>
              </m:rPr>
              <m:t>+</m:t>
            </m:r>
            <m:r>
              <m:t>1</m:t>
            </m:r>
          </m:e>
        </m:d>
        <m:r>
          <m:rPr>
            <m:sty m:val="p"/>
          </m:rPr>
          <m:t>⌋</m:t>
        </m:r>
      </m:oMath>
      <w:r>
        <w:t xml:space="preserve">, then</w:t>
      </w:r>
      <w:r>
        <w:t xml:space="preserve"> </w:t>
      </w:r>
      <m:oMath>
        <m:sSub>
          <m:e>
            <m:r>
              <m:t>y</m:t>
            </m:r>
          </m:e>
          <m:sub>
            <m:r>
              <m:t>m</m:t>
            </m:r>
            <m:r>
              <m:rPr>
                <m:sty m:val="p"/>
              </m:rPr>
              <m:t>+</m:t>
            </m:r>
            <m:r>
              <m:t>1</m:t>
            </m:r>
          </m:sub>
        </m:sSub>
        <m:r>
          <m:rPr>
            <m:sty m:val="p"/>
          </m:rPr>
          <m:t>&lt;</m:t>
        </m:r>
        <m:sSub>
          <m:e>
            <m:r>
              <m:t>L</m:t>
            </m:r>
          </m:e>
          <m:sub>
            <m:r>
              <m:t>i</m:t>
            </m:r>
          </m:sub>
        </m:sSub>
      </m:oMath>
      <w:r>
        <w:t xml:space="preserve"> </w:t>
      </w:r>
      <w:r>
        <w:t xml:space="preserve">for at least</w:t>
      </w:r>
      <w:r>
        <w:t xml:space="preserve"> </w:t>
      </w:r>
      <m:oMath>
        <m:r>
          <m:t>m</m:t>
        </m:r>
        <m:r>
          <m:rPr>
            <m:sty m:val="p"/>
          </m:rPr>
          <m:t>−</m:t>
        </m:r>
        <m:r>
          <m:t>k</m:t>
        </m:r>
        <m:r>
          <m:rPr>
            <m:sty m:val="p"/>
          </m:rPr>
          <m:t>+</m:t>
        </m:r>
        <m:r>
          <m:t>1</m:t>
        </m:r>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oMath>
      <w:r>
        <w:t xml:space="preserve"> </w:t>
      </w:r>
      <w:r>
        <w:t xml:space="preserve">indices.</w:t>
      </w:r>
    </w:p>
    <w:p>
      <w:pPr>
        <w:pStyle w:val="FirstParagraph"/>
      </w:pPr>
      <w:r>
        <w:t xml:space="preserve">In both cases</w:t>
      </w:r>
      <w:r>
        <w:t xml:space="preserve"> </w:t>
      </w:r>
      <m:oMath>
        <m:r>
          <m:rPr>
            <m:sty m:val="p"/>
          </m:rPr>
          <m:t>|</m:t>
        </m:r>
        <m:sSub>
          <m:e>
            <m:r>
              <m:t>y</m:t>
            </m:r>
          </m:e>
          <m:sub>
            <m:r>
              <m:t>m</m:t>
            </m:r>
            <m:r>
              <m:rPr>
                <m:sty m:val="p"/>
              </m:rPr>
              <m:t>+</m:t>
            </m:r>
            <m:r>
              <m:t>1</m:t>
            </m:r>
          </m:sub>
        </m:sSub>
        <m:r>
          <m:rPr>
            <m:sty m:val="p"/>
          </m:rPr>
          <m:t>−</m:t>
        </m:r>
        <m:sSub>
          <m:e>
            <m:r>
              <m:t>μ</m:t>
            </m:r>
          </m:e>
          <m:sub>
            <m:r>
              <m:rPr>
                <m:sty m:val="p"/>
              </m:rPr>
              <m:t>−</m:t>
            </m:r>
            <m:r>
              <m:t>i</m:t>
            </m:r>
          </m:sub>
        </m:sSub>
        <m:d>
          <m:dPr>
            <m:begChr m:val="("/>
            <m:endChr m:val=")"/>
            <m:sepChr m:val=""/>
            <m:grow/>
          </m:dPr>
          <m:e>
            <m:r>
              <m:rPr>
                <m:sty m:val="b"/>
              </m:rPr>
              <m:t>x</m:t>
            </m:r>
          </m:e>
        </m:d>
        <m:r>
          <m:rPr>
            <m:sty m:val="p"/>
          </m:rPr>
          <m:t>|</m:t>
        </m:r>
        <m:r>
          <m:rPr>
            <m:sty m:val="p"/>
          </m:rPr>
          <m:t>/</m:t>
        </m:r>
        <m:sSub>
          <m:e>
            <m:r>
              <m:t>σ</m:t>
            </m:r>
          </m:e>
          <m:sub>
            <m:r>
              <m:rPr>
                <m:sty m:val="p"/>
              </m:rPr>
              <m:t>−</m:t>
            </m:r>
            <m:r>
              <m:t>i</m:t>
            </m:r>
          </m:sub>
        </m:sSub>
        <m:d>
          <m:dPr>
            <m:begChr m:val="("/>
            <m:endChr m:val=")"/>
            <m:sepChr m:val=""/>
            <m:grow/>
          </m:dPr>
          <m:e>
            <m:r>
              <m:rPr>
                <m:sty m:val="b"/>
              </m:rPr>
              <m:t>x</m:t>
            </m:r>
          </m:e>
        </m:d>
        <m:r>
          <m:rPr>
            <m:sty m:val="p"/>
          </m:rPr>
          <m:t>&gt;</m:t>
        </m:r>
        <m:sSub>
          <m:e>
            <m:r>
              <m:t>R</m:t>
            </m:r>
          </m:e>
          <m:sub>
            <m:r>
              <m:t>i</m:t>
            </m:r>
          </m:sub>
        </m:sSub>
      </m:oMath>
      <w:r>
        <w:t xml:space="preserve">, i.e. </w:t>
      </w:r>
      <m:oMath>
        <m:sSub>
          <m:e>
            <m:r>
              <m:t>R</m:t>
            </m:r>
          </m:e>
          <m:sub>
            <m:r>
              <m:t>m</m:t>
            </m:r>
            <m:r>
              <m:rPr>
                <m:sty m:val="p"/>
              </m:rPr>
              <m:t>+</m:t>
            </m:r>
            <m:r>
              <m:t>1</m:t>
            </m:r>
            <m:r>
              <m:rPr>
                <m:sty m:val="p"/>
              </m:rPr>
              <m:t>,</m:t>
            </m:r>
            <m:r>
              <m:t>i</m:t>
            </m:r>
          </m:sub>
        </m:sSub>
        <m:r>
          <m:rPr>
            <m:sty m:val="p"/>
          </m:rPr>
          <m:t>&gt;</m:t>
        </m:r>
        <m:sSub>
          <m:e>
            <m:r>
              <m:t>R</m:t>
            </m:r>
          </m:e>
          <m:sub>
            <m:r>
              <m:t>i</m:t>
            </m:r>
            <m:r>
              <m:rPr>
                <m:sty m:val="p"/>
              </m:rPr>
              <m:t>,</m:t>
            </m:r>
            <m:r>
              <m:t>m</m:t>
            </m:r>
            <m:r>
              <m:rPr>
                <m:sty m:val="p"/>
              </m:rPr>
              <m:t>+</m:t>
            </m:r>
            <m:r>
              <m:t>1</m:t>
            </m:r>
          </m:sub>
        </m:sSub>
      </m:oMath>
      <w:r>
        <w:t xml:space="preserve">, for at least</w:t>
      </w:r>
      <w:r>
        <w:t xml:space="preserve"> </w:t>
      </w:r>
      <m:oMath>
        <m:d>
          <m:dPr>
            <m:begChr m:val="("/>
            <m:endChr m:val=")"/>
            <m:sepChr m:val=""/>
            <m:grow/>
          </m:dPr>
          <m:e>
            <m:r>
              <m:t>1</m:t>
            </m:r>
            <m:r>
              <m:rPr>
                <m:sty m:val="p"/>
              </m:rPr>
              <m:t>−</m:t>
            </m:r>
            <m:r>
              <m:t>α</m:t>
            </m:r>
          </m:e>
        </m:d>
        <m:d>
          <m:dPr>
            <m:begChr m:val="("/>
            <m:endChr m:val=")"/>
            <m:sepChr m:val=""/>
            <m:grow/>
          </m:dPr>
          <m:e>
            <m:r>
              <m:t>m</m:t>
            </m:r>
            <m:r>
              <m:rPr>
                <m:sty m:val="p"/>
              </m:rPr>
              <m:t>+</m:t>
            </m:r>
            <m:r>
              <m:t>1</m:t>
            </m:r>
          </m:e>
        </m:d>
      </m:oMath>
      <w:r>
        <w:t xml:space="preserve"> </w:t>
      </w:r>
      <w:r>
        <w:t xml:space="preserve">indices. Therefore</w:t>
      </w:r>
    </w:p>
    <w:p>
      <w:pPr>
        <w:pStyle w:val="BodyText"/>
      </w:pPr>
      <m:oMathPara>
        <m:oMathParaPr>
          <m:jc m:val="center"/>
        </m:oMathParaPr>
        <m:oMath>
          <m:r>
            <m:rPr>
              <m:sty m:val="p"/>
            </m:rPr>
            <m:t>{</m:t>
          </m:r>
          <m:sSub>
            <m:e>
              <m:r>
                <m:t>y</m:t>
              </m:r>
            </m:e>
            <m:sub>
              <m:r>
                <m:t>m</m:t>
              </m:r>
              <m:r>
                <m:rPr>
                  <m:sty m:val="p"/>
                </m:rPr>
                <m:t>+</m:t>
              </m:r>
              <m:r>
                <m:t>1</m:t>
              </m:r>
            </m:sub>
          </m:sSub>
          <m:r>
            <m:rPr>
              <m:sty m:val="p"/>
            </m:rPr>
            <m:t>∉</m:t>
          </m:r>
          <m:acc>
            <m:accPr>
              <m:chr m:val="̂"/>
            </m:accPr>
            <m:e>
              <m:r>
                <m:t>C</m:t>
              </m:r>
            </m:e>
          </m:acc>
          <m:d>
            <m:dPr>
              <m:begChr m:val="("/>
              <m:endChr m:val=")"/>
              <m:sepChr m:val=""/>
              <m:grow/>
            </m:dPr>
            <m:e>
              <m:sSubSup>
                <m:e>
                  <m:r>
                    <m:rPr>
                      <m:sty m:val="b"/>
                    </m:rPr>
                    <m:t>x</m:t>
                  </m:r>
                </m:e>
                <m:sub>
                  <m:r>
                    <m:t>m</m:t>
                  </m:r>
                  <m:r>
                    <m:rPr>
                      <m:sty m:val="p"/>
                    </m:rPr>
                    <m:t>+</m:t>
                  </m:r>
                  <m:r>
                    <m:t>1</m:t>
                  </m:r>
                </m:sub>
                <m:sup>
                  <m:r>
                    <m:t>T</m:t>
                  </m:r>
                </m:sup>
              </m:sSubSup>
            </m:e>
          </m:d>
          <m:r>
            <m:rPr>
              <m:sty m:val="p"/>
            </m:rPr>
            <m:t>}</m:t>
          </m:r>
          <m:r>
            <m:rPr>
              <m:sty m:val="p"/>
            </m:rPr>
            <m:t>⊆</m:t>
          </m:r>
          <m:d>
            <m:dPr>
              <m:begChr m:val="{"/>
              <m:endChr m:val="}"/>
              <m:sepChr m:val=""/>
              <m:grow/>
            </m:dPr>
            <m:e>
              <m:nary>
                <m:naryPr>
                  <m:chr m:val="∑"/>
                  <m:limLoc m:val="undOvr"/>
                  <m:subHide m:val="off"/>
                  <m:supHide m:val="on"/>
                </m:naryPr>
                <m:sub>
                  <m:r>
                    <m:t>i</m:t>
                  </m:r>
                  <m:r>
                    <m:rPr>
                      <m:sty m:val="p"/>
                    </m:rPr>
                    <m:t>≤</m:t>
                  </m:r>
                  <m:r>
                    <m:t>m</m:t>
                  </m:r>
                </m:sub>
                <m:sup>
                  <m:r>
                    <m:t>​</m:t>
                  </m:r>
                </m:sup>
                <m:e>
                  <m:r>
                    <m:rPr>
                      <m:sty m:val="b"/>
                    </m:rPr>
                    <m:t>1</m:t>
                  </m:r>
                </m:e>
              </m:nary>
              <m:d>
                <m:dPr>
                  <m:begChr m:val="["/>
                  <m:endChr m:val="]"/>
                  <m:sepChr m:val=""/>
                  <m:grow/>
                </m:dPr>
                <m:e>
                  <m:sSub>
                    <m:e>
                      <m:r>
                        <m:t>R</m:t>
                      </m:r>
                    </m:e>
                    <m:sub>
                      <m:r>
                        <m:t>m</m:t>
                      </m:r>
                      <m:r>
                        <m:rPr>
                          <m:sty m:val="p"/>
                        </m:rPr>
                        <m:t>+</m:t>
                      </m:r>
                      <m:r>
                        <m:t>1</m:t>
                      </m:r>
                      <m:r>
                        <m:rPr>
                          <m:sty m:val="p"/>
                        </m:rPr>
                        <m:t>,</m:t>
                      </m:r>
                      <m:r>
                        <m:t>i</m:t>
                      </m:r>
                    </m:sub>
                  </m:sSub>
                  <m:r>
                    <m:rPr>
                      <m:sty m:val="p"/>
                    </m:rPr>
                    <m:t>&gt;</m:t>
                  </m:r>
                  <m:sSub>
                    <m:e>
                      <m:r>
                        <m:t>R</m:t>
                      </m:r>
                    </m:e>
                    <m:sub>
                      <m:r>
                        <m:t>i</m:t>
                      </m:r>
                      <m:r>
                        <m:rPr>
                          <m:sty m:val="p"/>
                        </m:rPr>
                        <m:t>,</m:t>
                      </m:r>
                      <m:r>
                        <m:t>m</m:t>
                      </m:r>
                      <m:r>
                        <m:rPr>
                          <m:sty m:val="p"/>
                        </m:rPr>
                        <m:t>+</m:t>
                      </m:r>
                      <m:r>
                        <m:t>1</m:t>
                      </m:r>
                    </m:sub>
                  </m:sSub>
                </m:e>
              </m:d>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e>
          </m:d>
          <m:r>
            <m:rPr>
              <m:sty m:val="p"/>
            </m:rPr>
            <m:t>.</m:t>
          </m:r>
        </m:oMath>
      </m:oMathPara>
    </w:p>
    <w:p>
      <w:pPr>
        <w:pStyle w:val="FirstParagraph"/>
      </w:pPr>
      <w:r>
        <w:rPr>
          <w:bCs/>
          <w:b/>
        </w:rPr>
        <w:t xml:space="preserve">Step 3 (tournament bound).</w:t>
      </w:r>
      <w:r>
        <w:t xml:space="preserve"> </w:t>
      </w:r>
      <w:r>
        <w:t xml:space="preserve">Call a point</w:t>
      </w:r>
      <w:r>
        <w:t xml:space="preserve"> </w:t>
      </w:r>
      <m:oMath>
        <m:r>
          <m:t>j</m:t>
        </m:r>
        <m:r>
          <m:rPr>
            <m:sty m:val="p"/>
          </m:rPr>
          <m:t>∈</m:t>
        </m:r>
        <m:r>
          <m:rPr>
            <m:sty m:val="p"/>
          </m:rPr>
          <m:t>{</m:t>
        </m:r>
        <m:r>
          <m:t>1</m:t>
        </m:r>
        <m:r>
          <m:rPr>
            <m:sty m:val="p"/>
          </m:rPr>
          <m:t>,</m:t>
        </m:r>
        <m:r>
          <m:rPr>
            <m:sty m:val="p"/>
          </m:rPr>
          <m:t>…</m:t>
        </m:r>
        <m:r>
          <m:rPr>
            <m:sty m:val="p"/>
          </m:rPr>
          <m:t>,</m:t>
        </m:r>
        <m:r>
          <m:t>m</m:t>
        </m:r>
        <m:r>
          <m:rPr>
            <m:sty m:val="p"/>
          </m:rPr>
          <m:t>+</m:t>
        </m:r>
        <m:r>
          <m:t>1</m:t>
        </m:r>
        <m:r>
          <m:rPr>
            <m:sty m:val="p"/>
          </m:rPr>
          <m:t>}</m:t>
        </m:r>
      </m:oMath>
      <w:r>
        <w:t xml:space="preserve"> </w:t>
      </w:r>
      <w:r>
        <w:rPr>
          <w:iCs/>
          <w:i/>
        </w:rPr>
        <w:t xml:space="preserve">strange</w:t>
      </w:r>
      <w:r>
        <w:t xml:space="preserve"> </w:t>
      </w:r>
      <w:r>
        <w:t xml:space="preserve">if</w:t>
      </w:r>
      <w:r>
        <w:t xml:space="preserve"> </w:t>
      </w:r>
      <m:oMath>
        <m:nary>
          <m:naryPr>
            <m:chr m:val="∑"/>
            <m:limLoc m:val="undOvr"/>
            <m:subHide m:val="off"/>
            <m:supHide m:val="on"/>
          </m:naryPr>
          <m:sub>
            <m:r>
              <m:t>i</m:t>
            </m:r>
            <m:r>
              <m:rPr>
                <m:sty m:val="p"/>
              </m:rPr>
              <m:t>≠</m:t>
            </m:r>
            <m:r>
              <m:t>j</m:t>
            </m:r>
          </m:sub>
          <m:sup>
            <m:r>
              <m:t>​</m:t>
            </m:r>
          </m:sup>
          <m:e>
            <m:r>
              <m:rPr>
                <m:sty m:val="b"/>
              </m:rPr>
              <m:t>1</m:t>
            </m:r>
          </m:e>
        </m:nary>
        <m:d>
          <m:dPr>
            <m:begChr m:val="["/>
            <m:endChr m:val="]"/>
            <m:sepChr m:val=""/>
            <m:grow/>
          </m:dPr>
          <m:e>
            <m:sSub>
              <m:e>
                <m:r>
                  <m:t>R</m:t>
                </m:r>
              </m:e>
              <m:sub>
                <m:r>
                  <m:t>j</m:t>
                </m:r>
                <m:r>
                  <m:t>i</m:t>
                </m:r>
              </m:sub>
            </m:sSub>
            <m:r>
              <m:rPr>
                <m:sty m:val="p"/>
              </m:rPr>
              <m:t>&gt;</m:t>
            </m:r>
            <m:sSub>
              <m:e>
                <m:r>
                  <m:t>R</m:t>
                </m:r>
              </m:e>
              <m:sub>
                <m:r>
                  <m:t>i</m:t>
                </m:r>
                <m:r>
                  <m:t>j</m:t>
                </m:r>
              </m:sub>
            </m:sSub>
          </m:e>
        </m:d>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oMath>
      <w:r>
        <w:t xml:space="preserve">. By the counting lemma in the proof of Theorem 1 of Barber et al.</w:t>
      </w:r>
      <w:r>
        <w:t xml:space="preserve"> </w:t>
      </w:r>
      <w:r>
        <w:t xml:space="preserve">[32]</w:t>
      </w:r>
      <w:r>
        <w:t xml:space="preserve">, at most</w:t>
      </w:r>
      <w:r>
        <w:t xml:space="preserve"> </w:t>
      </w:r>
      <m:oMath>
        <m:r>
          <m:t>2</m:t>
        </m:r>
        <m:r>
          <m:t>α</m:t>
        </m:r>
        <m:d>
          <m:dPr>
            <m:begChr m:val="("/>
            <m:endChr m:val=")"/>
            <m:sepChr m:val=""/>
            <m:grow/>
          </m:dPr>
          <m:e>
            <m:r>
              <m:t>m</m:t>
            </m:r>
            <m:r>
              <m:rPr>
                <m:sty m:val="p"/>
              </m:rPr>
              <m:t>+</m:t>
            </m:r>
            <m:r>
              <m:t>1</m:t>
            </m:r>
          </m:e>
        </m:d>
      </m:oMath>
      <w:r>
        <w:t xml:space="preserve"> </w:t>
      </w:r>
      <w:r>
        <w:t xml:space="preserve">points can be strange, for any realisation of the scores.</w:t>
      </w:r>
    </w:p>
    <w:p>
      <w:pPr>
        <w:pStyle w:val="BodyText"/>
      </w:pPr>
      <w:r>
        <w:rPr>
          <w:bCs/>
          <w:b/>
        </w:rPr>
        <w:t xml:space="preserve">Step 4 (exchangeability).</w:t>
      </w:r>
      <w:r>
        <w:t xml:space="preserve"> </w:t>
      </w:r>
      <w:r>
        <w:t xml:space="preserve">The</w:t>
      </w:r>
      <w:r>
        <w:t xml:space="preserve"> </w:t>
      </w:r>
      <m:oMath>
        <m:sSub>
          <m:e>
            <m:r>
              <m:t>Z</m:t>
            </m:r>
          </m:e>
          <m:sub>
            <m:r>
              <m:t>k</m:t>
            </m:r>
          </m:sub>
        </m:sSub>
      </m:oMath>
      <w:r>
        <w:t xml:space="preserve"> </w:t>
      </w:r>
      <w:r>
        <w:t xml:space="preserve">are exchangeable and</w:t>
      </w:r>
      <w:r>
        <w:t xml:space="preserve"> </w:t>
      </w:r>
      <m:oMath>
        <m:r>
          <m:rPr>
            <m:sty m:val="p"/>
            <m:scr m:val="script"/>
          </m:rPr>
          <m:t>T</m:t>
        </m:r>
      </m:oMath>
      <w:r>
        <w:t xml:space="preserve"> </w:t>
      </w:r>
      <w:r>
        <w:t xml:space="preserve">is symmetric. Hence the joint law of the matrix</w:t>
      </w:r>
      <w:r>
        <w:t xml:space="preserve"> </w:t>
      </w:r>
      <m:oMath>
        <m:d>
          <m:dPr>
            <m:begChr m:val="("/>
            <m:endChr m:val=")"/>
            <m:sepChr m:val=""/>
            <m:grow/>
          </m:dPr>
          <m:e>
            <m:sSub>
              <m:e>
                <m:r>
                  <m:t>R</m:t>
                </m:r>
              </m:e>
              <m:sub>
                <m:r>
                  <m:t>i</m:t>
                </m:r>
                <m:r>
                  <m:t>j</m:t>
                </m:r>
              </m:sub>
            </m:sSub>
          </m:e>
        </m:d>
      </m:oMath>
      <w:r>
        <w:t xml:space="preserve"> </w:t>
      </w:r>
      <w:r>
        <w:t xml:space="preserve">is invariant under a simultaneous permutation of rows and columns, and every point is equally likely to be strange. Thus</w:t>
      </w:r>
      <w:r>
        <w:t xml:space="preserve"> </w:t>
      </w:r>
      <m:oMath>
        <m:r>
          <m:rPr>
            <m:sty m:val="p"/>
          </m:rPr>
          <m:t>Pr</m:t>
        </m:r>
        <m:r>
          <m:rPr>
            <m:sty m:val="p"/>
          </m:rPr>
          <m:t>{</m:t>
        </m:r>
        <m:sSub>
          <m:e>
            <m:r>
              <m:t>Z</m:t>
            </m:r>
          </m:e>
          <m:sub>
            <m:r>
              <m:t>m</m:t>
            </m:r>
            <m:r>
              <m:rPr>
                <m:sty m:val="p"/>
              </m:rPr>
              <m:t>+</m:t>
            </m:r>
            <m:r>
              <m:t>1</m:t>
            </m:r>
          </m:sub>
        </m:sSub>
        <m:r>
          <m:rPr>
            <m:nor/>
            <m:sty m:val="p"/>
          </m:rPr>
          <m:t> strange</m:t>
        </m:r>
        <m:r>
          <m:rPr>
            <m:sty m:val="p"/>
          </m:rPr>
          <m:t>}</m:t>
        </m:r>
        <m:r>
          <m:rPr>
            <m:sty m:val="p"/>
          </m:rPr>
          <m:t>=</m:t>
        </m:r>
        <m:r>
          <m:rPr>
            <m:sty m:val="p"/>
            <m:scr m:val="double-struck"/>
          </m:rPr>
          <m:t>E</m:t>
        </m:r>
        <m:d>
          <m:dPr>
            <m:begChr m:val="["/>
            <m:endChr m:val="]"/>
            <m:sepChr m:val=""/>
            <m:grow/>
          </m:dPr>
          <m:e>
            <m:r>
              <m:rPr>
                <m:sty m:val="p"/>
              </m:rPr>
              <m:t>#</m:t>
            </m:r>
            <m:r>
              <m:rPr>
                <m:nor/>
                <m:sty m:val="p"/>
              </m:rPr>
              <m:t>strange</m:t>
            </m:r>
          </m:e>
        </m:d>
        <m:r>
          <m:rPr>
            <m:sty m:val="p"/>
          </m:rPr>
          <m:t>/</m:t>
        </m:r>
        <m:d>
          <m:dPr>
            <m:begChr m:val="("/>
            <m:endChr m:val=")"/>
            <m:sepChr m:val=""/>
            <m:grow/>
          </m:dPr>
          <m:e>
            <m:r>
              <m:t>m</m:t>
            </m:r>
            <m:r>
              <m:rPr>
                <m:sty m:val="p"/>
              </m:rPr>
              <m:t>+</m:t>
            </m:r>
            <m:r>
              <m:t>1</m:t>
            </m:r>
          </m:e>
        </m:d>
        <m:r>
          <m:rPr>
            <m:sty m:val="p"/>
          </m:rPr>
          <m:t>≤</m:t>
        </m:r>
        <m:r>
          <m:t>2</m:t>
        </m:r>
        <m:r>
          <m:t>α</m:t>
        </m:r>
      </m:oMath>
      <w:r>
        <w:t xml:space="preserve">. Combining with Step 2 gives</w:t>
      </w:r>
      <w:r>
        <w:t xml:space="preserve"> </w:t>
      </w:r>
      <m:oMath>
        <m:r>
          <m:rPr>
            <m:sty m:val="p"/>
          </m:rPr>
          <m:t>Pr</m:t>
        </m:r>
        <m:r>
          <m:rPr>
            <m:sty m:val="p"/>
          </m:rPr>
          <m:t>{</m:t>
        </m:r>
        <m:sSub>
          <m:e>
            <m:r>
              <m:t>y</m:t>
            </m:r>
          </m:e>
          <m:sub>
            <m:r>
              <m:t>m</m:t>
            </m:r>
            <m:r>
              <m:rPr>
                <m:sty m:val="p"/>
              </m:rPr>
              <m:t>+</m:t>
            </m:r>
            <m:r>
              <m:t>1</m:t>
            </m:r>
          </m:sub>
        </m:sSub>
        <m:r>
          <m:rPr>
            <m:sty m:val="p"/>
          </m:rPr>
          <m:t>∉</m:t>
        </m:r>
        <m:acc>
          <m:accPr>
            <m:chr m:val="̂"/>
          </m:accPr>
          <m:e>
            <m:r>
              <m:t>C</m:t>
            </m:r>
          </m:e>
        </m:acc>
        <m:r>
          <m:rPr>
            <m:sty m:val="p"/>
          </m:rPr>
          <m:t>}</m:t>
        </m:r>
        <m:r>
          <m:rPr>
            <m:sty m:val="p"/>
          </m:rPr>
          <m:t>≤</m:t>
        </m:r>
        <m:r>
          <m:t>2</m:t>
        </m:r>
        <m:r>
          <m:t>α</m:t>
        </m:r>
      </m:oMath>
      <w:r>
        <w:t xml:space="preserve">.</w:t>
      </w:r>
      <w:r>
        <w:t xml:space="preserve"> </w:t>
      </w:r>
      <m:oMath>
        <m:r>
          <m:rPr>
            <m:sty m:val="p"/>
          </m:rPr>
          <m:t>▫</m:t>
        </m:r>
      </m:oMath>
    </w:p>
    <w:p>
      <w:pPr>
        <w:pStyle w:val="BodyText"/>
      </w:pPr>
      <w:r>
        <w:rPr>
          <w:bCs/>
          <w:b/>
        </w:rPr>
        <w:t xml:space="preserve">Remarks.</w:t>
      </w:r>
    </w:p>
    <w:p>
      <w:pPr>
        <w:numPr>
          <w:ilvl w:val="0"/>
          <w:numId w:val="1033"/>
        </w:numPr>
      </w:pPr>
      <w:r>
        <w:t xml:space="preserve">The normalisation enters only through the definition of the scores. Steps 2–4 hold for any score of the form</w:t>
      </w:r>
      <w:r>
        <w:t xml:space="preserve"> </w:t>
      </w:r>
      <m:oMath>
        <m:r>
          <m:rPr>
            <m:sty m:val="p"/>
          </m:rPr>
          <m:t>|</m:t>
        </m:r>
        <m:sSub>
          <m:e>
            <m:r>
              <m:t>y</m:t>
            </m:r>
          </m:e>
          <m:sub>
            <m:r>
              <m:t>i</m:t>
            </m:r>
          </m:sub>
        </m:sSub>
        <m:r>
          <m:rPr>
            <m:sty m:val="p"/>
          </m:rPr>
          <m:t>−</m:t>
        </m:r>
        <m:sSub>
          <m:e>
            <m:r>
              <m:t>μ</m:t>
            </m:r>
          </m:e>
          <m:sub>
            <m:r>
              <m:rPr>
                <m:sty m:val="p"/>
              </m:rPr>
              <m:t>−</m:t>
            </m:r>
            <m:r>
              <m:t>i</m:t>
            </m:r>
            <m:r>
              <m:t>j</m:t>
            </m:r>
          </m:sub>
        </m:sSub>
        <m:d>
          <m:dPr>
            <m:begChr m:val="("/>
            <m:endChr m:val=")"/>
            <m:sepChr m:val=""/>
            <m:grow/>
          </m:dPr>
          <m:e>
            <m:sSub>
              <m:e>
                <m:r>
                  <m:rPr>
                    <m:sty m:val="b"/>
                  </m:rPr>
                  <m:t>x</m:t>
                </m:r>
              </m:e>
              <m:sub>
                <m:r>
                  <m:t>i</m:t>
                </m:r>
              </m:sub>
            </m:sSub>
          </m:e>
        </m:d>
        <m:r>
          <m:rPr>
            <m:sty m:val="p"/>
          </m:rPr>
          <m:t>|</m:t>
        </m:r>
        <m:r>
          <m:rPr>
            <m:sty m:val="p"/>
          </m:rPr>
          <m:t>/</m:t>
        </m:r>
        <m:sSub>
          <m:e>
            <m:r>
              <m:t>σ</m:t>
            </m:r>
          </m:e>
          <m:sub>
            <m:r>
              <m:rPr>
                <m:sty m:val="p"/>
              </m:rPr>
              <m:t>−</m:t>
            </m:r>
            <m:r>
              <m:t>i</m:t>
            </m:r>
            <m:r>
              <m:t>j</m:t>
            </m:r>
          </m:sub>
        </m:sSub>
        <m:d>
          <m:dPr>
            <m:begChr m:val="("/>
            <m:endChr m:val=")"/>
            <m:sepChr m:val=""/>
            <m:grow/>
          </m:dPr>
          <m:e>
            <m:sSub>
              <m:e>
                <m:r>
                  <m:rPr>
                    <m:sty m:val="b"/>
                  </m:rPr>
                  <m:t>x</m:t>
                </m:r>
              </m:e>
              <m:sub>
                <m:r>
                  <m:t>i</m:t>
                </m:r>
              </m:sub>
            </m:sSub>
          </m:e>
        </m:d>
      </m:oMath>
      <w:r>
        <w:t xml:space="preserve"> </w:t>
      </w:r>
      <w:r>
        <w:t xml:space="preserve">with</w:t>
      </w:r>
      <w:r>
        <w:t xml:space="preserve"> </w:t>
      </w:r>
      <m:oMath>
        <m:r>
          <m:t>σ</m:t>
        </m:r>
        <m:r>
          <m:rPr>
            <m:sty m:val="p"/>
          </m:rPr>
          <m:t>&gt;</m:t>
        </m:r>
        <m:r>
          <m:t>0</m:t>
        </m:r>
      </m:oMath>
      <w:r>
        <w:t xml:space="preserve">, provided the pair</w:t>
      </w:r>
      <w:r>
        <w:t xml:space="preserve"> </w:t>
      </w:r>
      <m:oMath>
        <m:d>
          <m:dPr>
            <m:begChr m:val="("/>
            <m:endChr m:val=")"/>
            <m:sepChr m:val=""/>
            <m:grow/>
          </m:dPr>
          <m:e>
            <m:r>
              <m:t>μ</m:t>
            </m:r>
            <m:r>
              <m:rPr>
                <m:sty m:val="p"/>
              </m:rPr>
              <m:t>,</m:t>
            </m:r>
            <m:r>
              <m:t>σ</m:t>
            </m:r>
          </m:e>
        </m:d>
      </m:oMath>
      <w:r>
        <w:t xml:space="preserve"> </w:t>
      </w:r>
      <w:r>
        <w:t xml:space="preserve">is produced by a symmetric algorithm.</w:t>
      </w:r>
    </w:p>
    <w:p>
      <w:pPr>
        <w:numPr>
          <w:ilvl w:val="0"/>
          <w:numId w:val="1033"/>
        </w:numPr>
      </w:pPr>
      <w:r>
        <w:t xml:space="preserve">Fitting the transfer on all</w:t>
      </w:r>
      <w:r>
        <w:t xml:space="preserve"> </w:t>
      </w:r>
      <m:oMath>
        <m:r>
          <m:t>m</m:t>
        </m:r>
      </m:oMath>
      <w:r>
        <w:t xml:space="preserve"> </w:t>
      </w:r>
      <w:r>
        <w:t xml:space="preserve">standards and reusing it to compute residuals (TJ-insample) breaks Step 1: the residual of standard</w:t>
      </w:r>
      <w:r>
        <w:t xml:space="preserve"> </w:t>
      </w:r>
      <m:oMath>
        <m:r>
          <m:t>i</m:t>
        </m:r>
      </m:oMath>
      <w:r>
        <w:t xml:space="preserve"> </w:t>
      </w:r>
      <w:r>
        <w:t xml:space="preserve">is then computed with a fit that has seen</w:t>
      </w:r>
      <w:r>
        <w:t xml:space="preserve"> </w:t>
      </w:r>
      <m:oMath>
        <m:r>
          <m:t>i</m:t>
        </m:r>
      </m:oMath>
      <w:r>
        <w:t xml:space="preserve">, and the exchangeability with the future sample’s residual is lost. The resulting under-coverage is observed in §4.4.</w:t>
      </w:r>
    </w:p>
    <w:p>
      <w:pPr>
        <w:numPr>
          <w:ilvl w:val="0"/>
          <w:numId w:val="1033"/>
        </w:numPr>
      </w:pPr>
      <w:r>
        <w:t xml:space="preserve">Ties between scores have probability zero for continuous data; with ties, the strict inequalities in Step 2 make the interval only more conservative.</w:t>
      </w:r>
    </w:p>
    <w:p>
      <w:pPr>
        <w:numPr>
          <w:ilvl w:val="0"/>
          <w:numId w:val="1033"/>
        </w:numPr>
      </w:pPr>
      <w:r>
        <w:t xml:space="preserve">If the standards are chosen by a data-dependent design such as Kennard–Stone, they are no longer exchangeable with a random future sample, and Step 4 does not apply.</w:t>
      </w:r>
    </w:p>
    <w:bookmarkEnd w:id="73"/>
    <w:bookmarkStart w:id="161" w:name="bibliography"/>
    <w:p>
      <w:r>
        <w:br w:type="page"/>
      </w:r>
    </w:p>
    <w:p>
      <w:pPr>
        <w:pStyle w:val="Heading1"/>
      </w:pPr>
      <w:r>
        <w:t xml:space="preserve">References</w:t>
      </w:r>
    </w:p>
    <w:bookmarkStart w:id="160" w:name="refs"/>
    <w:bookmarkStart w:id="75" w:name="ref-pasquini2018"/>
    <w:p>
      <w:pPr>
        <w:pStyle w:val="Bibliography"/>
      </w:pPr>
      <w:r>
        <w:t xml:space="preserve">[1]</w:t>
      </w:r>
      <w:r>
        <w:t xml:space="preserve"> </w:t>
      </w:r>
      <w:r>
        <w:t xml:space="preserve">	</w:t>
      </w:r>
      <w:r>
        <w:t xml:space="preserve">C. Pasquini, Near infrared spectroscopy: A mature analytical technique with new perspectives – A review, Analytica Chimica Acta 1026 (2018) 8–36. https://doi.org/</w:t>
      </w:r>
      <w:hyperlink r:id="rId74">
        <w:r>
          <w:rPr>
            <w:rStyle w:val="Hyperlink"/>
          </w:rPr>
          <w:t xml:space="preserve">10.1016/j.aca.2018.04.004</w:t>
        </w:r>
      </w:hyperlink>
      <w:r>
        <w:t xml:space="preserve">.</w:t>
      </w:r>
    </w:p>
    <w:bookmarkEnd w:id="75"/>
    <w:bookmarkStart w:id="77" w:name="ref-feudale2002"/>
    <w:p>
      <w:pPr>
        <w:pStyle w:val="Bibliography"/>
      </w:pPr>
      <w:r>
        <w:t xml:space="preserve">[2]</w:t>
      </w:r>
      <w:r>
        <w:t xml:space="preserve"> </w:t>
      </w:r>
      <w:r>
        <w:t xml:space="preserve">	</w:t>
      </w:r>
      <w:r>
        <w:t xml:space="preserve">R.N. Feudale, N.A. Woody, H. Tan, A.J. Myles, S.D. Brown, J. Ferré, Transfer of multivariate calibration models: a review, Chemometrics and Intelligent Laboratory Systems 64 (2002) 181–192. https://doi.org/</w:t>
      </w:r>
      <w:hyperlink r:id="rId76">
        <w:r>
          <w:rPr>
            <w:rStyle w:val="Hyperlink"/>
          </w:rPr>
          <w:t xml:space="preserve">10.1016/S0169-7439(02)00085-0</w:t>
        </w:r>
      </w:hyperlink>
      <w:r>
        <w:t xml:space="preserve">.</w:t>
      </w:r>
    </w:p>
    <w:bookmarkEnd w:id="77"/>
    <w:bookmarkStart w:id="79" w:name="ref-workman2018"/>
    <w:p>
      <w:pPr>
        <w:pStyle w:val="Bibliography"/>
      </w:pPr>
      <w:r>
        <w:t xml:space="preserve">[3]</w:t>
      </w:r>
      <w:r>
        <w:t xml:space="preserve"> </w:t>
      </w:r>
      <w:r>
        <w:t xml:space="preserve">	</w:t>
      </w:r>
      <w:r>
        <w:t xml:space="preserve">J.J. Workman, A Review of Calibration Transfer Practices and Instrument Differences in Spectroscopy, Applied Spectroscopy 72 (2018) 340–365. https://doi.org/</w:t>
      </w:r>
      <w:hyperlink r:id="rId78">
        <w:r>
          <w:rPr>
            <w:rStyle w:val="Hyperlink"/>
          </w:rPr>
          <w:t xml:space="preserve">10.1177/0003702817736064</w:t>
        </w:r>
      </w:hyperlink>
      <w:r>
        <w:t xml:space="preserve">.</w:t>
      </w:r>
    </w:p>
    <w:bookmarkEnd w:id="79"/>
    <w:bookmarkStart w:id="81" w:name="ref-anderson2020"/>
    <w:p>
      <w:pPr>
        <w:pStyle w:val="Bibliography"/>
      </w:pPr>
      <w:r>
        <w:t xml:space="preserve">[4]</w:t>
      </w:r>
      <w:r>
        <w:t xml:space="preserve"> </w:t>
      </w:r>
      <w:r>
        <w:t xml:space="preserve">	</w:t>
      </w:r>
      <w:r>
        <w:t xml:space="preserve">N.T. Anderson, K.B. Walsh, P.P. Subedi, C.H. Hayes, Achieving robustness across season, location and cultivar for a NIRS model for intact mango fruit dry matter content, Postharvest Biology and Technology 168 (2020) 111202. https://doi.org/</w:t>
      </w:r>
      <w:hyperlink r:id="rId80">
        <w:r>
          <w:rPr>
            <w:rStyle w:val="Hyperlink"/>
          </w:rPr>
          <w:t xml:space="preserve">10.1016/j.postharvbio.2020.111202</w:t>
        </w:r>
      </w:hyperlink>
      <w:r>
        <w:t xml:space="preserve">.</w:t>
      </w:r>
    </w:p>
    <w:bookmarkEnd w:id="81"/>
    <w:bookmarkStart w:id="83" w:name="ref-wang1991"/>
    <w:p>
      <w:pPr>
        <w:pStyle w:val="Bibliography"/>
      </w:pPr>
      <w:r>
        <w:t xml:space="preserve">[5]</w:t>
      </w:r>
      <w:r>
        <w:t xml:space="preserve"> </w:t>
      </w:r>
      <w:r>
        <w:t xml:space="preserve">	</w:t>
      </w:r>
      <w:r>
        <w:t xml:space="preserve">Yongdong. Wang, D.J. Veltkamp, B.R. Kowalski, Multivariate instrument standardization, Analytical Chemistry 63 (1991) 2750–2756. https://doi.org/</w:t>
      </w:r>
      <w:hyperlink r:id="rId82">
        <w:r>
          <w:rPr>
            <w:rStyle w:val="Hyperlink"/>
          </w:rPr>
          <w:t xml:space="preserve">10.1021/ac00023a016</w:t>
        </w:r>
      </w:hyperlink>
      <w:r>
        <w:t xml:space="preserve">.</w:t>
      </w:r>
    </w:p>
    <w:bookmarkEnd w:id="83"/>
    <w:bookmarkStart w:id="85" w:name="ref-bouveresse1996"/>
    <w:p>
      <w:pPr>
        <w:pStyle w:val="Bibliography"/>
      </w:pPr>
      <w:r>
        <w:t xml:space="preserve">[6]</w:t>
      </w:r>
      <w:r>
        <w:t xml:space="preserve"> </w:t>
      </w:r>
      <w:r>
        <w:t xml:space="preserve">	</w:t>
      </w:r>
      <w:r>
        <w:t xml:space="preserve">E. Bouveresse, D.L. Massart, Improvement of the piecewise direct standardisation procedure for the transfer of NIR spectra for multivariate calibration, Chemometrics and Intelligent Laboratory Systems 32 (1996) 201–213. https://doi.org/</w:t>
      </w:r>
      <w:hyperlink r:id="rId84">
        <w:r>
          <w:rPr>
            <w:rStyle w:val="Hyperlink"/>
          </w:rPr>
          <w:t xml:space="preserve">10.1016/0169-7439(95)00074-7</w:t>
        </w:r>
      </w:hyperlink>
      <w:r>
        <w:t xml:space="preserve">.</w:t>
      </w:r>
    </w:p>
    <w:bookmarkEnd w:id="85"/>
    <w:bookmarkStart w:id="87" w:name="ref-nikzad2018"/>
    <w:p>
      <w:pPr>
        <w:pStyle w:val="Bibliography"/>
      </w:pPr>
      <w:r>
        <w:t xml:space="preserve">[7]</w:t>
      </w:r>
      <w:r>
        <w:t xml:space="preserve"> </w:t>
      </w:r>
      <w:r>
        <w:t xml:space="preserve">	</w:t>
      </w:r>
      <w:r>
        <w:t xml:space="preserve">R. Nikzad-Langerodi, W. Zellinger, E. Lughofer, S. Saminger-Platz, Domain-Invariant Partial-Least-Squares Regression, Analytical Chemistry 90 (2018) 6693–6701. https://doi.org/</w:t>
      </w:r>
      <w:hyperlink r:id="rId86">
        <w:r>
          <w:rPr>
            <w:rStyle w:val="Hyperlink"/>
          </w:rPr>
          <w:t xml:space="preserve">10.1021/acs.analchem.8b00498</w:t>
        </w:r>
      </w:hyperlink>
      <w:r>
        <w:t xml:space="preserve">.</w:t>
      </w:r>
    </w:p>
    <w:bookmarkEnd w:id="87"/>
    <w:bookmarkStart w:id="89" w:name="ref-mishra2020dipls"/>
    <w:p>
      <w:pPr>
        <w:pStyle w:val="Bibliography"/>
      </w:pPr>
      <w:r>
        <w:t xml:space="preserve">[8]</w:t>
      </w:r>
      <w:r>
        <w:t xml:space="preserve"> </w:t>
      </w:r>
      <w:r>
        <w:t xml:space="preserve">	</w:t>
      </w:r>
      <w:r>
        <w:t xml:space="preserve">P. Mishra, R. Nikzad-Langerodi, Partial least square regression versus domain invariant partial least square regression with application to near-infrared spectroscopy of fresh fruit, Infrared Physics &amp; Technology 111 (2020) 103547. https://doi.org/</w:t>
      </w:r>
      <w:hyperlink r:id="rId88">
        <w:r>
          <w:rPr>
            <w:rStyle w:val="Hyperlink"/>
          </w:rPr>
          <w:t xml:space="preserve">10.1016/j.infrared.2020.103547</w:t>
        </w:r>
      </w:hyperlink>
      <w:r>
        <w:t xml:space="preserve">.</w:t>
      </w:r>
    </w:p>
    <w:bookmarkEnd w:id="89"/>
    <w:bookmarkStart w:id="91" w:name="ref-fonseca2022"/>
    <w:p>
      <w:pPr>
        <w:pStyle w:val="Bibliography"/>
      </w:pPr>
      <w:r>
        <w:t xml:space="preserve">[9]</w:t>
      </w:r>
      <w:r>
        <w:t xml:space="preserve"> </w:t>
      </w:r>
      <w:r>
        <w:t xml:space="preserve">	</w:t>
      </w:r>
      <w:r>
        <w:t xml:space="preserve">V. Fonseca Diaz, J.-M. Roger, W. Saeys, Unsupervised dynamic orthogonal projection. An efficient approach to calibration transfer without standard samples, Analytica Chimica Acta 1225 (2022) 340154. https://doi.org/</w:t>
      </w:r>
      <w:hyperlink r:id="rId90">
        <w:r>
          <w:rPr>
            <w:rStyle w:val="Hyperlink"/>
          </w:rPr>
          <w:t xml:space="preserve">10.1016/j.aca.2022.340154</w:t>
        </w:r>
      </w:hyperlink>
      <w:r>
        <w:t xml:space="preserve">.</w:t>
      </w:r>
    </w:p>
    <w:bookmarkEnd w:id="91"/>
    <w:bookmarkStart w:id="93" w:name="ref-xie2024"/>
    <w:p>
      <w:pPr>
        <w:pStyle w:val="Bibliography"/>
      </w:pPr>
      <w:r>
        <w:t xml:space="preserve">[10]</w:t>
      </w:r>
      <w:r>
        <w:t xml:space="preserve"> </w:t>
      </w:r>
      <w:r>
        <w:t xml:space="preserve">	</w:t>
      </w:r>
      <w:r>
        <w:t xml:space="preserve">Z. Xie, X. Chen, J.-M. Roger, S. Ali, G. Huang, W. Shi, Calibration transfer via filter learning, Analytica Chimica Acta 1298 (2024) 342404. https://doi.org/</w:t>
      </w:r>
      <w:hyperlink r:id="rId92">
        <w:r>
          <w:rPr>
            <w:rStyle w:val="Hyperlink"/>
          </w:rPr>
          <w:t xml:space="preserve">10.1016/j.aca.2024.342404</w:t>
        </w:r>
      </w:hyperlink>
      <w:r>
        <w:t xml:space="preserve">.</w:t>
      </w:r>
    </w:p>
    <w:bookmarkEnd w:id="93"/>
    <w:bookmarkStart w:id="95" w:name="ref-fan2025"/>
    <w:p>
      <w:pPr>
        <w:pStyle w:val="Bibliography"/>
      </w:pPr>
      <w:r>
        <w:t xml:space="preserve">[11]</w:t>
      </w:r>
      <w:r>
        <w:t xml:space="preserve"> </w:t>
      </w:r>
      <w:r>
        <w:t xml:space="preserve">	</w:t>
      </w:r>
      <w:r>
        <w:t xml:space="preserve">X. Fan, L. Gao, J. Lv, B. Li, K. Xu, X. Li, Y. Shao, T. Yang, X. Chen, H. Ji, A systematic calibration transfer and quantification method based on principal components extreme learning machine for near-infrared spectroscopy, Analytica Chimica Acta 1361 (2025) 344151. https://doi.org/</w:t>
      </w:r>
      <w:hyperlink r:id="rId94">
        <w:r>
          <w:rPr>
            <w:rStyle w:val="Hyperlink"/>
          </w:rPr>
          <w:t xml:space="preserve">10.1016/j.aca.2025.344151</w:t>
        </w:r>
      </w:hyperlink>
      <w:r>
        <w:t xml:space="preserve">.</w:t>
      </w:r>
    </w:p>
    <w:bookmarkEnd w:id="95"/>
    <w:bookmarkStart w:id="97" w:name="ref-huang2026"/>
    <w:p>
      <w:pPr>
        <w:pStyle w:val="Bibliography"/>
      </w:pPr>
      <w:r>
        <w:t xml:space="preserve">[12]</w:t>
      </w:r>
      <w:r>
        <w:t xml:space="preserve"> </w:t>
      </w:r>
      <w:r>
        <w:t xml:space="preserve">	</w:t>
      </w:r>
      <w:r>
        <w:t xml:space="preserve">X. Huang, X. Chen, G. Huang, Z. Xie, W. Shi, X. Chen, L. Yuan, P. Liang, J. Zhu, Y. He, UCT-LMIR: A standard-free unsupervised calibration transfer method without model recalibration, Analytica Chimica Acta 1423 (2026) 346104. https://doi.org/</w:t>
      </w:r>
      <w:hyperlink r:id="rId96">
        <w:r>
          <w:rPr>
            <w:rStyle w:val="Hyperlink"/>
          </w:rPr>
          <w:t xml:space="preserve">10.1016/j.aca.2026.346104</w:t>
        </w:r>
      </w:hyperlink>
      <w:r>
        <w:t xml:space="preserve">.</w:t>
      </w:r>
    </w:p>
    <w:bookmarkEnd w:id="97"/>
    <w:bookmarkStart w:id="99" w:name="ref-faber1997"/>
    <w:p>
      <w:pPr>
        <w:pStyle w:val="Bibliography"/>
      </w:pPr>
      <w:r>
        <w:t xml:space="preserve">[13]</w:t>
      </w:r>
      <w:r>
        <w:t xml:space="preserve"> </w:t>
      </w:r>
      <w:r>
        <w:t xml:space="preserve">	</w:t>
      </w:r>
      <w:r>
        <w:t xml:space="preserve">K. Faber, B.R. Kowalski, Propagation of measurement errors for the validation of predictions obtained by principal component regression and partial least squares, Journal of Chemometrics 11 (1997) 181–238. https://doi.org/</w:t>
      </w:r>
      <w:hyperlink r:id="rId98">
        <w:r>
          <w:rPr>
            <w:rStyle w:val="Hyperlink"/>
          </w:rPr>
          <w:t xml:space="preserve">10.1002/(SICI)1099-128X(199705)11:3&lt;181::AID-CEM459&gt;3.0.CO;2-7</w:t>
        </w:r>
      </w:hyperlink>
      <w:r>
        <w:t xml:space="preserve">.</w:t>
      </w:r>
    </w:p>
    <w:bookmarkEnd w:id="99"/>
    <w:bookmarkStart w:id="101" w:name="ref-olivieri2006"/>
    <w:p>
      <w:pPr>
        <w:pStyle w:val="Bibliography"/>
      </w:pPr>
      <w:r>
        <w:t xml:space="preserve">[14]</w:t>
      </w:r>
      <w:r>
        <w:t xml:space="preserve"> </w:t>
      </w:r>
      <w:r>
        <w:t xml:space="preserve">	</w:t>
      </w:r>
      <w:r>
        <w:t xml:space="preserve">A.C. Olivieri, N.M. Faber, J. Ferré, R. Boqué, J.H. Kalivas, H. Mark, Uncertainty estimation and figures of merit for multivariate calibration (IUPAC Technical Report), Pure and Applied Chemistry 78 (2006) 633–661. https://doi.org/</w:t>
      </w:r>
      <w:hyperlink r:id="rId100">
        <w:r>
          <w:rPr>
            <w:rStyle w:val="Hyperlink"/>
          </w:rPr>
          <w:t xml:space="preserve">10.1351/pac200678030633</w:t>
        </w:r>
      </w:hyperlink>
      <w:r>
        <w:t xml:space="preserve">.</w:t>
      </w:r>
    </w:p>
    <w:bookmarkEnd w:id="101"/>
    <w:bookmarkStart w:id="103" w:name="ref-allegrini2016"/>
    <w:p>
      <w:pPr>
        <w:pStyle w:val="Bibliography"/>
      </w:pPr>
      <w:r>
        <w:t xml:space="preserve">[15]</w:t>
      </w:r>
      <w:r>
        <w:t xml:space="preserve"> </w:t>
      </w:r>
      <w:r>
        <w:t xml:space="preserve">	</w:t>
      </w:r>
      <w:r>
        <w:t xml:space="preserve">F. Allegrini, P.D. Wentzell, A.C. Olivieri, Generalized error-dependent prediction uncertainty in multivariate calibration, Analytica Chimica Acta 903 (2016) 51–60. https://doi.org/</w:t>
      </w:r>
      <w:hyperlink r:id="rId102">
        <w:r>
          <w:rPr>
            <w:rStyle w:val="Hyperlink"/>
          </w:rPr>
          <w:t xml:space="preserve">10.1016/j.aca.2015.11.028</w:t>
        </w:r>
      </w:hyperlink>
      <w:r>
        <w:t xml:space="preserve">.</w:t>
      </w:r>
    </w:p>
    <w:bookmarkEnd w:id="103"/>
    <w:bookmarkStart w:id="105" w:name="ref-astm_e1655"/>
    <w:p>
      <w:pPr>
        <w:pStyle w:val="Bibliography"/>
      </w:pPr>
      <w:r>
        <w:t xml:space="preserve">[16]</w:t>
      </w:r>
      <w:r>
        <w:t xml:space="preserve"> </w:t>
      </w:r>
      <w:r>
        <w:t xml:space="preserve">	</w:t>
      </w:r>
      <w:r>
        <w:t xml:space="preserve">ASTM International, ASTM E1655-17, Standard Practices for Infrared Multivariate Quantitative Analysis, ASTM International, West Conshohocken, PA, 2017. https://doi.org/</w:t>
      </w:r>
      <w:hyperlink r:id="rId104">
        <w:r>
          <w:rPr>
            <w:rStyle w:val="Hyperlink"/>
          </w:rPr>
          <w:t xml:space="preserve">10.1520/E1655-17</w:t>
        </w:r>
      </w:hyperlink>
      <w:r>
        <w:t xml:space="preserve">.</w:t>
      </w:r>
    </w:p>
    <w:bookmarkEnd w:id="105"/>
    <w:bookmarkStart w:id="107" w:name="ref-vovk2005"/>
    <w:p>
      <w:pPr>
        <w:pStyle w:val="Bibliography"/>
      </w:pPr>
      <w:r>
        <w:t xml:space="preserve">[17]</w:t>
      </w:r>
      <w:r>
        <w:t xml:space="preserve"> </w:t>
      </w:r>
      <w:r>
        <w:t xml:space="preserve">	</w:t>
      </w:r>
      <w:r>
        <w:t xml:space="preserve">V. Vovk, A. Gammerman, G. Shafer, Algorithmic Learning in a Random World, Springer, 2005. https://doi.org/</w:t>
      </w:r>
      <w:hyperlink r:id="rId106">
        <w:r>
          <w:rPr>
            <w:rStyle w:val="Hyperlink"/>
          </w:rPr>
          <w:t xml:space="preserve">10.1007/b106715</w:t>
        </w:r>
      </w:hyperlink>
      <w:r>
        <w:t xml:space="preserve">.</w:t>
      </w:r>
    </w:p>
    <w:bookmarkEnd w:id="107"/>
    <w:bookmarkStart w:id="109" w:name="ref-lei2018"/>
    <w:p>
      <w:pPr>
        <w:pStyle w:val="Bibliography"/>
      </w:pPr>
      <w:r>
        <w:t xml:space="preserve">[18]</w:t>
      </w:r>
      <w:r>
        <w:t xml:space="preserve"> </w:t>
      </w:r>
      <w:r>
        <w:t xml:space="preserve">	</w:t>
      </w:r>
      <w:r>
        <w:t xml:space="preserve">J. Lei, M. G’Sell, A. Rinaldo, R.J. Tibshirani, L. Wasserman, Distribution-Free Predictive Inference for Regression, Journal of the American Statistical Association 113 (2018) 1094–1111. https://doi.org/</w:t>
      </w:r>
      <w:hyperlink r:id="rId108">
        <w:r>
          <w:rPr>
            <w:rStyle w:val="Hyperlink"/>
          </w:rPr>
          <w:t xml:space="preserve">10.1080/01621459.2017.1307116</w:t>
        </w:r>
      </w:hyperlink>
      <w:r>
        <w:t xml:space="preserve">.</w:t>
      </w:r>
    </w:p>
    <w:bookmarkEnd w:id="109"/>
    <w:bookmarkStart w:id="111" w:name="ref-angelopoulos2023"/>
    <w:p>
      <w:pPr>
        <w:pStyle w:val="Bibliography"/>
      </w:pPr>
      <w:r>
        <w:t xml:space="preserve">[19]</w:t>
      </w:r>
      <w:r>
        <w:t xml:space="preserve"> </w:t>
      </w:r>
      <w:r>
        <w:t xml:space="preserve">	</w:t>
      </w:r>
      <w:r>
        <w:t xml:space="preserve">A.N. Angelopoulos, S. Bates, Conformal Prediction: A Gentle Introduction, Foundations and Trends® in Machine Learning 16 (2023) 494–591. https://doi.org/</w:t>
      </w:r>
      <w:hyperlink r:id="rId110">
        <w:r>
          <w:rPr>
            <w:rStyle w:val="Hyperlink"/>
          </w:rPr>
          <w:t xml:space="preserve">10.1561/2200000101</w:t>
        </w:r>
      </w:hyperlink>
      <w:r>
        <w:t xml:space="preserve">.</w:t>
      </w:r>
    </w:p>
    <w:bookmarkEnd w:id="111"/>
    <w:bookmarkStart w:id="113" w:name="ref-fontana2023"/>
    <w:p>
      <w:pPr>
        <w:pStyle w:val="Bibliography"/>
      </w:pPr>
      <w:r>
        <w:t xml:space="preserve">[20]</w:t>
      </w:r>
      <w:r>
        <w:t xml:space="preserve"> </w:t>
      </w:r>
      <w:r>
        <w:t xml:space="preserve">	</w:t>
      </w:r>
      <w:r>
        <w:t xml:space="preserve">M. Fontana, G. Zeni, S. Vantini, Conformal prediction: A unified review of theory and new challenges, Bernoulli 29 (2023) 1–23. https://doi.org/</w:t>
      </w:r>
      <w:hyperlink r:id="rId112">
        <w:r>
          <w:rPr>
            <w:rStyle w:val="Hyperlink"/>
          </w:rPr>
          <w:t xml:space="preserve">10.3150/21-BEJ1447</w:t>
        </w:r>
      </w:hyperlink>
      <w:r>
        <w:t xml:space="preserve">.</w:t>
      </w:r>
    </w:p>
    <w:bookmarkEnd w:id="113"/>
    <w:bookmarkStart w:id="115" w:name="ref-gu2019"/>
    <w:p>
      <w:pPr>
        <w:pStyle w:val="Bibliography"/>
      </w:pPr>
      <w:r>
        <w:t xml:space="preserve">[21]</w:t>
      </w:r>
      <w:r>
        <w:t xml:space="preserve"> </w:t>
      </w:r>
      <w:r>
        <w:t xml:space="preserve">	</w:t>
      </w:r>
      <w:r>
        <w:t xml:space="preserve">J. Gu, H. Liu, C. Ma, L. Li, C. Zhu, C. Glorieux, G. Chen, Conformal Prediction Based on Raman Spectra for the Classification of Chinese Liquors, Applied Spectroscopy 73 (2019) 759–766. https://doi.org/</w:t>
      </w:r>
      <w:hyperlink r:id="rId114">
        <w:r>
          <w:rPr>
            <w:rStyle w:val="Hyperlink"/>
          </w:rPr>
          <w:t xml:space="preserve">10.1177/0003702819831017</w:t>
        </w:r>
      </w:hyperlink>
      <w:r>
        <w:t xml:space="preserve">.</w:t>
      </w:r>
    </w:p>
    <w:bookmarkEnd w:id="115"/>
    <w:bookmarkStart w:id="117" w:name="ref-redd2024"/>
    <w:p>
      <w:pPr>
        <w:pStyle w:val="Bibliography"/>
      </w:pPr>
      <w:r>
        <w:t xml:space="preserve">[22]</w:t>
      </w:r>
      <w:r>
        <w:t xml:space="preserve"> </w:t>
      </w:r>
      <w:r>
        <w:t xml:space="preserve">	</w:t>
      </w:r>
      <w:r>
        <w:t xml:space="preserve">Hyrum J. Redd, John H. Kalivas, Assessment of Conformal Prediction and Standard Normal Distribution for Autonomous Consensus One‐Class Classification, Journal of Chemometrics 39 (2025) e3639. https://doi.org/</w:t>
      </w:r>
      <w:hyperlink r:id="rId116">
        <w:r>
          <w:rPr>
            <w:rStyle w:val="Hyperlink"/>
          </w:rPr>
          <w:t xml:space="preserve">10.1002/cem.3639</w:t>
        </w:r>
      </w:hyperlink>
      <w:r>
        <w:t xml:space="preserve">.</w:t>
      </w:r>
    </w:p>
    <w:bookmarkEnd w:id="117"/>
    <w:bookmarkStart w:id="119" w:name="ref-qian2024"/>
    <w:p>
      <w:pPr>
        <w:pStyle w:val="Bibliography"/>
      </w:pPr>
      <w:r>
        <w:t xml:space="preserve">[23]</w:t>
      </w:r>
      <w:r>
        <w:t xml:space="preserve"> </w:t>
      </w:r>
      <w:r>
        <w:t xml:space="preserve">	</w:t>
      </w:r>
      <w:r>
        <w:t xml:space="preserve">X. Qian, J. Wu, L. Wei, Y. Lin, Random projection ensemble conformal prediction for high-dimensional classification, Chemometrics and Intelligent Laboratory Systems 253 (2024) 105225. https://doi.org/</w:t>
      </w:r>
      <w:hyperlink r:id="rId118">
        <w:r>
          <w:rPr>
            <w:rStyle w:val="Hyperlink"/>
          </w:rPr>
          <w:t xml:space="preserve">10.1016/j.chemolab.2024.105225</w:t>
        </w:r>
      </w:hyperlink>
      <w:r>
        <w:t xml:space="preserve">.</w:t>
      </w:r>
    </w:p>
    <w:bookmarkEnd w:id="119"/>
    <w:bookmarkStart w:id="121" w:name="ref-booksh2025"/>
    <w:p>
      <w:pPr>
        <w:pStyle w:val="Bibliography"/>
      </w:pPr>
      <w:r>
        <w:t xml:space="preserve">[24]</w:t>
      </w:r>
      <w:r>
        <w:t xml:space="preserve"> </w:t>
      </w:r>
      <w:r>
        <w:t xml:space="preserve">	</w:t>
      </w:r>
      <w:r>
        <w:t xml:space="preserve">Karl S. Booksh, Caelin P. Celani, Nicole M. Ralbovsky, Joseph P. Smith, Assessing Classification Models of Pharmaceuticals With Conformal Prediction, Journal of Chemometrics 39 (2025) e70017. https://doi.org/</w:t>
      </w:r>
      <w:hyperlink r:id="rId120">
        <w:r>
          <w:rPr>
            <w:rStyle w:val="Hyperlink"/>
          </w:rPr>
          <w:t xml:space="preserve">10.1002/cem.70017</w:t>
        </w:r>
      </w:hyperlink>
      <w:r>
        <w:t xml:space="preserve">.</w:t>
      </w:r>
    </w:p>
    <w:bookmarkEnd w:id="121"/>
    <w:bookmarkStart w:id="123" w:name="ref-jovic2025"/>
    <w:p>
      <w:pPr>
        <w:pStyle w:val="Bibliography"/>
      </w:pPr>
      <w:r>
        <w:t xml:space="preserve">[25]</w:t>
      </w:r>
      <w:r>
        <w:t xml:space="preserve"> </w:t>
      </w:r>
      <w:r>
        <w:t xml:space="preserve">	</w:t>
      </w:r>
      <w:r>
        <w:t xml:space="preserve">O. Jovic, Conformal predictors in chemometric study of mid-infrared food adulteration: quantification of prediction uncertainty, Food Chemistry 492 (2025) 145387. https://doi.org/</w:t>
      </w:r>
      <w:hyperlink r:id="rId122">
        <w:r>
          <w:rPr>
            <w:rStyle w:val="Hyperlink"/>
          </w:rPr>
          <w:t xml:space="preserve">10.1016/j.foodchem.2025.145387</w:t>
        </w:r>
      </w:hyperlink>
      <w:r>
        <w:t xml:space="preserve">.</w:t>
      </w:r>
    </w:p>
    <w:bookmarkEnd w:id="123"/>
    <w:bookmarkStart w:id="125" w:name="ref-duma2025"/>
    <w:p>
      <w:pPr>
        <w:pStyle w:val="Bibliography"/>
      </w:pPr>
      <w:r>
        <w:t xml:space="preserve">[26]</w:t>
      </w:r>
      <w:r>
        <w:t xml:space="preserve"> </w:t>
      </w:r>
      <w:r>
        <w:t xml:space="preserve">	</w:t>
      </w:r>
      <w:r>
        <w:t xml:space="preserve">Z.-S. Duma, O. Lamminpää, J. Susiluoto, H. Haario, T. Zheng, T. Sihvonen, A. Braverman, P.A. Townsend, S.-P. Reinikainen, Uncertainty calibration for latent-variable regression models, arXiv Preprint arXiv:2512.23444 (2025).</w:t>
      </w:r>
      <w:r>
        <w:t xml:space="preserve"> </w:t>
      </w:r>
      <w:hyperlink r:id="rId124">
        <w:r>
          <w:rPr>
            <w:rStyle w:val="Hyperlink"/>
          </w:rPr>
          <w:t xml:space="preserve">https://arxiv.org/abs/2512.23444</w:t>
        </w:r>
      </w:hyperlink>
      <w:r>
        <w:t xml:space="preserve">.</w:t>
      </w:r>
    </w:p>
    <w:bookmarkEnd w:id="125"/>
    <w:bookmarkStart w:id="127" w:name="ref-norinder2014"/>
    <w:p>
      <w:pPr>
        <w:pStyle w:val="Bibliography"/>
      </w:pPr>
      <w:r>
        <w:t xml:space="preserve">[27]</w:t>
      </w:r>
      <w:r>
        <w:t xml:space="preserve"> </w:t>
      </w:r>
      <w:r>
        <w:t xml:space="preserve">	</w:t>
      </w:r>
      <w:r>
        <w:t xml:space="preserve">U. Norinder, L. Carlsson, S. Boyer, M. Eklund, Introducing Conformal Prediction in Predictive Modeling. A Transparent and Flexible Alternative to Applicability Domain Determination, Journal of Chemical Information and Modeling 54 (2014) 1596–1603. https://doi.org/</w:t>
      </w:r>
      <w:hyperlink r:id="rId126">
        <w:r>
          <w:rPr>
            <w:rStyle w:val="Hyperlink"/>
          </w:rPr>
          <w:t xml:space="preserve">10.1021/ci5001168</w:t>
        </w:r>
      </w:hyperlink>
      <w:r>
        <w:t xml:space="preserve">.</w:t>
      </w:r>
    </w:p>
    <w:bookmarkEnd w:id="127"/>
    <w:bookmarkStart w:id="128" w:name="ref-tibshirani2019"/>
    <w:p>
      <w:pPr>
        <w:pStyle w:val="Bibliography"/>
      </w:pPr>
      <w:r>
        <w:t xml:space="preserve">[28]</w:t>
      </w:r>
      <w:r>
        <w:t xml:space="preserve"> </w:t>
      </w:r>
      <w:r>
        <w:t xml:space="preserve">	</w:t>
      </w:r>
      <w:r>
        <w:t xml:space="preserve">R.J. Tibshirani, R.F. Barber, E. Candès, A. Ramdas, Conformal prediction under covariate shift, in: Advances in Neural Information Processing Systems 32 (NeurIPS 2019), 2019.</w:t>
      </w:r>
    </w:p>
    <w:bookmarkEnd w:id="128"/>
    <w:bookmarkStart w:id="129" w:name="ref-prinster2022"/>
    <w:p>
      <w:pPr>
        <w:pStyle w:val="Bibliography"/>
      </w:pPr>
      <w:r>
        <w:t xml:space="preserve">[29]</w:t>
      </w:r>
      <w:r>
        <w:t xml:space="preserve"> </w:t>
      </w:r>
      <w:r>
        <w:t xml:space="preserve">	</w:t>
      </w:r>
      <w:r>
        <w:t xml:space="preserve">D. Prinster, A. Liu, S. Saria, JAWS: auditing predictive uncertainty under covariate shift, in: Advances in Neural Information Processing Systems 35 (NeurIPS 2022), 2022.</w:t>
      </w:r>
    </w:p>
    <w:bookmarkEnd w:id="129"/>
    <w:bookmarkStart w:id="131" w:name="ref-zhivkov2026"/>
    <w:p>
      <w:pPr>
        <w:pStyle w:val="Bibliography"/>
      </w:pPr>
      <w:r>
        <w:t xml:space="preserve">[30]</w:t>
      </w:r>
      <w:r>
        <w:t xml:space="preserve"> </w:t>
      </w:r>
      <w:r>
        <w:t xml:space="preserve">	</w:t>
      </w:r>
      <w:r>
        <w:t xml:space="preserve">P. Zhivkov, S. Fidanova, Machine learning calibration transfer for low-cost air quality sensors: distance-based uncertainty quantification in a hybrid urban monitoring network, Atmosphere 17 (2026) 335. https://doi.org/</w:t>
      </w:r>
      <w:hyperlink r:id="rId130">
        <w:r>
          <w:rPr>
            <w:rStyle w:val="Hyperlink"/>
          </w:rPr>
          <w:t xml:space="preserve">10.3390/atmos17040335</w:t>
        </w:r>
      </w:hyperlink>
      <w:r>
        <w:t xml:space="preserve">.</w:t>
      </w:r>
    </w:p>
    <w:bookmarkEnd w:id="131"/>
    <w:bookmarkStart w:id="133" w:name="ref-doula2026"/>
    <w:p>
      <w:pPr>
        <w:pStyle w:val="Bibliography"/>
      </w:pPr>
      <w:r>
        <w:t xml:space="preserve">[31]</w:t>
      </w:r>
      <w:r>
        <w:t xml:space="preserve"> </w:t>
      </w:r>
      <w:r>
        <w:t xml:space="preserve">	</w:t>
      </w:r>
      <w:r>
        <w:t xml:space="preserve">A. Doula, Conformal calibration transfer, arXiv Preprint arXiv:2609.10737 (Accepted at ICML 2026) (2026).</w:t>
      </w:r>
      <w:r>
        <w:t xml:space="preserve"> </w:t>
      </w:r>
      <w:hyperlink r:id="rId132">
        <w:r>
          <w:rPr>
            <w:rStyle w:val="Hyperlink"/>
          </w:rPr>
          <w:t xml:space="preserve">https://arxiv.org/abs/2609.10737</w:t>
        </w:r>
      </w:hyperlink>
      <w:r>
        <w:t xml:space="preserve">.</w:t>
      </w:r>
    </w:p>
    <w:bookmarkEnd w:id="133"/>
    <w:bookmarkStart w:id="135" w:name="ref-barber2021"/>
    <w:p>
      <w:pPr>
        <w:pStyle w:val="Bibliography"/>
      </w:pPr>
      <w:r>
        <w:t xml:space="preserve">[32]</w:t>
      </w:r>
      <w:r>
        <w:t xml:space="preserve"> </w:t>
      </w:r>
      <w:r>
        <w:t xml:space="preserve">	</w:t>
      </w:r>
      <w:r>
        <w:t xml:space="preserve">R.F. Barber, E.J. Candès, A. Ramdas, R.J. Tibshirani, Predictive inference with the jackknife+, The Annals of Statistics 49 (2021) 486–507. https://doi.org/</w:t>
      </w:r>
      <w:hyperlink r:id="rId134">
        <w:r>
          <w:rPr>
            <w:rStyle w:val="Hyperlink"/>
          </w:rPr>
          <w:t xml:space="preserve">10.1214/20-aos1965</w:t>
        </w:r>
      </w:hyperlink>
      <w:r>
        <w:t xml:space="preserve">.</w:t>
      </w:r>
    </w:p>
    <w:bookmarkEnd w:id="135"/>
    <w:bookmarkStart w:id="137" w:name="ref-papadopoulos2011"/>
    <w:p>
      <w:pPr>
        <w:pStyle w:val="Bibliography"/>
      </w:pPr>
      <w:r>
        <w:t xml:space="preserve">[33]</w:t>
      </w:r>
      <w:r>
        <w:t xml:space="preserve"> </w:t>
      </w:r>
      <w:r>
        <w:t xml:space="preserve">	</w:t>
      </w:r>
      <w:r>
        <w:t xml:space="preserve">H. Papadopoulos, V. Vovk, A. Gammerman, Regression Conformal Prediction with Nearest Neighbours, Journal of Artificial Intelligence Research 40 (2011) 815–840. https://doi.org/</w:t>
      </w:r>
      <w:hyperlink r:id="rId136">
        <w:r>
          <w:rPr>
            <w:rStyle w:val="Hyperlink"/>
          </w:rPr>
          <w:t xml:space="preserve">10.1613/jair.3198</w:t>
        </w:r>
      </w:hyperlink>
      <w:r>
        <w:t xml:space="preserve">.</w:t>
      </w:r>
    </w:p>
    <w:bookmarkEnd w:id="137"/>
    <w:bookmarkStart w:id="139" w:name="ref-kennard1969"/>
    <w:p>
      <w:pPr>
        <w:pStyle w:val="Bibliography"/>
      </w:pPr>
      <w:r>
        <w:t xml:space="preserve">[34]</w:t>
      </w:r>
      <w:r>
        <w:t xml:space="preserve"> </w:t>
      </w:r>
      <w:r>
        <w:t xml:space="preserve">	</w:t>
      </w:r>
      <w:r>
        <w:t xml:space="preserve">R.W. Kennard, L.A. Stone, Computer Aided Design of Experiments, Technometrics 11 (1969) 137–148. https://doi.org/</w:t>
      </w:r>
      <w:hyperlink r:id="rId138">
        <w:r>
          <w:rPr>
            <w:rStyle w:val="Hyperlink"/>
          </w:rPr>
          <w:t xml:space="preserve">10.1080/00401706.1969.10490666</w:t>
        </w:r>
      </w:hyperlink>
      <w:r>
        <w:t xml:space="preserve">.</w:t>
      </w:r>
    </w:p>
    <w:bookmarkEnd w:id="139"/>
    <w:bookmarkStart w:id="140" w:name="ref-gal2016"/>
    <w:p>
      <w:pPr>
        <w:pStyle w:val="Bibliography"/>
      </w:pPr>
      <w:r>
        <w:t xml:space="preserve">[35]</w:t>
      </w:r>
      <w:r>
        <w:t xml:space="preserve"> </w:t>
      </w:r>
      <w:r>
        <w:t xml:space="preserve">	</w:t>
      </w:r>
      <w:r>
        <w:t xml:space="preserve">Y. Gal, Z. Ghahramani, Dropout as a Bayesian approximation: representing model uncertainty in deep learning, in: Proceedings of the 33rd International Conference on Machine Learning, PMLR 48, 2016: pp. 1050–1059.</w:t>
      </w:r>
    </w:p>
    <w:bookmarkEnd w:id="140"/>
    <w:bookmarkStart w:id="142" w:name="ref-eigenvector_data"/>
    <w:p>
      <w:pPr>
        <w:pStyle w:val="Bibliography"/>
      </w:pPr>
      <w:r>
        <w:t xml:space="preserve">[36]</w:t>
      </w:r>
      <w:r>
        <w:t xml:space="preserve"> </w:t>
      </w:r>
      <w:r>
        <w:t xml:space="preserve">	</w:t>
      </w:r>
      <w:r>
        <w:t xml:space="preserve">Eigenvector Research, Inc., Data sets: Corn and NIR Shootout 2002 (IDRC), (n.d.).</w:t>
      </w:r>
      <w:r>
        <w:t xml:space="preserve"> </w:t>
      </w:r>
      <w:hyperlink r:id="rId141">
        <w:r>
          <w:rPr>
            <w:rStyle w:val="Hyperlink"/>
          </w:rPr>
          <w:t xml:space="preserve">https://eigenvector.com/resources/data-sets/</w:t>
        </w:r>
      </w:hyperlink>
      <w:r>
        <w:t xml:space="preserve"> </w:t>
      </w:r>
      <w:r>
        <w:t xml:space="preserve">(accessed October 13, 2026).</w:t>
      </w:r>
    </w:p>
    <w:bookmarkEnd w:id="142"/>
    <w:bookmarkStart w:id="144" w:name="ref-mango_data"/>
    <w:p>
      <w:pPr>
        <w:pStyle w:val="Bibliography"/>
      </w:pPr>
      <w:r>
        <w:t xml:space="preserve">[37]</w:t>
      </w:r>
      <w:r>
        <w:t xml:space="preserve"> </w:t>
      </w:r>
      <w:r>
        <w:t xml:space="preserve">	</w:t>
      </w:r>
      <w:r>
        <w:t xml:space="preserve">N. Anderson, Mango DMC and spectra Anderson et al. 2020 (Version 1), (2020). https://doi.org/</w:t>
      </w:r>
      <w:hyperlink r:id="rId143">
        <w:r>
          <w:rPr>
            <w:rStyle w:val="Hyperlink"/>
          </w:rPr>
          <w:t xml:space="preserve">10.17632/46htwnp833.1</w:t>
        </w:r>
      </w:hyperlink>
      <w:r>
        <w:t xml:space="preserve">.</w:t>
      </w:r>
    </w:p>
    <w:bookmarkEnd w:id="144"/>
    <w:bookmarkStart w:id="146" w:name="ref-barnes1989"/>
    <w:p>
      <w:pPr>
        <w:pStyle w:val="Bibliography"/>
      </w:pPr>
      <w:r>
        <w:t xml:space="preserve">[38]</w:t>
      </w:r>
      <w:r>
        <w:t xml:space="preserve"> </w:t>
      </w:r>
      <w:r>
        <w:t xml:space="preserve">	</w:t>
      </w:r>
      <w:r>
        <w:t xml:space="preserve">R.J. Barnes, M.S. Dhanoa, S.J. Lister, Standard Normal Variate Transformation and De-Trending of Near-Infrared Diffuse Reflectance Spectra, Applied Spectroscopy 43 (1989) 772–777. https://doi.org/</w:t>
      </w:r>
      <w:hyperlink r:id="rId145">
        <w:r>
          <w:rPr>
            <w:rStyle w:val="Hyperlink"/>
          </w:rPr>
          <w:t xml:space="preserve">10.1366/0003702894202201</w:t>
        </w:r>
      </w:hyperlink>
      <w:r>
        <w:t xml:space="preserve">.</w:t>
      </w:r>
    </w:p>
    <w:bookmarkEnd w:id="146"/>
    <w:bookmarkStart w:id="148" w:name="ref-savitzky1964"/>
    <w:p>
      <w:pPr>
        <w:pStyle w:val="Bibliography"/>
      </w:pPr>
      <w:r>
        <w:t xml:space="preserve">[39]</w:t>
      </w:r>
      <w:r>
        <w:t xml:space="preserve"> </w:t>
      </w:r>
      <w:r>
        <w:t xml:space="preserve">	</w:t>
      </w:r>
      <w:r>
        <w:t xml:space="preserve">Abraham. Savitzky, M.J.E. Golay, Smoothing and Differentiation of Data by Simplified Least Squares Procedures., Analytical Chemistry 36 (1964) 1627–1639. https://doi.org/</w:t>
      </w:r>
      <w:hyperlink r:id="rId147">
        <w:r>
          <w:rPr>
            <w:rStyle w:val="Hyperlink"/>
          </w:rPr>
          <w:t xml:space="preserve">10.1021/ac60214a047</w:t>
        </w:r>
      </w:hyperlink>
      <w:r>
        <w:t xml:space="preserve">.</w:t>
      </w:r>
    </w:p>
    <w:bookmarkEnd w:id="148"/>
    <w:bookmarkStart w:id="150" w:name="ref-wold2001"/>
    <w:p>
      <w:pPr>
        <w:pStyle w:val="Bibliography"/>
      </w:pPr>
      <w:r>
        <w:t xml:space="preserve">[40]</w:t>
      </w:r>
      <w:r>
        <w:t xml:space="preserve"> </w:t>
      </w:r>
      <w:r>
        <w:t xml:space="preserve">	</w:t>
      </w:r>
      <w:r>
        <w:t xml:space="preserve">S. Wold, M. Sjöström, L. Eriksson, PLS-regression: a basic tool of chemometrics, Chemometrics and Intelligent Laboratory Systems 58 (2001) 109–130. https://doi.org/</w:t>
      </w:r>
      <w:hyperlink r:id="rId149">
        <w:r>
          <w:rPr>
            <w:rStyle w:val="Hyperlink"/>
          </w:rPr>
          <w:t xml:space="preserve">10.1016/S0169-7439(01)00155-1</w:t>
        </w:r>
      </w:hyperlink>
      <w:r>
        <w:t xml:space="preserve">.</w:t>
      </w:r>
    </w:p>
    <w:bookmarkEnd w:id="150"/>
    <w:bookmarkStart w:id="152" w:name="ref-gneiting2007"/>
    <w:p>
      <w:pPr>
        <w:pStyle w:val="Bibliography"/>
      </w:pPr>
      <w:r>
        <w:t xml:space="preserve">[41]</w:t>
      </w:r>
      <w:r>
        <w:t xml:space="preserve"> </w:t>
      </w:r>
      <w:r>
        <w:t xml:space="preserve">	</w:t>
      </w:r>
      <w:r>
        <w:t xml:space="preserve">T. Gneiting, A.E. Raftery, Strictly Proper Scoring Rules, Prediction, and Estimation, Journal of the American Statistical Association 102 (2007) 359–378. https://doi.org/</w:t>
      </w:r>
      <w:hyperlink r:id="rId151">
        <w:r>
          <w:rPr>
            <w:rStyle w:val="Hyperlink"/>
          </w:rPr>
          <w:t xml:space="preserve">10.1198/016214506000001437</w:t>
        </w:r>
      </w:hyperlink>
      <w:r>
        <w:t xml:space="preserve">.</w:t>
      </w:r>
    </w:p>
    <w:bookmarkEnd w:id="152"/>
    <w:bookmarkStart w:id="154" w:name="ref-holm1979"/>
    <w:p>
      <w:pPr>
        <w:pStyle w:val="Bibliography"/>
      </w:pPr>
      <w:r>
        <w:t xml:space="preserve">[42]</w:t>
      </w:r>
      <w:r>
        <w:t xml:space="preserve"> </w:t>
      </w:r>
      <w:r>
        <w:t xml:space="preserve">	</w:t>
      </w:r>
      <w:r>
        <w:t xml:space="preserve">S. Holm, A simple sequentially rejective multiple test procedure, Scandinavian Journal of Statistics 6 (1979) 65–70. https://doi.org/</w:t>
      </w:r>
      <w:hyperlink r:id="rId153">
        <w:r>
          <w:rPr>
            <w:rStyle w:val="Hyperlink"/>
          </w:rPr>
          <w:t xml:space="preserve">10.2307/4615733</w:t>
        </w:r>
      </w:hyperlink>
      <w:r>
        <w:t xml:space="preserve">.</w:t>
      </w:r>
    </w:p>
    <w:bookmarkEnd w:id="154"/>
    <w:bookmarkStart w:id="155" w:name="ref-demsar2006"/>
    <w:p>
      <w:pPr>
        <w:pStyle w:val="Bibliography"/>
      </w:pPr>
      <w:r>
        <w:t xml:space="preserve">[43]</w:t>
      </w:r>
      <w:r>
        <w:t xml:space="preserve"> </w:t>
      </w:r>
      <w:r>
        <w:t xml:space="preserve">	</w:t>
      </w:r>
      <w:r>
        <w:t xml:space="preserve">J. Demšar, Statistical comparisons of classifiers over multiple data sets, Journal of Machine Learning Research 7 (2006) 1–30.</w:t>
      </w:r>
    </w:p>
    <w:bookmarkEnd w:id="155"/>
    <w:bookmarkStart w:id="157" w:name="ref-maxime2025"/>
    <w:p>
      <w:pPr>
        <w:pStyle w:val="Bibliography"/>
      </w:pPr>
      <w:r>
        <w:t xml:space="preserve">[44]</w:t>
      </w:r>
      <w:r>
        <w:t xml:space="preserve"> </w:t>
      </w:r>
      <w:r>
        <w:t xml:space="preserve">	</w:t>
      </w:r>
      <w:r>
        <w:t xml:space="preserve">M. Maxime, K. Lamdibih, J.-M. Roger, D. Esteve, R. Bendoula, F. Abdelghafour, Simple methods for uncertainty estimation in neural networks applied to spectral data processing: A case study on mango dry matter prediction, Chemometrics and Intelligent Laboratory Systems 267 (2025) 105532. https://doi.org/</w:t>
      </w:r>
      <w:hyperlink r:id="rId156">
        <w:r>
          <w:rPr>
            <w:rStyle w:val="Hyperlink"/>
          </w:rPr>
          <w:t xml:space="preserve">10.1016/j.chemolab.2025.105532</w:t>
        </w:r>
      </w:hyperlink>
      <w:r>
        <w:t xml:space="preserve">.</w:t>
      </w:r>
    </w:p>
    <w:bookmarkEnd w:id="157"/>
    <w:bookmarkStart w:id="159" w:name="ref-mango_data_v6"/>
    <w:p>
      <w:pPr>
        <w:pStyle w:val="Bibliography"/>
      </w:pPr>
      <w:r>
        <w:t xml:space="preserve">[45]</w:t>
      </w:r>
      <w:r>
        <w:t xml:space="preserve"> </w:t>
      </w:r>
      <w:r>
        <w:t xml:space="preserve">	</w:t>
      </w:r>
      <w:r>
        <w:t xml:space="preserve">N. Anderson, K. Walsh, P. Subedi, J. Walsh, Mango DMC and NIR spectra (Version 6), (2026). https://doi.org/</w:t>
      </w:r>
      <w:hyperlink r:id="rId158">
        <w:r>
          <w:rPr>
            <w:rStyle w:val="Hyperlink"/>
          </w:rPr>
          <w:t xml:space="preserve">10.17632/46htwnp833.6</w:t>
        </w:r>
      </w:hyperlink>
      <w:r>
        <w:t xml:space="preserve">.</w:t>
      </w:r>
    </w:p>
    <w:bookmarkEnd w:id="159"/>
    <w:bookmarkEnd w:id="160"/>
    <w:bookmarkEnd w:id="161"/>
    <w:sectPr>
      <w:footerReference r:id="rId9" w:type="default"/>
      <w:pgSz w:h="16838" w:w="11906"/>
      <w:pgMar w:bottom="1417" w:left="1417" w:right="1417" w:top="1417"/>
      <w:lnNumType w:countBy="1" w:distance="283"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48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color w:val="000000"/>
      <w:sz w:val="19"/>
    </w:rPr>
  </w:style>
  <w:style w:styleId="Title" w:type="paragraph">
    <w:name w:val="Title"/>
    <w:basedOn w:val="Normal"/>
    <w:next w:val="BodyText"/>
    <w:qFormat/>
    <w:pPr>
      <w:keepNext/>
      <w:keepLines/>
      <w:spacing w:after="240" w:before="0" w:line="360" w:lineRule="auto"/>
      <w:jc w:val="center"/>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rPr>
  </w:style>
  <w:style w:styleId="Date" w:type="paragraph">
    <w:name w:val="Date"/>
    <w:next w:val="BodyText"/>
    <w:qFormat/>
    <w:pPr>
      <w:keepNext/>
      <w:keepLines/>
      <w:jc w:val="center"/>
    </w:pPr>
    <w:rPr>
      <w:rFonts w:ascii="Times New Roman" w:cs="Times New Roman" w:eastAsia="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120" w:before="0" w:line="480" w:lineRule="auto"/>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rPr>
      <w:rFonts w:ascii="Times New Roman" w:cs="Times New Roman" w:eastAsia="Times New Roman" w:hAnsi="Times New Roman"/>
      <w:color w:val="000000"/>
    </w:rPr>
  </w:style>
  <w:style w:styleId="Heading1" w:type="paragraph">
    <w:name w:val="Heading 1"/>
    <w:basedOn w:val="Normal"/>
    <w:next w:val="BodyText"/>
    <w:uiPriority w:val="9"/>
    <w:qFormat/>
    <w:pPr>
      <w:keepNext/>
      <w:keepLines/>
      <w:spacing w:after="120" w:before="240" w:line="360" w:lineRule="auto"/>
      <w:outlineLvl w:val="0"/>
    </w:pPr>
    <w:rPr>
      <w:rFonts w:ascii="Times New Roman" w:asciiTheme="majorHAnsi" w:cs="Times New Roman" w:cstheme="majorBidi" w:eastAsia="Times New Roman" w:eastAsiaTheme="majorEastAsia" w:hAnsi="Times New Roman" w:hAnsiTheme="majorHAnsi"/>
      <w:b/>
      <w:bCs/>
      <w:i w:val="0"/>
      <w:color w:val="000000"/>
      <w:sz w:val="26"/>
      <w:szCs w:val="32"/>
    </w:rPr>
  </w:style>
  <w:style w:styleId="Heading2" w:type="paragraph">
    <w:name w:val="Heading 2"/>
    <w:basedOn w:val="Normal"/>
    <w:next w:val="BodyText"/>
    <w:uiPriority w:val="9"/>
    <w:unhideWhenUsed/>
    <w:qFormat/>
    <w:pPr>
      <w:keepNext/>
      <w:keepLines/>
      <w:spacing w:after="120" w:before="240" w:line="360" w:lineRule="auto"/>
      <w:outlineLvl w:val="1"/>
    </w:pPr>
    <w:rPr>
      <w:rFonts w:ascii="Times New Roman" w:asciiTheme="majorHAnsi" w:cs="Times New Roman" w:cstheme="majorBidi" w:eastAsia="Times New Roman" w:eastAsiaTheme="majorEastAsia" w:hAnsi="Times New Roman" w:hAnsiTheme="majorHAnsi"/>
      <w:b/>
      <w:bCs/>
      <w:i w:val="0"/>
      <w:color w:val="000000"/>
      <w:sz w:val="24"/>
      <w:szCs w:val="28"/>
    </w:rPr>
  </w:style>
  <w:style w:styleId="Heading3" w:type="paragraph">
    <w:name w:val="Heading 3"/>
    <w:basedOn w:val="Normal"/>
    <w:next w:val="BodyText"/>
    <w:uiPriority w:val="9"/>
    <w:unhideWhenUsed/>
    <w:qFormat/>
    <w:pPr>
      <w:keepNext/>
      <w:keepLines/>
      <w:spacing w:after="120" w:before="240" w:line="360" w:lineRule="auto"/>
      <w:outlineLvl w:val="2"/>
    </w:pPr>
    <w:rPr>
      <w:rFonts w:ascii="Times New Roman" w:asciiTheme="majorHAnsi" w:cs="Times New Roman" w:cstheme="majorBidi" w:eastAsia="Times New Roman" w:eastAsiaTheme="majorEastAsia" w:hAnsi="Times New Roman" w:hAnsiTheme="majorHAnsi"/>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rPr>
      <w:rFonts w:ascii="Times New Roman" w:cs="Times New Roman" w:eastAsia="Times New Roman" w:hAnsi="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rPr>
  </w:style>
  <w:style w:customStyle="1" w:styleId="Definition" w:type="paragraph">
    <w:name w:val="Definition"/>
    <w:basedOn w:val="Normal"/>
    <w:rPr>
      <w:rFonts w:ascii="Times New Roman" w:cs="Times New Roman" w:eastAsia="Times New Roman" w:hAnsi="Times New Roman"/>
      <w:color w:val="000000"/>
    </w:rPr>
  </w:style>
  <w:style w:styleId="Caption" w:type="paragraph">
    <w:name w:val="Caption"/>
    <w:basedOn w:val="Normal"/>
    <w:link w:val="BodyTextChar"/>
    <w:pPr>
      <w:spacing w:after="200" w:before="0" w:line="276" w:lineRule="auto"/>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200" w:before="0" w:line="276" w:lineRule="auto"/>
    </w:pPr>
    <w:rPr>
      <w:rFonts w:ascii="Times New Roman" w:cs="Times New Roman" w:eastAsia="Times New Roman" w:hAnsi="Times New Roman"/>
      <w:i w:val="0"/>
      <w:color w:val="000000"/>
      <w:sz w:val="20"/>
    </w:rPr>
  </w:style>
  <w:style w:customStyle="1" w:styleId="ImageCaption" w:type="paragraph">
    <w:name w:val="Image Caption"/>
    <w:basedOn w:val="Caption"/>
    <w:pPr>
      <w:spacing w:after="200" w:before="0" w:line="276" w:lineRule="auto"/>
    </w:pPr>
    <w:rPr>
      <w:rFonts w:ascii="Times New Roman" w:cs="Times New Roman" w:eastAsia="Times New Roman" w:hAnsi="Times New Roman"/>
      <w:i w:val="0"/>
      <w:color w:val="000000"/>
      <w:sz w:val="20"/>
    </w:rPr>
  </w:style>
  <w:style w:customStyle="1" w:styleId="Figure" w:type="paragraph">
    <w:name w:val="Figure"/>
    <w:basedOn w:val="Normal"/>
    <w:rPr>
      <w:rFonts w:ascii="Times New Roman" w:cs="Times New Roman" w:eastAsia="Times New Roman" w:hAnsi="Times New Roman"/>
      <w:color w:val="000000"/>
    </w:rPr>
  </w:style>
  <w:style w:customStyle="1" w:styleId="CaptionedFigure" w:type="paragraph">
    <w:name w:val="Captioned Figure"/>
    <w:basedOn w:val="Figure"/>
    <w:pPr>
      <w:keepNext/>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62" Type="http://schemas.openxmlformats.org/officeDocument/2006/relationships/image" Target="media/rId62.png"/><Relationship Id="rId24" Type="http://schemas.openxmlformats.org/officeDocument/2006/relationships/image" Target="media/rId24.png"/><Relationship Id="rId30" Type="http://schemas.openxmlformats.org/officeDocument/2006/relationships/image" Target="media/rId30.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52" Type="http://schemas.openxmlformats.org/officeDocument/2006/relationships/image" Target="media/rId52.png"/><Relationship Id="rId48" Type="http://schemas.openxmlformats.org/officeDocument/2006/relationships/image" Target="media/rId48.png"/><Relationship Id="rId59" Type="http://schemas.openxmlformats.org/officeDocument/2006/relationships/image" Target="media/rId59.png"/><Relationship Id="rId124" Type="http://schemas.openxmlformats.org/officeDocument/2006/relationships/hyperlink" Target="https://arxiv.org/abs/2512.23444" TargetMode="External"/><Relationship Id="rId132" Type="http://schemas.openxmlformats.org/officeDocument/2006/relationships/hyperlink" Target="https://arxiv.org/abs/2609.10737" TargetMode="External"/><Relationship Id="rId98" Type="http://schemas.openxmlformats.org/officeDocument/2006/relationships/hyperlink" Target="https://doi.org/10.1002/(SICI)1099-128X(199705)11:3&lt;181::AID-CEM459&gt;3.0.CO;2-7" TargetMode="External"/><Relationship Id="rId116" Type="http://schemas.openxmlformats.org/officeDocument/2006/relationships/hyperlink" Target="https://doi.org/10.1002/cem.3639" TargetMode="External"/><Relationship Id="rId120" Type="http://schemas.openxmlformats.org/officeDocument/2006/relationships/hyperlink" Target="https://doi.org/10.1002/cem.70017" TargetMode="External"/><Relationship Id="rId106" Type="http://schemas.openxmlformats.org/officeDocument/2006/relationships/hyperlink" Target="https://doi.org/10.1007/b106715" TargetMode="External"/><Relationship Id="rId84" Type="http://schemas.openxmlformats.org/officeDocument/2006/relationships/hyperlink" Target="https://doi.org/10.1016/0169-7439(95)00074-7" TargetMode="External"/><Relationship Id="rId149" Type="http://schemas.openxmlformats.org/officeDocument/2006/relationships/hyperlink" Target="https://doi.org/10.1016/S0169-7439(01)00155-1" TargetMode="External"/><Relationship Id="rId76" Type="http://schemas.openxmlformats.org/officeDocument/2006/relationships/hyperlink" Target="https://doi.org/10.1016/S0169-7439(02)00085-0" TargetMode="External"/><Relationship Id="rId102" Type="http://schemas.openxmlformats.org/officeDocument/2006/relationships/hyperlink" Target="https://doi.org/10.1016/j.aca.2015.11.028" TargetMode="External"/><Relationship Id="rId74" Type="http://schemas.openxmlformats.org/officeDocument/2006/relationships/hyperlink" Target="https://doi.org/10.1016/j.aca.2018.04.004" TargetMode="External"/><Relationship Id="rId90" Type="http://schemas.openxmlformats.org/officeDocument/2006/relationships/hyperlink" Target="https://doi.org/10.1016/j.aca.2022.340154" TargetMode="External"/><Relationship Id="rId92" Type="http://schemas.openxmlformats.org/officeDocument/2006/relationships/hyperlink" Target="https://doi.org/10.1016/j.aca.2024.342404" TargetMode="External"/><Relationship Id="rId94" Type="http://schemas.openxmlformats.org/officeDocument/2006/relationships/hyperlink" Target="https://doi.org/10.1016/j.aca.2025.344151" TargetMode="External"/><Relationship Id="rId96" Type="http://schemas.openxmlformats.org/officeDocument/2006/relationships/hyperlink" Target="https://doi.org/10.1016/j.aca.2026.346104" TargetMode="External"/><Relationship Id="rId118" Type="http://schemas.openxmlformats.org/officeDocument/2006/relationships/hyperlink" Target="https://doi.org/10.1016/j.chemolab.2024.105225" TargetMode="External"/><Relationship Id="rId156" Type="http://schemas.openxmlformats.org/officeDocument/2006/relationships/hyperlink" Target="https://doi.org/10.1016/j.chemolab.2025.105532" TargetMode="External"/><Relationship Id="rId122" Type="http://schemas.openxmlformats.org/officeDocument/2006/relationships/hyperlink" Target="https://doi.org/10.1016/j.foodchem.2025.145387" TargetMode="External"/><Relationship Id="rId88" Type="http://schemas.openxmlformats.org/officeDocument/2006/relationships/hyperlink" Target="https://doi.org/10.1016/j.infrared.2020.103547" TargetMode="External"/><Relationship Id="rId80" Type="http://schemas.openxmlformats.org/officeDocument/2006/relationships/hyperlink" Target="https://doi.org/10.1016/j.postharvbio.2020.111202" TargetMode="External"/><Relationship Id="rId82" Type="http://schemas.openxmlformats.org/officeDocument/2006/relationships/hyperlink" Target="https://doi.org/10.1021/ac00023a016" TargetMode="External"/><Relationship Id="rId147" Type="http://schemas.openxmlformats.org/officeDocument/2006/relationships/hyperlink" Target="https://doi.org/10.1021/ac60214a047" TargetMode="External"/><Relationship Id="rId86" Type="http://schemas.openxmlformats.org/officeDocument/2006/relationships/hyperlink" Target="https://doi.org/10.1021/acs.analchem.8b00498" TargetMode="External"/><Relationship Id="rId126" Type="http://schemas.openxmlformats.org/officeDocument/2006/relationships/hyperlink" Target="https://doi.org/10.1021/ci5001168" TargetMode="External"/><Relationship Id="rId138" Type="http://schemas.openxmlformats.org/officeDocument/2006/relationships/hyperlink" Target="https://doi.org/10.1080/00401706.1969.10490666" TargetMode="External"/><Relationship Id="rId108" Type="http://schemas.openxmlformats.org/officeDocument/2006/relationships/hyperlink" Target="https://doi.org/10.1080/01621459.2017.1307116" TargetMode="External"/><Relationship Id="rId78" Type="http://schemas.openxmlformats.org/officeDocument/2006/relationships/hyperlink" Target="https://doi.org/10.1177/0003702817736064" TargetMode="External"/><Relationship Id="rId114" Type="http://schemas.openxmlformats.org/officeDocument/2006/relationships/hyperlink" Target="https://doi.org/10.1177/0003702819831017" TargetMode="External"/><Relationship Id="rId151" Type="http://schemas.openxmlformats.org/officeDocument/2006/relationships/hyperlink" Target="https://doi.org/10.1198/016214506000001437" TargetMode="External"/><Relationship Id="rId134" Type="http://schemas.openxmlformats.org/officeDocument/2006/relationships/hyperlink" Target="https://doi.org/10.1214/20-aos1965" TargetMode="External"/><Relationship Id="rId100" Type="http://schemas.openxmlformats.org/officeDocument/2006/relationships/hyperlink" Target="https://doi.org/10.1351/pac200678030633" TargetMode="External"/><Relationship Id="rId145" Type="http://schemas.openxmlformats.org/officeDocument/2006/relationships/hyperlink" Target="https://doi.org/10.1366/0003702894202201" TargetMode="External"/><Relationship Id="rId104" Type="http://schemas.openxmlformats.org/officeDocument/2006/relationships/hyperlink" Target="https://doi.org/10.1520/E1655-17" TargetMode="External"/><Relationship Id="rId110" Type="http://schemas.openxmlformats.org/officeDocument/2006/relationships/hyperlink" Target="https://doi.org/10.1561/2200000101" TargetMode="External"/><Relationship Id="rId136" Type="http://schemas.openxmlformats.org/officeDocument/2006/relationships/hyperlink" Target="https://doi.org/10.1613/jair.3198" TargetMode="External"/><Relationship Id="rId143" Type="http://schemas.openxmlformats.org/officeDocument/2006/relationships/hyperlink" Target="https://doi.org/10.17632/46htwnp833.1" TargetMode="External"/><Relationship Id="rId158" Type="http://schemas.openxmlformats.org/officeDocument/2006/relationships/hyperlink" Target="https://doi.org/10.17632/46htwnp833.6" TargetMode="External"/><Relationship Id="rId153" Type="http://schemas.openxmlformats.org/officeDocument/2006/relationships/hyperlink" Target="https://doi.org/10.2307/4615733" TargetMode="External"/><Relationship Id="rId112" Type="http://schemas.openxmlformats.org/officeDocument/2006/relationships/hyperlink" Target="https://doi.org/10.3150/21-BEJ1447" TargetMode="External"/><Relationship Id="rId130" Type="http://schemas.openxmlformats.org/officeDocument/2006/relationships/hyperlink" Target="https://doi.org/10.3390/atmos17040335" TargetMode="External"/><Relationship Id="rId141" Type="http://schemas.openxmlformats.org/officeDocument/2006/relationships/hyperlink" Target="https://eigenvector.com/resources/data-sets/" TargetMode="External"/></Relationships>
</file>

<file path=word/_rels/footnotes.xml.rels><?xml version='1.0' encoding='UTF-8' standalone='yes'?>
<Relationships xmlns="http://schemas.openxmlformats.org/package/2006/relationships"><Relationship Id="rId124" Type="http://schemas.openxmlformats.org/officeDocument/2006/relationships/hyperlink" Target="https://arxiv.org/abs/2512.23444" TargetMode="External"/><Relationship Id="rId132" Type="http://schemas.openxmlformats.org/officeDocument/2006/relationships/hyperlink" Target="https://arxiv.org/abs/2609.10737" TargetMode="External"/><Relationship Id="rId98" Type="http://schemas.openxmlformats.org/officeDocument/2006/relationships/hyperlink" Target="https://doi.org/10.1002/(SICI)1099-128X(199705)11:3&lt;181::AID-CEM459&gt;3.0.CO;2-7" TargetMode="External"/><Relationship Id="rId116" Type="http://schemas.openxmlformats.org/officeDocument/2006/relationships/hyperlink" Target="https://doi.org/10.1002/cem.3639" TargetMode="External"/><Relationship Id="rId120" Type="http://schemas.openxmlformats.org/officeDocument/2006/relationships/hyperlink" Target="https://doi.org/10.1002/cem.70017" TargetMode="External"/><Relationship Id="rId106" Type="http://schemas.openxmlformats.org/officeDocument/2006/relationships/hyperlink" Target="https://doi.org/10.1007/b106715" TargetMode="External"/><Relationship Id="rId84" Type="http://schemas.openxmlformats.org/officeDocument/2006/relationships/hyperlink" Target="https://doi.org/10.1016/0169-7439(95)00074-7" TargetMode="External"/><Relationship Id="rId149" Type="http://schemas.openxmlformats.org/officeDocument/2006/relationships/hyperlink" Target="https://doi.org/10.1016/S0169-7439(01)00155-1" TargetMode="External"/><Relationship Id="rId76" Type="http://schemas.openxmlformats.org/officeDocument/2006/relationships/hyperlink" Target="https://doi.org/10.1016/S0169-7439(02)00085-0" TargetMode="External"/><Relationship Id="rId102" Type="http://schemas.openxmlformats.org/officeDocument/2006/relationships/hyperlink" Target="https://doi.org/10.1016/j.aca.2015.11.028" TargetMode="External"/><Relationship Id="rId74" Type="http://schemas.openxmlformats.org/officeDocument/2006/relationships/hyperlink" Target="https://doi.org/10.1016/j.aca.2018.04.004" TargetMode="External"/><Relationship Id="rId90" Type="http://schemas.openxmlformats.org/officeDocument/2006/relationships/hyperlink" Target="https://doi.org/10.1016/j.aca.2022.340154" TargetMode="External"/><Relationship Id="rId92" Type="http://schemas.openxmlformats.org/officeDocument/2006/relationships/hyperlink" Target="https://doi.org/10.1016/j.aca.2024.342404" TargetMode="External"/><Relationship Id="rId94" Type="http://schemas.openxmlformats.org/officeDocument/2006/relationships/hyperlink" Target="https://doi.org/10.1016/j.aca.2025.344151" TargetMode="External"/><Relationship Id="rId96" Type="http://schemas.openxmlformats.org/officeDocument/2006/relationships/hyperlink" Target="https://doi.org/10.1016/j.aca.2026.346104" TargetMode="External"/><Relationship Id="rId118" Type="http://schemas.openxmlformats.org/officeDocument/2006/relationships/hyperlink" Target="https://doi.org/10.1016/j.chemolab.2024.105225" TargetMode="External"/><Relationship Id="rId156" Type="http://schemas.openxmlformats.org/officeDocument/2006/relationships/hyperlink" Target="https://doi.org/10.1016/j.chemolab.2025.105532" TargetMode="External"/><Relationship Id="rId122" Type="http://schemas.openxmlformats.org/officeDocument/2006/relationships/hyperlink" Target="https://doi.org/10.1016/j.foodchem.2025.145387" TargetMode="External"/><Relationship Id="rId88" Type="http://schemas.openxmlformats.org/officeDocument/2006/relationships/hyperlink" Target="https://doi.org/10.1016/j.infrared.2020.103547" TargetMode="External"/><Relationship Id="rId80" Type="http://schemas.openxmlformats.org/officeDocument/2006/relationships/hyperlink" Target="https://doi.org/10.1016/j.postharvbio.2020.111202" TargetMode="External"/><Relationship Id="rId82" Type="http://schemas.openxmlformats.org/officeDocument/2006/relationships/hyperlink" Target="https://doi.org/10.1021/ac00023a016" TargetMode="External"/><Relationship Id="rId147" Type="http://schemas.openxmlformats.org/officeDocument/2006/relationships/hyperlink" Target="https://doi.org/10.1021/ac60214a047" TargetMode="External"/><Relationship Id="rId86" Type="http://schemas.openxmlformats.org/officeDocument/2006/relationships/hyperlink" Target="https://doi.org/10.1021/acs.analchem.8b00498" TargetMode="External"/><Relationship Id="rId126" Type="http://schemas.openxmlformats.org/officeDocument/2006/relationships/hyperlink" Target="https://doi.org/10.1021/ci5001168" TargetMode="External"/><Relationship Id="rId138" Type="http://schemas.openxmlformats.org/officeDocument/2006/relationships/hyperlink" Target="https://doi.org/10.1080/00401706.1969.10490666" TargetMode="External"/><Relationship Id="rId108" Type="http://schemas.openxmlformats.org/officeDocument/2006/relationships/hyperlink" Target="https://doi.org/10.1080/01621459.2017.1307116" TargetMode="External"/><Relationship Id="rId78" Type="http://schemas.openxmlformats.org/officeDocument/2006/relationships/hyperlink" Target="https://doi.org/10.1177/0003702817736064" TargetMode="External"/><Relationship Id="rId114" Type="http://schemas.openxmlformats.org/officeDocument/2006/relationships/hyperlink" Target="https://doi.org/10.1177/0003702819831017" TargetMode="External"/><Relationship Id="rId151" Type="http://schemas.openxmlformats.org/officeDocument/2006/relationships/hyperlink" Target="https://doi.org/10.1198/016214506000001437" TargetMode="External"/><Relationship Id="rId134" Type="http://schemas.openxmlformats.org/officeDocument/2006/relationships/hyperlink" Target="https://doi.org/10.1214/20-aos1965" TargetMode="External"/><Relationship Id="rId100" Type="http://schemas.openxmlformats.org/officeDocument/2006/relationships/hyperlink" Target="https://doi.org/10.1351/pac200678030633" TargetMode="External"/><Relationship Id="rId145" Type="http://schemas.openxmlformats.org/officeDocument/2006/relationships/hyperlink" Target="https://doi.org/10.1366/0003702894202201" TargetMode="External"/><Relationship Id="rId104" Type="http://schemas.openxmlformats.org/officeDocument/2006/relationships/hyperlink" Target="https://doi.org/10.1520/E1655-17" TargetMode="External"/><Relationship Id="rId110" Type="http://schemas.openxmlformats.org/officeDocument/2006/relationships/hyperlink" Target="https://doi.org/10.1561/2200000101" TargetMode="External"/><Relationship Id="rId136" Type="http://schemas.openxmlformats.org/officeDocument/2006/relationships/hyperlink" Target="https://doi.org/10.1613/jair.3198" TargetMode="External"/><Relationship Id="rId143" Type="http://schemas.openxmlformats.org/officeDocument/2006/relationships/hyperlink" Target="https://doi.org/10.17632/46htwnp833.1" TargetMode="External"/><Relationship Id="rId158" Type="http://schemas.openxmlformats.org/officeDocument/2006/relationships/hyperlink" Target="https://doi.org/10.17632/46htwnp833.6" TargetMode="External"/><Relationship Id="rId153" Type="http://schemas.openxmlformats.org/officeDocument/2006/relationships/hyperlink" Target="https://doi.org/10.2307/4615733" TargetMode="External"/><Relationship Id="rId112" Type="http://schemas.openxmlformats.org/officeDocument/2006/relationships/hyperlink" Target="https://doi.org/10.3150/21-BEJ1447" TargetMode="External"/><Relationship Id="rId130" Type="http://schemas.openxmlformats.org/officeDocument/2006/relationships/hyperlink" Target="https://doi.org/10.3390/atmos17040335" TargetMode="External"/><Relationship Id="rId141" Type="http://schemas.openxmlformats.org/officeDocument/2006/relationships/hyperlink" Target="https://eigenvector.com/resources/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 prediction intervals for transferred NIR calibrations: reusing the transfer standards with a leave-one-standard-out jackknife+</dc:title>
  <dc:creator/>
  <cp:keywords/>
  <dcterms:created xsi:type="dcterms:W3CDTF">2026-10-14T00:42:10Z</dcterms:created>
  <dcterms:modified xsi:type="dcterms:W3CDTF">2026-10-14T00:42:10Z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/home/user/rp_c_4/Target_Journal_Submission/manuscript/build/references.json</vt:lpwstr>
  </property>
  <property fmtid="{D5CDD505-2E9C-101B-9397-08002B2CF9AE}" pid="3" name="csl">
    <vt:lpwstr>/home/user/rp_c_4/Target_Journal_Submission/manuscript/build/elsevier-with-titles.csl</vt:lpwstr>
  </property>
  <property fmtid="{D5CDD505-2E9C-101B-9397-08002B2CF9AE}" pid="4" name="link-citations">
    <vt:lpwstr>False</vt:lpwstr>
  </property>
  <property fmtid="{D5CDD505-2E9C-101B-9397-08002B2CF9AE}" pid="5" name="reference-section-title">
    <vt:lpwstr>References</vt:lpwstr>
  </property>
</Properties>
</file>