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Distribution-free prediction intervals for multivariate calibrations transferred between spectrometers using unlabelled transfer standards</w:t>
      </w:r>
    </w:p>
    <w:p>
      <w:pPr>
        <w:jc w:val="center"/>
      </w:pPr>
      <w:r>
        <w:rPr>
          <w:rFonts w:ascii="Times New Roman" w:hAnsi="Times New Roman"/>
          <w:b w:val="0"/>
        </w:rPr>
        <w:t>Author One</w:t>
      </w:r>
      <w:r>
        <w:rPr>
          <w:rFonts w:ascii="Times New Roman" w:hAnsi="Times New Roman"/>
          <w:b w:val="0"/>
          <w:vertAlign w:val="superscript"/>
        </w:rPr>
        <w:t>a,*</w:t>
      </w:r>
      <w:r>
        <w:rPr>
          <w:rFonts w:ascii="Times New Roman" w:hAnsi="Times New Roman"/>
          <w:b w:val="0"/>
        </w:rPr>
        <w:t>, Author Two</w:t>
      </w:r>
      <w:r>
        <w:rPr>
          <w:rFonts w:ascii="Times New Roman" w:hAnsi="Times New Roman"/>
          <w:b w:val="0"/>
          <w:vertAlign w:val="superscript"/>
        </w:rPr>
        <w:t>b</w:t>
      </w:r>
      <w:r>
        <w:rPr>
          <w:rFonts w:ascii="Times New Roman" w:hAnsi="Times New Roman"/>
          <w:b w:val="0"/>
        </w:rPr>
        <w:t xml:space="preserve"> [author names withheld — placeholder]</w:t>
      </w:r>
    </w:p>
    <w:p>
      <w:pPr>
        <w:jc w:val="center"/>
      </w:pPr>
      <w:r>
        <w:rPr>
          <w:rFonts w:ascii="Times New Roman" w:hAnsi="Times New Roman"/>
          <w:b w:val="0"/>
          <w:vertAlign w:val="superscript"/>
        </w:rPr>
        <w:t>a</w:t>
      </w:r>
      <w:r>
        <w:rPr>
          <w:rFonts w:ascii="Times New Roman" w:hAnsi="Times New Roman"/>
          <w:b w:val="0"/>
        </w:rPr>
        <w:t xml:space="preserve"> Affiliation placeholder; </w:t>
      </w:r>
      <w:r>
        <w:rPr>
          <w:rFonts w:ascii="Times New Roman" w:hAnsi="Times New Roman"/>
          <w:b w:val="0"/>
          <w:vertAlign w:val="superscript"/>
        </w:rPr>
        <w:t>b</w:t>
      </w:r>
      <w:r>
        <w:rPr>
          <w:rFonts w:ascii="Times New Roman" w:hAnsi="Times New Roman"/>
          <w:b w:val="0"/>
        </w:rPr>
        <w:t xml:space="preserve"> Affiliation placeholder</w:t>
      </w:r>
    </w:p>
    <w:p>
      <w:pPr>
        <w:jc w:val="center"/>
      </w:pPr>
      <w:r>
        <w:rPr>
          <w:rFonts w:ascii="Times New Roman" w:hAnsi="Times New Roman"/>
          <w:b w:val="0"/>
          <w:vertAlign w:val="superscript"/>
        </w:rPr>
        <w:t>*</w:t>
      </w:r>
      <w:r>
        <w:rPr>
          <w:rFonts w:ascii="Times New Roman" w:hAnsi="Times New Roman"/>
          <w:b w:val="0"/>
        </w:rPr>
        <w:t xml:space="preserve"> Corresponding author: name, e-mail placeholder</w:t>
      </w:r>
    </w:p>
    <w:p>
      <w:pPr>
        <w:keepNext/>
        <w:spacing w:before="240"/>
      </w:pPr>
      <w:r>
        <w:rPr>
          <w:rFonts w:ascii="Times New Roman" w:hAnsi="Times New Roman"/>
          <w:b/>
          <w:sz w:val="26"/>
        </w:rPr>
        <w:t>Highlights</w:t>
      </w:r>
    </w:p>
    <w:p>
      <w:pPr>
        <w:pStyle w:val="ListBullet"/>
      </w:pPr>
      <w:r>
        <w:rPr>
          <w:rFonts w:ascii="Times New Roman" w:hAnsi="Times New Roman"/>
          <w:b w:val="0"/>
        </w:rPr>
        <w:t>Intervals calibrated on the primary NIR instrument under-cover after transfer</w:t>
      </w:r>
    </w:p>
    <w:p>
      <w:pPr>
        <w:pStyle w:val="ListBullet"/>
      </w:pPr>
      <w:r>
        <w:rPr>
          <w:rFonts w:ascii="Times New Roman" w:hAnsi="Times New Roman"/>
          <w:b w:val="0"/>
        </w:rPr>
        <w:t>Cross-fitted discrepancies on transfer standards need no reference values</w:t>
      </w:r>
    </w:p>
    <w:p>
      <w:pPr>
        <w:pStyle w:val="ListBullet"/>
      </w:pPr>
      <w:r>
        <w:rPr>
          <w:rFonts w:ascii="Times New Roman" w:hAnsi="Times New Roman"/>
          <w:b w:val="0"/>
        </w:rPr>
        <w:t>TD-CP+ restores near-nominal coverage across 30 instrument-pair scenarios</w:t>
      </w:r>
    </w:p>
    <w:p>
      <w:pPr>
        <w:pStyle w:val="ListBullet"/>
      </w:pPr>
      <w:r>
        <w:rPr>
          <w:rFonts w:ascii="Times New Roman" w:hAnsi="Times New Roman"/>
          <w:b w:val="0"/>
        </w:rPr>
        <w:t>Benchmark: 2 public datasets, PDS and DS, 100 splits per scenario</w:t>
      </w:r>
    </w:p>
    <w:p>
      <w:pPr>
        <w:pStyle w:val="ListBullet"/>
      </w:pPr>
      <w:r>
        <w:rPr>
          <w:rFonts w:ascii="Times New Roman" w:hAnsi="Times New Roman"/>
          <w:b w:val="0"/>
        </w:rPr>
        <w:t>Open code regenerates every number, table and figure</w:t>
      </w:r>
    </w:p>
    <w:p>
      <w:pPr>
        <w:keepNext/>
        <w:spacing w:before="240"/>
      </w:pPr>
      <w:r>
        <w:rPr>
          <w:rFonts w:ascii="Times New Roman" w:hAnsi="Times New Roman"/>
          <w:b/>
          <w:sz w:val="26"/>
        </w:rPr>
        <w:t>Abstract</w:t>
      </w:r>
    </w:p>
    <w:p>
      <w:pPr>
        <w:jc w:val="both"/>
      </w:pPr>
      <w:r>
        <w:rPr>
          <w:rFonts w:ascii="Times New Roman" w:hAnsi="Times New Roman"/>
          <w:b/>
        </w:rPr>
        <w:t xml:space="preserve">Background: </w:t>
      </w:r>
      <w:r>
        <w:rPr>
          <w:rFonts w:ascii="Times New Roman" w:hAnsi="Times New Roman"/>
          <w:b w:val="0"/>
        </w:rPr>
        <w:t>Calibration transfer (e.g., piecewise direct standardisation, PDS) lets a multivariate calibration built on a primary spectrometer be used on a secondary one, but transfer methods are judged almost exclusively by point accuracy. Prediction intervals inherited from the primary instrument implicitly assume that the transfer is perfect, and no distribution-free method has been established to attach sample-wise uncertainty to a transferred calibration without new reference analyses on the secondary instrument.</w:t>
      </w:r>
    </w:p>
    <w:p>
      <w:pPr>
        <w:jc w:val="both"/>
      </w:pPr>
      <w:r>
        <w:rPr>
          <w:rFonts w:ascii="Times New Roman" w:hAnsi="Times New Roman"/>
          <w:b/>
        </w:rPr>
        <w:t xml:space="preserve">Results: </w:t>
      </w:r>
      <w:r>
        <w:rPr>
          <w:rFonts w:ascii="Times New Roman" w:hAnsi="Times New Roman"/>
          <w:b w:val="0"/>
        </w:rPr>
        <w:t>We decompose the secondary-instrument prediction error exactly into the primary calibration residual and a transfer discrepancy that can be measured, without reference values, on the transfer standards already used to fit PDS or direct standardisation (DS). Combining out-of-fold calibration residuals with cross-fitted discrepancies yields transfer-discrepancy conformal prediction (TD-CP) and a jackknife+ variant (TD-CP+). On two public NIR benchmarks (corn, three instruments; pharmaceutical tablets, two instruments; 30 directed instrument-pair × property scenarios, 100 random splits each, k = 10 standards), intervals calibrated on the primary instrument covered only 0.483 (PDS) and 0.587 (DS) of secondary-instrument samples at a nominal 0.90. TD-CP+ reached 0.939 and 0.927, was within 0.02 of nominal or above in 100% and 100% of scenarios, and had a lower interval score than a comparator requiring reference values for all ten standards. The pre-specified signed TD-CP fell short of its validity criterion with DS.</w:t>
      </w:r>
    </w:p>
    <w:p>
      <w:pPr>
        <w:jc w:val="both"/>
      </w:pPr>
      <w:r>
        <w:rPr>
          <w:rFonts w:ascii="Times New Roman" w:hAnsi="Times New Roman"/>
          <w:b/>
        </w:rPr>
        <w:t xml:space="preserve">Significance: </w:t>
      </w:r>
      <w:r>
        <w:rPr>
          <w:rFonts w:ascii="Times New Roman" w:hAnsi="Times New Roman"/>
          <w:b w:val="0"/>
        </w:rPr>
        <w:t>Transferred calibrations can carry sample-wise intervals with near-nominal coverage without reference values for the standards, as efficient as or more efficient than intervals built from them; reusing primary-instrument intervals is markedly over-confident. Code is openly released.</w:t>
      </w:r>
    </w:p>
    <w:p>
      <w:pPr>
        <w:jc w:val="both"/>
      </w:pPr>
      <w:r>
        <w:rPr>
          <w:rFonts w:ascii="Times New Roman" w:hAnsi="Times New Roman"/>
          <w:b/>
        </w:rPr>
        <w:t xml:space="preserve">Keywords: </w:t>
      </w:r>
      <w:r>
        <w:rPr>
          <w:rFonts w:ascii="Times New Roman" w:hAnsi="Times New Roman"/>
          <w:b w:val="0"/>
        </w:rPr>
        <w:t>Calibration transfer; Conformal prediction; Prediction interval; Near-infrared spectroscopy; Piecewise direct standardisation; Uncertainty quantification</w:t>
      </w:r>
    </w:p>
    <w:p>
      <w:pPr>
        <w:keepNext/>
        <w:spacing w:before="240"/>
      </w:pPr>
      <w:r>
        <w:rPr>
          <w:rFonts w:ascii="Times New Roman" w:hAnsi="Times New Roman"/>
          <w:b/>
          <w:sz w:val="26"/>
        </w:rPr>
        <w:t>1. Introduction</w:t>
      </w:r>
    </w:p>
    <w:p>
      <w:pPr>
        <w:jc w:val="both"/>
      </w:pPr>
      <w:r>
        <w:rPr>
          <w:rFonts w:ascii="Times New Roman" w:hAnsi="Times New Roman"/>
          <w:b w:val="0"/>
        </w:rPr>
        <w:t>Near-infrared (NIR) and other vibrational spectroscopic methods rely on multivariate calibrations such as partial least squares (PLS) regression [1]. Because spectra of the same sample differ between instruments, a calibration developed on a primary (master) instrument generally cannot be applied to a secondary (slave) instrument without correction [2–4]. Calibration transfer methods such as direct standardisation (DS) and piecewise direct standardisation (PDS) [5,6] map secondary spectra onto the primary domain using a small set of transfer standards measured on both instruments, and the field continues to produce new transfer strategies, including standard-free and few-shot approaches [7–11].</w:t>
      </w:r>
    </w:p>
    <w:p>
      <w:pPr>
        <w:jc w:val="both"/>
      </w:pPr>
      <w:r>
        <w:rPr>
          <w:rFonts w:ascii="Times New Roman" w:hAnsi="Times New Roman"/>
          <w:b w:val="0"/>
        </w:rPr>
        <w:t>These methods are almost invariably evaluated by point-prediction accuracy (RMSEP, R</w:t>
      </w:r>
      <w:r>
        <w:rPr>
          <w:rFonts w:ascii="Times New Roman" w:hAnsi="Times New Roman"/>
          <w:b w:val="0"/>
          <w:vertAlign w:val="superscript"/>
        </w:rPr>
        <w:t>2</w:t>
      </w:r>
      <w:r>
        <w:rPr>
          <w:rFonts w:ascii="Times New Roman" w:hAnsi="Times New Roman"/>
          <w:b w:val="0"/>
        </w:rPr>
        <w:t>). Method validation and routine release decisions, however, require statements about the uncertainty of individual predictions [12,13]. Sample-specific prediction errors for PLS have been derived by error propagation and leverage arguments [14,15], and conformal prediction (CP), which provides distribution-free finite-sample coverage under exchangeability [16–19], has recently been applied to mid-infrared, Raman and NIR regression [20–22]. All of these approaches assume that new spectra come from the same measurement domain as the calibration data. After transfer this assumption fails twice: the secondary spectra differ from the primary spectra, and the transfer map itself is estimated from few standards and is imperfect. A recent review of calibration transfer and uncertainty quantification for portable optical systems emphasises this gap but proposes no validated interval method [23].</w:t>
      </w:r>
    </w:p>
    <w:p>
      <w:pPr>
        <w:jc w:val="both"/>
      </w:pPr>
      <w:r>
        <w:rPr>
          <w:rFonts w:ascii="Times New Roman" w:hAnsi="Times New Roman"/>
          <w:b w:val="0"/>
        </w:rPr>
        <w:t>Two generic remedies are available but unattractive. Re-calibrating the interval on the secondary instrument requires reference analyses for a sufficiently large labelled set: with k labelled standards, split CP cannot produce a finite 95% interval unless k ≥ 19. Weighted CP for covariate shift [24] requires overlapping supports and estimable likelihood ratios, which are fragile for high-dimensional transferred spectra. A concurrent machine-learning paper transports a labelled source calibration set through unlabelled paired observations for set-valued classification [25]; it does not address regression intervals after chemometric standardisation.</w:t>
      </w:r>
    </w:p>
    <w:p>
      <w:pPr>
        <w:jc w:val="both"/>
      </w:pPr>
      <w:r>
        <w:rPr>
          <w:rFonts w:ascii="Times New Roman" w:hAnsi="Times New Roman"/>
          <w:b w:val="0"/>
        </w:rPr>
        <w:t xml:space="preserve">Here we exploit a simple identity: the error of a transferred prediction equals the primary calibration residual plus a </w:t>
      </w:r>
      <w:r>
        <w:rPr>
          <w:rFonts w:ascii="Times New Roman" w:hAnsi="Times New Roman"/>
          <w:b w:val="0"/>
          <w:i/>
        </w:rPr>
        <w:t>transfer discrepancy</w:t>
      </w:r>
      <w:r>
        <w:rPr>
          <w:rFonts w:ascii="Times New Roman" w:hAnsi="Times New Roman"/>
          <w:b w:val="0"/>
        </w:rPr>
        <w:t>, the difference between the primary-model prediction from the primary spectrum and from the transferred secondary spectrum. The discrepancy needs no reference value and can be measured on the transfer standards that DS/PDS already require, provided that the transfer map is cross-fitted. This matters when standards lack valid reference values (surrogate or stable check materials, or calibration samples whose composition has changed or that were consumed); when reference values are available, the comparison with intervals built from them is part of the evaluation. The contributions are: (i) transfer-discrepancy conformal prediction (TD-CP), which combines out-of-fold calibration residuals with cross-fitted discrepancies, together with a conditional finite-sample coverage statement; (ii) a jackknife+ variant (TD-CP+) that remains reliable when the transfer map is unstable, as DS is when k ≪ p; and (iii) a benchmark of interval validity after transfer on two public multi-instrument datasets, with an analysis protocol fixed and time-stamped in version control before the experiments, ablations, robustness tests and open code. We report all pre-specified outcomes, including the one that the pre-specified signed TD-CP did not meet.</w:t>
      </w:r>
    </w:p>
    <w:p>
      <w:pPr>
        <w:keepNext/>
        <w:jc w:val="center"/>
      </w:pPr>
      <w:r>
        <w:drawing>
          <wp:inline xmlns:a="http://schemas.openxmlformats.org/drawingml/2006/main" xmlns:pic="http://schemas.openxmlformats.org/drawingml/2006/picture">
            <wp:extent cx="5760000" cy="2451488"/>
            <wp:docPr id="1" name="Picture 1"/>
            <wp:cNvGraphicFramePr>
              <a:graphicFrameLocks noChangeAspect="1"/>
            </wp:cNvGraphicFramePr>
            <a:graphic>
              <a:graphicData uri="http://schemas.openxmlformats.org/drawingml/2006/picture">
                <pic:pic>
                  <pic:nvPicPr>
                    <pic:cNvPr id="0" name="fig1_workflow.png"/>
                    <pic:cNvPicPr/>
                  </pic:nvPicPr>
                  <pic:blipFill>
                    <a:blip r:embed="rId10"/>
                    <a:stretch>
                      <a:fillRect/>
                    </a:stretch>
                  </pic:blipFill>
                  <pic:spPr>
                    <a:xfrm>
                      <a:off x="0" y="0"/>
                      <a:ext cx="5760000" cy="2451488"/>
                    </a:xfrm>
                    <a:prstGeom prst="rect"/>
                  </pic:spPr>
                </pic:pic>
              </a:graphicData>
            </a:graphic>
          </wp:inline>
        </w:drawing>
      </w:r>
    </w:p>
    <w:p>
      <w:pPr>
        <w:spacing w:line="276" w:lineRule="auto"/>
        <w:jc w:val="both"/>
      </w:pPr>
      <w:r>
        <w:rPr>
          <w:rFonts w:ascii="Times New Roman" w:hAnsi="Times New Roman"/>
          <w:b/>
          <w:sz w:val="20"/>
        </w:rPr>
        <w:t>Fig. 1.</w:t>
      </w:r>
      <w:r>
        <w:rPr>
          <w:rFonts w:ascii="Times New Roman" w:hAnsi="Times New Roman"/>
          <w:b w:val="0"/>
          <w:sz w:val="20"/>
        </w:rPr>
        <w:t xml:space="preserve"> TD-CP workflow. Residuals of the primary calibration (top) and reference-free transfer discrepancies of cross-fitted standardisation maps on the transfer standards (bottom) are combined into the interval for a new secondary-instrument spectrum. Schematic; no data are shown.</w:t>
      </w:r>
    </w:p>
    <w:p>
      <w:pPr>
        <w:keepNext/>
        <w:spacing w:before="240"/>
      </w:pPr>
      <w:r>
        <w:rPr>
          <w:rFonts w:ascii="Times New Roman" w:hAnsi="Times New Roman"/>
          <w:b/>
          <w:sz w:val="26"/>
        </w:rPr>
        <w:t>2. Theory</w:t>
      </w:r>
    </w:p>
    <w:p>
      <w:pPr>
        <w:keepNext/>
        <w:spacing w:before="160"/>
      </w:pPr>
      <w:r>
        <w:rPr>
          <w:rFonts w:ascii="Times New Roman" w:hAnsi="Times New Roman"/>
          <w:b/>
          <w:sz w:val="24"/>
        </w:rPr>
        <w:t>2.1. Problem setting</w:t>
      </w:r>
    </w:p>
    <w:p>
      <w:pPr>
        <w:jc w:val="both"/>
      </w:pPr>
      <w:r>
        <w:rPr>
          <w:rFonts w:ascii="Times New Roman" w:hAnsi="Times New Roman"/>
          <w:b w:val="0"/>
        </w:rPr>
        <w:t xml:space="preserve">Let </w:t>
      </w:r>
      <w:r>
        <w:rPr>
          <w:rFonts w:ascii="Times New Roman" w:hAnsi="Times New Roman"/>
          <w:b w:val="0"/>
          <w:i/>
        </w:rPr>
        <w:t>f</w:t>
      </w:r>
      <w:r>
        <w:rPr>
          <w:rFonts w:ascii="Times New Roman" w:hAnsi="Times New Roman"/>
          <w:b w:val="0"/>
        </w:rPr>
        <w:t xml:space="preserve"> be a calibration fitted on primary spectra </w:t>
      </w:r>
      <w:r>
        <w:rPr>
          <w:rFonts w:ascii="Times New Roman" w:hAnsi="Times New Roman"/>
          <w:b w:val="0"/>
          <w:i/>
        </w:rPr>
        <w:t>x</w:t>
      </w:r>
      <w:r>
        <w:rPr>
          <w:rFonts w:ascii="Times New Roman" w:hAnsi="Times New Roman"/>
          <w:b w:val="0"/>
          <w:vertAlign w:val="superscript"/>
        </w:rPr>
        <w:t>P</w:t>
      </w:r>
      <w:r>
        <w:rPr>
          <w:rFonts w:ascii="Times New Roman" w:hAnsi="Times New Roman"/>
          <w:b w:val="0"/>
        </w:rPr>
        <w:t xml:space="preserve"> of a labelled master set {(</w:t>
      </w:r>
      <w:r>
        <w:rPr>
          <w:rFonts w:ascii="Times New Roman" w:hAnsi="Times New Roman"/>
          <w:b w:val="0"/>
          <w:i/>
        </w:rPr>
        <w:t>x</w:t>
      </w:r>
      <w:r>
        <w:rPr>
          <w:rFonts w:ascii="Times New Roman" w:hAnsi="Times New Roman"/>
          <w:b w:val="0"/>
          <w:vertAlign w:val="subscript"/>
        </w:rPr>
        <w:t>i</w:t>
      </w:r>
      <w:r>
        <w:rPr>
          <w:rFonts w:ascii="Times New Roman" w:hAnsi="Times New Roman"/>
          <w:b w:val="0"/>
          <w:vertAlign w:val="superscript"/>
        </w:rPr>
        <w:t>P</w:t>
      </w:r>
      <w:r>
        <w:rPr>
          <w:rFonts w:ascii="Times New Roman" w:hAnsi="Times New Roman"/>
          <w:b w:val="0"/>
        </w:rPr>
        <w:t xml:space="preserve">, </w:t>
      </w:r>
      <w:r>
        <w:rPr>
          <w:rFonts w:ascii="Times New Roman" w:hAnsi="Times New Roman"/>
          <w:b w:val="0"/>
          <w:i/>
        </w:rPr>
        <w:t>y</w:t>
      </w:r>
      <w:r>
        <w:rPr>
          <w:rFonts w:ascii="Times New Roman" w:hAnsi="Times New Roman"/>
          <w:b w:val="0"/>
          <w:vertAlign w:val="subscript"/>
        </w:rPr>
        <w:t>i</w:t>
      </w:r>
      <w:r>
        <w:rPr>
          <w:rFonts w:ascii="Times New Roman" w:hAnsi="Times New Roman"/>
          <w:b w:val="0"/>
        </w:rPr>
        <w:t xml:space="preserve">)}, </w:t>
      </w:r>
      <w:r>
        <w:rPr>
          <w:rFonts w:ascii="Times New Roman" w:hAnsi="Times New Roman"/>
          <w:b w:val="0"/>
          <w:i/>
        </w:rPr>
        <w:t>i</w:t>
      </w:r>
      <w:r>
        <w:rPr>
          <w:rFonts w:ascii="Times New Roman" w:hAnsi="Times New Roman"/>
          <w:b w:val="0"/>
        </w:rPr>
        <w:t xml:space="preserve"> = 1, …, </w:t>
      </w:r>
      <w:r>
        <w:rPr>
          <w:rFonts w:ascii="Times New Roman" w:hAnsi="Times New Roman"/>
          <w:b w:val="0"/>
          <w:i/>
        </w:rPr>
        <w:t>n</w:t>
      </w:r>
      <w:r>
        <w:rPr>
          <w:rFonts w:ascii="Times New Roman" w:hAnsi="Times New Roman"/>
          <w:b w:val="0"/>
        </w:rPr>
        <w:t xml:space="preserve">, and let </w:t>
      </w:r>
      <w:r>
        <w:rPr>
          <w:rFonts w:ascii="Times New Roman" w:hAnsi="Times New Roman"/>
          <w:b w:val="0"/>
          <w:i/>
        </w:rPr>
        <w:t>T</w:t>
      </w:r>
      <w:r>
        <w:rPr>
          <w:rFonts w:ascii="Times New Roman" w:hAnsi="Times New Roman"/>
          <w:b w:val="0"/>
        </w:rPr>
        <w:t xml:space="preserve"> be a transfer map fitted on </w:t>
      </w:r>
      <w:r>
        <w:rPr>
          <w:rFonts w:ascii="Times New Roman" w:hAnsi="Times New Roman"/>
          <w:b w:val="0"/>
          <w:i/>
        </w:rPr>
        <w:t>k</w:t>
      </w:r>
      <w:r>
        <w:rPr>
          <w:rFonts w:ascii="Times New Roman" w:hAnsi="Times New Roman"/>
          <w:b w:val="0"/>
        </w:rPr>
        <w:t xml:space="preserve"> transfer pairs {(</w:t>
      </w:r>
      <w:r>
        <w:rPr>
          <w:rFonts w:ascii="Times New Roman" w:hAnsi="Times New Roman"/>
          <w:b w:val="0"/>
          <w:i/>
        </w:rPr>
        <w:t>x</w:t>
      </w:r>
      <w:r>
        <w:rPr>
          <w:rFonts w:ascii="Times New Roman" w:hAnsi="Times New Roman"/>
          <w:b w:val="0"/>
          <w:vertAlign w:val="subscript"/>
        </w:rPr>
        <w:t>j</w:t>
      </w:r>
      <w:r>
        <w:rPr>
          <w:rFonts w:ascii="Times New Roman" w:hAnsi="Times New Roman"/>
          <w:b w:val="0"/>
          <w:vertAlign w:val="superscript"/>
        </w:rPr>
        <w:t>P</w:t>
      </w:r>
      <w:r>
        <w:rPr>
          <w:rFonts w:ascii="Times New Roman" w:hAnsi="Times New Roman"/>
          <w:b w:val="0"/>
        </w:rPr>
        <w:t xml:space="preserve">, </w:t>
      </w:r>
      <w:r>
        <w:rPr>
          <w:rFonts w:ascii="Times New Roman" w:hAnsi="Times New Roman"/>
          <w:b w:val="0"/>
          <w:i/>
        </w:rPr>
        <w:t>x</w:t>
      </w:r>
      <w:r>
        <w:rPr>
          <w:rFonts w:ascii="Times New Roman" w:hAnsi="Times New Roman"/>
          <w:b w:val="0"/>
          <w:vertAlign w:val="subscript"/>
        </w:rPr>
        <w:t>j</w:t>
      </w:r>
      <w:r>
        <w:rPr>
          <w:rFonts w:ascii="Times New Roman" w:hAnsi="Times New Roman"/>
          <w:b w:val="0"/>
          <w:vertAlign w:val="superscript"/>
        </w:rPr>
        <w:t>S</w:t>
      </w:r>
      <w:r>
        <w:rPr>
          <w:rFonts w:ascii="Times New Roman" w:hAnsi="Times New Roman"/>
          <w:b w:val="0"/>
        </w:rPr>
        <w:t xml:space="preserve">)} measured on the primary (P) and secondary (S) instruments. A new sample is measured only on S and predicted as ŷ = </w:t>
      </w:r>
      <w:r>
        <w:rPr>
          <w:rFonts w:ascii="Times New Roman" w:hAnsi="Times New Roman"/>
          <w:b w:val="0"/>
          <w:i/>
        </w:rPr>
        <w:t>f</w:t>
      </w:r>
      <w:r>
        <w:rPr>
          <w:rFonts w:ascii="Times New Roman" w:hAnsi="Times New Roman"/>
          <w:b w:val="0"/>
        </w:rPr>
        <w:t>(</w:t>
      </w:r>
      <w:r>
        <w:rPr>
          <w:rFonts w:ascii="Times New Roman" w:hAnsi="Times New Roman"/>
          <w:b w:val="0"/>
          <w:i/>
        </w:rPr>
        <w:t>T</w:t>
      </w:r>
      <w:r>
        <w:rPr>
          <w:rFonts w:ascii="Times New Roman" w:hAnsi="Times New Roman"/>
          <w:b w:val="0"/>
        </w:rPr>
        <w:t>(</w:t>
      </w:r>
      <w:r>
        <w:rPr>
          <w:rFonts w:ascii="Times New Roman" w:hAnsi="Times New Roman"/>
          <w:b w:val="0"/>
          <w:i/>
        </w:rPr>
        <w:t>x</w:t>
      </w:r>
      <w:r>
        <w:rPr>
          <w:rFonts w:ascii="Times New Roman" w:hAnsi="Times New Roman"/>
          <w:b w:val="0"/>
          <w:vertAlign w:val="superscript"/>
        </w:rPr>
        <w:t>S</w:t>
      </w:r>
      <w:r>
        <w:rPr>
          <w:rFonts w:ascii="Times New Roman" w:hAnsi="Times New Roman"/>
          <w:b w:val="0"/>
        </w:rPr>
        <w:t xml:space="preserve">)). We seek an interval [ŷ + </w:t>
      </w:r>
      <w:r>
        <w:rPr>
          <w:rFonts w:ascii="Times New Roman" w:hAnsi="Times New Roman"/>
          <w:b w:val="0"/>
          <w:i/>
        </w:rPr>
        <w:t>L</w:t>
      </w:r>
      <w:r>
        <w:rPr>
          <w:rFonts w:ascii="Times New Roman" w:hAnsi="Times New Roman"/>
          <w:b w:val="0"/>
        </w:rPr>
        <w:t xml:space="preserve">, ŷ + </w:t>
      </w:r>
      <w:r>
        <w:rPr>
          <w:rFonts w:ascii="Times New Roman" w:hAnsi="Times New Roman"/>
          <w:b w:val="0"/>
          <w:i/>
        </w:rPr>
        <w:t>U</w:t>
      </w:r>
      <w:r>
        <w:rPr>
          <w:rFonts w:ascii="Times New Roman" w:hAnsi="Times New Roman"/>
          <w:b w:val="0"/>
        </w:rPr>
        <w:t xml:space="preserve">] that contains </w:t>
      </w:r>
      <w:r>
        <w:rPr>
          <w:rFonts w:ascii="Times New Roman" w:hAnsi="Times New Roman"/>
          <w:b w:val="0"/>
          <w:i/>
        </w:rPr>
        <w:t>y</w:t>
      </w:r>
      <w:r>
        <w:rPr>
          <w:rFonts w:ascii="Times New Roman" w:hAnsi="Times New Roman"/>
          <w:b w:val="0"/>
        </w:rPr>
        <w:t xml:space="preserve"> with probability at least 1 − α without reference values for the transfer standards.</w:t>
      </w:r>
    </w:p>
    <w:p>
      <w:pPr>
        <w:keepNext/>
        <w:spacing w:before="160"/>
      </w:pPr>
      <w:r>
        <w:rPr>
          <w:rFonts w:ascii="Times New Roman" w:hAnsi="Times New Roman"/>
          <w:b/>
          <w:sz w:val="24"/>
        </w:rPr>
        <w:t>2.2. Error decomposition</w:t>
      </w:r>
    </w:p>
    <w:p>
      <w:pPr>
        <w:jc w:val="both"/>
      </w:pPr>
      <w:r>
        <w:rPr>
          <w:rFonts w:ascii="Times New Roman" w:hAnsi="Times New Roman"/>
          <w:b w:val="0"/>
        </w:rPr>
        <w:t>For any sample the prediction error decomposes exactly as</w:t>
      </w:r>
    </w:p>
    <w:p>
      <w:pPr>
        <w:keepLines/>
        <w:tabs>
          <w:tab w:pos="4535" w:val="center"/>
          <w:tab w:pos="9071" w:val="right"/>
        </w:tabs>
      </w:pPr>
      <w:r>
        <w:tab/>
      </w:r>
      <w:r>
        <w:drawing>
          <wp:inline xmlns:a="http://schemas.openxmlformats.org/drawingml/2006/main" xmlns:pic="http://schemas.openxmlformats.org/drawingml/2006/picture">
            <wp:extent cx="3575304" cy="252984"/>
            <wp:docPr id="2" name="Picture 2"/>
            <wp:cNvGraphicFramePr>
              <a:graphicFrameLocks noChangeAspect="1"/>
            </wp:cNvGraphicFramePr>
            <a:graphic>
              <a:graphicData uri="http://schemas.openxmlformats.org/drawingml/2006/picture">
                <pic:pic>
                  <pic:nvPicPr>
                    <pic:cNvPr id="0" name="eq1.png"/>
                    <pic:cNvPicPr/>
                  </pic:nvPicPr>
                  <pic:blipFill>
                    <a:blip r:embed="rId11"/>
                    <a:stretch>
                      <a:fillRect/>
                    </a:stretch>
                  </pic:blipFill>
                  <pic:spPr>
                    <a:xfrm>
                      <a:off x="0" y="0"/>
                      <a:ext cx="3575304" cy="252984"/>
                    </a:xfrm>
                    <a:prstGeom prst="rect"/>
                  </pic:spPr>
                </pic:pic>
              </a:graphicData>
            </a:graphic>
          </wp:inline>
        </w:drawing>
      </w:r>
      <w:r>
        <w:rPr>
          <w:rFonts w:ascii="Times New Roman" w:hAnsi="Times New Roman"/>
        </w:rPr>
        <w:tab/>
        <w:t>(1)</w:t>
      </w:r>
    </w:p>
    <w:p>
      <w:pPr>
        <w:jc w:val="both"/>
      </w:pPr>
      <w:r>
        <w:rPr>
          <w:rFonts w:ascii="Times New Roman" w:hAnsi="Times New Roman"/>
          <w:b w:val="0"/>
        </w:rPr>
        <w:t xml:space="preserve">where </w:t>
      </w:r>
      <w:r>
        <w:rPr>
          <w:rFonts w:ascii="Times New Roman" w:hAnsi="Times New Roman"/>
          <w:b w:val="0"/>
          <w:i/>
        </w:rPr>
        <w:t>r</w:t>
      </w:r>
      <w:r>
        <w:rPr>
          <w:rFonts w:ascii="Times New Roman" w:hAnsi="Times New Roman"/>
          <w:b w:val="0"/>
        </w:rPr>
        <w:t xml:space="preserve"> is the calibration residual and δ the transfer discrepancy. The residual </w:t>
      </w:r>
      <w:r>
        <w:rPr>
          <w:rFonts w:ascii="Times New Roman" w:hAnsi="Times New Roman"/>
          <w:b w:val="0"/>
          <w:i/>
        </w:rPr>
        <w:t>r</w:t>
      </w:r>
      <w:r>
        <w:rPr>
          <w:rFonts w:ascii="Times New Roman" w:hAnsi="Times New Roman"/>
          <w:b w:val="0"/>
        </w:rPr>
        <w:t xml:space="preserve"> is observable on the labelled master set. We use out-of-fold residuals from </w:t>
      </w:r>
      <w:r>
        <w:rPr>
          <w:rFonts w:ascii="Times New Roman" w:hAnsi="Times New Roman"/>
          <w:b w:val="0"/>
          <w:i/>
        </w:rPr>
        <w:t>K</w:t>
      </w:r>
      <w:r>
        <w:rPr>
          <w:rFonts w:ascii="Times New Roman" w:hAnsi="Times New Roman"/>
          <w:b w:val="0"/>
        </w:rPr>
        <w:t>-fold cross-validation so that no master sample is sacrificed,</w:t>
      </w:r>
    </w:p>
    <w:p>
      <w:pPr>
        <w:keepLines/>
        <w:tabs>
          <w:tab w:pos="4535" w:val="center"/>
          <w:tab w:pos="9071" w:val="right"/>
        </w:tabs>
      </w:pPr>
      <w:r>
        <w:tab/>
      </w:r>
      <w:r>
        <w:drawing>
          <wp:inline xmlns:a="http://schemas.openxmlformats.org/drawingml/2006/main" xmlns:pic="http://schemas.openxmlformats.org/drawingml/2006/picture">
            <wp:extent cx="2234184" cy="268224"/>
            <wp:docPr id="3" name="Picture 3"/>
            <wp:cNvGraphicFramePr>
              <a:graphicFrameLocks noChangeAspect="1"/>
            </wp:cNvGraphicFramePr>
            <a:graphic>
              <a:graphicData uri="http://schemas.openxmlformats.org/drawingml/2006/picture">
                <pic:pic>
                  <pic:nvPicPr>
                    <pic:cNvPr id="0" name="eq2.png"/>
                    <pic:cNvPicPr/>
                  </pic:nvPicPr>
                  <pic:blipFill>
                    <a:blip r:embed="rId12"/>
                    <a:stretch>
                      <a:fillRect/>
                    </a:stretch>
                  </pic:blipFill>
                  <pic:spPr>
                    <a:xfrm>
                      <a:off x="0" y="0"/>
                      <a:ext cx="2234184" cy="268224"/>
                    </a:xfrm>
                    <a:prstGeom prst="rect"/>
                  </pic:spPr>
                </pic:pic>
              </a:graphicData>
            </a:graphic>
          </wp:inline>
        </w:drawing>
      </w:r>
      <w:r>
        <w:rPr>
          <w:rFonts w:ascii="Times New Roman" w:hAnsi="Times New Roman"/>
        </w:rPr>
        <w:tab/>
        <w:t>(2)</w:t>
      </w:r>
    </w:p>
    <w:p>
      <w:pPr>
        <w:jc w:val="both"/>
      </w:pPr>
      <w:r>
        <w:rPr>
          <w:rFonts w:ascii="Times New Roman" w:hAnsi="Times New Roman"/>
          <w:b w:val="0"/>
        </w:rPr>
        <w:t xml:space="preserve">where </w:t>
      </w:r>
      <w:r>
        <w:rPr>
          <w:rFonts w:ascii="Times New Roman" w:hAnsi="Times New Roman"/>
          <w:b w:val="0"/>
          <w:i/>
        </w:rPr>
        <w:t>f</w:t>
      </w:r>
      <w:r>
        <w:rPr>
          <w:rFonts w:ascii="Times New Roman" w:hAnsi="Times New Roman"/>
          <w:b w:val="0"/>
          <w:vertAlign w:val="superscript"/>
        </w:rPr>
        <w:t>(−κ(i))</w:t>
      </w:r>
      <w:r>
        <w:rPr>
          <w:rFonts w:ascii="Times New Roman" w:hAnsi="Times New Roman"/>
          <w:b w:val="0"/>
        </w:rPr>
        <w:t xml:space="preserve"> is fitted without the fold containing sample </w:t>
      </w:r>
      <w:r>
        <w:rPr>
          <w:rFonts w:ascii="Times New Roman" w:hAnsi="Times New Roman"/>
          <w:b w:val="0"/>
          <w:i/>
        </w:rPr>
        <w:t>i</w:t>
      </w:r>
      <w:r>
        <w:rPr>
          <w:rFonts w:ascii="Times New Roman" w:hAnsi="Times New Roman"/>
          <w:b w:val="0"/>
        </w:rPr>
        <w:t xml:space="preserve">. The discrepancy δ requires no reference value and is observable on the transfer standards. Because DS and PDS are fitted on these very standards, the in-sample discrepancy is optimistic; for DS with </w:t>
      </w:r>
      <w:r>
        <w:rPr>
          <w:rFonts w:ascii="Times New Roman" w:hAnsi="Times New Roman"/>
          <w:b w:val="0"/>
          <w:i/>
        </w:rPr>
        <w:t>k</w:t>
      </w:r>
      <w:r>
        <w:rPr>
          <w:rFonts w:ascii="Times New Roman" w:hAnsi="Times New Roman"/>
          <w:b w:val="0"/>
        </w:rPr>
        <w:t xml:space="preserve"> &lt; </w:t>
      </w:r>
      <w:r>
        <w:rPr>
          <w:rFonts w:ascii="Times New Roman" w:hAnsi="Times New Roman"/>
          <w:b w:val="0"/>
          <w:i/>
        </w:rPr>
        <w:t>p</w:t>
      </w:r>
      <w:r>
        <w:rPr>
          <w:rFonts w:ascii="Times New Roman" w:hAnsi="Times New Roman"/>
          <w:b w:val="0"/>
        </w:rPr>
        <w:t xml:space="preserve"> the pseudo-inverse reproduces the standards exactly and the in-sample discrepancy is identically zero. We therefore cross-fit the map,</w:t>
      </w:r>
    </w:p>
    <w:p>
      <w:pPr>
        <w:keepLines/>
        <w:tabs>
          <w:tab w:pos="4535" w:val="center"/>
          <w:tab w:pos="9071" w:val="right"/>
        </w:tabs>
      </w:pPr>
      <w:r>
        <w:tab/>
      </w:r>
      <w:r>
        <w:drawing>
          <wp:inline xmlns:a="http://schemas.openxmlformats.org/drawingml/2006/main" xmlns:pic="http://schemas.openxmlformats.org/drawingml/2006/picture">
            <wp:extent cx="2407920" cy="289560"/>
            <wp:docPr id="4" name="Picture 4"/>
            <wp:cNvGraphicFramePr>
              <a:graphicFrameLocks noChangeAspect="1"/>
            </wp:cNvGraphicFramePr>
            <a:graphic>
              <a:graphicData uri="http://schemas.openxmlformats.org/drawingml/2006/picture">
                <pic:pic>
                  <pic:nvPicPr>
                    <pic:cNvPr id="0" name="eq3.png"/>
                    <pic:cNvPicPr/>
                  </pic:nvPicPr>
                  <pic:blipFill>
                    <a:blip r:embed="rId13"/>
                    <a:stretch>
                      <a:fillRect/>
                    </a:stretch>
                  </pic:blipFill>
                  <pic:spPr>
                    <a:xfrm>
                      <a:off x="0" y="0"/>
                      <a:ext cx="2407920" cy="289560"/>
                    </a:xfrm>
                    <a:prstGeom prst="rect"/>
                  </pic:spPr>
                </pic:pic>
              </a:graphicData>
            </a:graphic>
          </wp:inline>
        </w:drawing>
      </w:r>
      <w:r>
        <w:rPr>
          <w:rFonts w:ascii="Times New Roman" w:hAnsi="Times New Roman"/>
        </w:rPr>
        <w:tab/>
        <w:t>(3)</w:t>
      </w:r>
    </w:p>
    <w:p>
      <w:pPr>
        <w:jc w:val="both"/>
      </w:pPr>
      <w:r>
        <w:rPr>
          <w:rFonts w:ascii="Times New Roman" w:hAnsi="Times New Roman"/>
          <w:b w:val="0"/>
        </w:rPr>
        <w:t xml:space="preserve">where </w:t>
      </w:r>
      <w:r>
        <w:rPr>
          <w:rFonts w:ascii="Times New Roman" w:hAnsi="Times New Roman"/>
          <w:b w:val="0"/>
          <w:i/>
        </w:rPr>
        <w:t>T</w:t>
      </w:r>
      <w:r>
        <w:rPr>
          <w:rFonts w:ascii="Times New Roman" w:hAnsi="Times New Roman"/>
          <w:b w:val="0"/>
          <w:vertAlign w:val="subscript"/>
        </w:rPr>
        <w:t>−*j*</w:t>
      </w:r>
      <w:r>
        <w:rPr>
          <w:rFonts w:ascii="Times New Roman" w:hAnsi="Times New Roman"/>
          <w:b w:val="0"/>
        </w:rPr>
        <w:t xml:space="preserve"> is fitted on the other </w:t>
      </w:r>
      <w:r>
        <w:rPr>
          <w:rFonts w:ascii="Times New Roman" w:hAnsi="Times New Roman"/>
          <w:b w:val="0"/>
          <w:i/>
        </w:rPr>
        <w:t>k</w:t>
      </w:r>
      <w:r>
        <w:rPr>
          <w:rFonts w:ascii="Times New Roman" w:hAnsi="Times New Roman"/>
          <w:b w:val="0"/>
        </w:rPr>
        <w:t xml:space="preserve"> − 1 pairs.</w:t>
      </w:r>
    </w:p>
    <w:p>
      <w:pPr>
        <w:keepNext/>
        <w:spacing w:before="160"/>
      </w:pPr>
      <w:r>
        <w:rPr>
          <w:rFonts w:ascii="Times New Roman" w:hAnsi="Times New Roman"/>
          <w:b/>
          <w:sz w:val="24"/>
        </w:rPr>
        <w:t>2.3. Transfer-discrepancy conformal prediction (TD-CP)</w:t>
      </w:r>
    </w:p>
    <w:p>
      <w:pPr>
        <w:jc w:val="both"/>
      </w:pPr>
      <w:r>
        <w:rPr>
          <w:rFonts w:ascii="Times New Roman" w:hAnsi="Times New Roman"/>
          <w:b w:val="0"/>
        </w:rPr>
        <w:t xml:space="preserve">TD-CP combines the two empirical distributions through the </w:t>
      </w:r>
      <w:r>
        <w:rPr>
          <w:rFonts w:ascii="Times New Roman" w:hAnsi="Times New Roman"/>
          <w:b w:val="0"/>
          <w:i/>
        </w:rPr>
        <w:t>nk</w:t>
      </w:r>
      <w:r>
        <w:rPr>
          <w:rFonts w:ascii="Times New Roman" w:hAnsi="Times New Roman"/>
          <w:b w:val="0"/>
        </w:rPr>
        <w:t xml:space="preserve"> sums </w:t>
      </w:r>
      <w:r>
        <w:rPr>
          <w:rFonts w:ascii="Times New Roman" w:hAnsi="Times New Roman"/>
          <w:b w:val="0"/>
          <w:i/>
        </w:rPr>
        <w:t>r</w:t>
      </w:r>
      <w:r>
        <w:rPr>
          <w:rFonts w:ascii="Times New Roman" w:hAnsi="Times New Roman"/>
          <w:b w:val="0"/>
          <w:vertAlign w:val="subscript"/>
        </w:rPr>
        <w:t>i</w:t>
      </w:r>
      <w:r>
        <w:rPr>
          <w:rFonts w:ascii="Times New Roman" w:hAnsi="Times New Roman"/>
          <w:b w:val="0"/>
        </w:rPr>
        <w:t xml:space="preserve"> + δ</w:t>
      </w:r>
      <w:r>
        <w:rPr>
          <w:rFonts w:ascii="Times New Roman" w:hAnsi="Times New Roman"/>
          <w:b w:val="0"/>
          <w:vertAlign w:val="subscript"/>
        </w:rPr>
        <w:t>j</w:t>
      </w:r>
      <w:r>
        <w:rPr>
          <w:rFonts w:ascii="Times New Roman" w:hAnsi="Times New Roman"/>
          <w:b w:val="0"/>
        </w:rPr>
        <w:t xml:space="preserve">. The pre-specified signed version sets </w:t>
      </w:r>
      <w:r>
        <w:rPr>
          <w:rFonts w:ascii="Times New Roman" w:hAnsi="Times New Roman"/>
          <w:b w:val="0"/>
          <w:i/>
        </w:rPr>
        <w:t>U</w:t>
      </w:r>
      <w:r>
        <w:rPr>
          <w:rFonts w:ascii="Times New Roman" w:hAnsi="Times New Roman"/>
          <w:b w:val="0"/>
        </w:rPr>
        <w:t xml:space="preserve"> to the ⌈(1 − α/2)(</w:t>
      </w:r>
      <w:r>
        <w:rPr>
          <w:rFonts w:ascii="Times New Roman" w:hAnsi="Times New Roman"/>
          <w:b w:val="0"/>
          <w:i/>
        </w:rPr>
        <w:t>n</w:t>
      </w:r>
      <w:r>
        <w:rPr>
          <w:rFonts w:ascii="Times New Roman" w:hAnsi="Times New Roman"/>
          <w:b w:val="0"/>
        </w:rPr>
        <w:t xml:space="preserve"> + 1)</w:t>
      </w:r>
      <w:r>
        <w:rPr>
          <w:rFonts w:ascii="Times New Roman" w:hAnsi="Times New Roman"/>
          <w:b w:val="0"/>
          <w:i/>
        </w:rPr>
        <w:t>k</w:t>
      </w:r>
      <w:r>
        <w:rPr>
          <w:rFonts w:ascii="Times New Roman" w:hAnsi="Times New Roman"/>
          <w:b w:val="0"/>
        </w:rPr>
        <w:t xml:space="preserve">⌉-th smallest sum and </w:t>
      </w:r>
      <w:r>
        <w:rPr>
          <w:rFonts w:ascii="Times New Roman" w:hAnsi="Times New Roman"/>
          <w:b w:val="0"/>
          <w:i/>
        </w:rPr>
        <w:t>L</w:t>
      </w:r>
      <w:r>
        <w:rPr>
          <w:rFonts w:ascii="Times New Roman" w:hAnsi="Times New Roman"/>
          <w:b w:val="0"/>
        </w:rPr>
        <w:t xml:space="preserve"> to the mirrored order statistic, so that systematic transfer bias shifts the interval. The absolute-score version uses the </w:t>
      </w:r>
      <w:r>
        <w:rPr>
          <w:rFonts w:ascii="Times New Roman" w:hAnsi="Times New Roman"/>
          <w:b w:val="0"/>
          <w:i/>
        </w:rPr>
        <w:t>m</w:t>
      </w:r>
      <w:r>
        <w:rPr>
          <w:rFonts w:ascii="Times New Roman" w:hAnsi="Times New Roman"/>
          <w:b w:val="0"/>
        </w:rPr>
        <w:t xml:space="preserve">-th smallest of the </w:t>
      </w:r>
      <w:r>
        <w:rPr>
          <w:rFonts w:ascii="Times New Roman" w:hAnsi="Times New Roman"/>
          <w:b w:val="0"/>
          <w:i/>
        </w:rPr>
        <w:t>nk</w:t>
      </w:r>
      <w:r>
        <w:rPr>
          <w:rFonts w:ascii="Times New Roman" w:hAnsi="Times New Roman"/>
          <w:b w:val="0"/>
        </w:rPr>
        <w:t xml:space="preserve"> values |</w:t>
      </w:r>
      <w:r>
        <w:rPr>
          <w:rFonts w:ascii="Times New Roman" w:hAnsi="Times New Roman"/>
          <w:b w:val="0"/>
          <w:i/>
        </w:rPr>
        <w:t>r</w:t>
      </w:r>
      <w:r>
        <w:rPr>
          <w:rFonts w:ascii="Times New Roman" w:hAnsi="Times New Roman"/>
          <w:b w:val="0"/>
          <w:vertAlign w:val="subscript"/>
        </w:rPr>
        <w:t>i</w:t>
      </w:r>
      <w:r>
        <w:rPr>
          <w:rFonts w:ascii="Times New Roman" w:hAnsi="Times New Roman"/>
          <w:b w:val="0"/>
        </w:rPr>
        <w:t xml:space="preserve"> + δ</w:t>
      </w:r>
      <w:r>
        <w:rPr>
          <w:rFonts w:ascii="Times New Roman" w:hAnsi="Times New Roman"/>
          <w:b w:val="0"/>
          <w:vertAlign w:val="subscript"/>
        </w:rPr>
        <w:t>j</w:t>
      </w:r>
      <w:r>
        <w:rPr>
          <w:rFonts w:ascii="Times New Roman" w:hAnsi="Times New Roman"/>
          <w:b w:val="0"/>
        </w:rPr>
        <w:t>|, denoted |</w:t>
      </w:r>
      <w:r>
        <w:rPr>
          <w:rFonts w:ascii="Times New Roman" w:hAnsi="Times New Roman"/>
          <w:b w:val="0"/>
          <w:i/>
        </w:rPr>
        <w:t>r</w:t>
      </w:r>
      <w:r>
        <w:rPr>
          <w:rFonts w:ascii="Times New Roman" w:hAnsi="Times New Roman"/>
          <w:b w:val="0"/>
        </w:rPr>
        <w:t xml:space="preserve"> + δ|</w:t>
      </w:r>
      <w:r>
        <w:rPr>
          <w:rFonts w:ascii="Times New Roman" w:hAnsi="Times New Roman"/>
          <w:b w:val="0"/>
          <w:vertAlign w:val="subscript"/>
        </w:rPr>
        <w:t>(m)</w:t>
      </w:r>
      <w:r>
        <w:rPr>
          <w:rFonts w:ascii="Times New Roman" w:hAnsi="Times New Roman"/>
          <w:b w:val="0"/>
        </w:rPr>
        <w:t>:</w:t>
      </w:r>
    </w:p>
    <w:p>
      <w:pPr>
        <w:keepLines/>
        <w:tabs>
          <w:tab w:pos="4535" w:val="center"/>
          <w:tab w:pos="9071" w:val="right"/>
        </w:tabs>
      </w:pPr>
      <w:r>
        <w:tab/>
      </w:r>
      <w:r>
        <w:drawing>
          <wp:inline xmlns:a="http://schemas.openxmlformats.org/drawingml/2006/main" xmlns:pic="http://schemas.openxmlformats.org/drawingml/2006/picture">
            <wp:extent cx="4364736" cy="259080"/>
            <wp:docPr id="5" name="Picture 5"/>
            <wp:cNvGraphicFramePr>
              <a:graphicFrameLocks noChangeAspect="1"/>
            </wp:cNvGraphicFramePr>
            <a:graphic>
              <a:graphicData uri="http://schemas.openxmlformats.org/drawingml/2006/picture">
                <pic:pic>
                  <pic:nvPicPr>
                    <pic:cNvPr id="0" name="eq4.png"/>
                    <pic:cNvPicPr/>
                  </pic:nvPicPr>
                  <pic:blipFill>
                    <a:blip r:embed="rId14"/>
                    <a:stretch>
                      <a:fillRect/>
                    </a:stretch>
                  </pic:blipFill>
                  <pic:spPr>
                    <a:xfrm>
                      <a:off x="0" y="0"/>
                      <a:ext cx="4364736" cy="259080"/>
                    </a:xfrm>
                    <a:prstGeom prst="rect"/>
                  </pic:spPr>
                </pic:pic>
              </a:graphicData>
            </a:graphic>
          </wp:inline>
        </w:drawing>
      </w:r>
      <w:r>
        <w:rPr>
          <w:rFonts w:ascii="Times New Roman" w:hAnsi="Times New Roman"/>
        </w:rPr>
        <w:tab/>
        <w:t>(4)</w:t>
      </w:r>
    </w:p>
    <w:p>
      <w:pPr>
        <w:jc w:val="both"/>
      </w:pPr>
      <w:r>
        <w:rPr>
          <w:rFonts w:ascii="Times New Roman" w:hAnsi="Times New Roman"/>
          <w:b w:val="0"/>
        </w:rPr>
        <w:t>The (</w:t>
      </w:r>
      <w:r>
        <w:rPr>
          <w:rFonts w:ascii="Times New Roman" w:hAnsi="Times New Roman"/>
          <w:b w:val="0"/>
          <w:i/>
        </w:rPr>
        <w:t>n</w:t>
      </w:r>
      <w:r>
        <w:rPr>
          <w:rFonts w:ascii="Times New Roman" w:hAnsi="Times New Roman"/>
          <w:b w:val="0"/>
        </w:rPr>
        <w:t xml:space="preserve"> + 1) factor is the usual finite-sample correction of split CP; if the index exceeds </w:t>
      </w:r>
      <w:r>
        <w:rPr>
          <w:rFonts w:ascii="Times New Roman" w:hAnsi="Times New Roman"/>
          <w:b w:val="0"/>
          <w:i/>
        </w:rPr>
        <w:t>nk</w:t>
      </w:r>
      <w:r>
        <w:rPr>
          <w:rFonts w:ascii="Times New Roman" w:hAnsi="Times New Roman"/>
          <w:b w:val="0"/>
        </w:rPr>
        <w:t xml:space="preserve"> the interval is unbounded. Under exchangeable residuals (A1), independence between residuals and discrepancies (A2) and i.i.d. discrepancies with cdf </w:t>
      </w:r>
      <w:r>
        <w:rPr>
          <w:rFonts w:ascii="Times New Roman" w:hAnsi="Times New Roman"/>
          <w:b w:val="0"/>
          <w:i/>
        </w:rPr>
        <w:t>F</w:t>
      </w:r>
      <w:r>
        <w:rPr>
          <w:rFonts w:ascii="Times New Roman" w:hAnsi="Times New Roman"/>
          <w:b w:val="0"/>
          <w:vertAlign w:val="subscript"/>
        </w:rPr>
        <w:t>δ</w:t>
      </w:r>
      <w:r>
        <w:rPr>
          <w:rFonts w:ascii="Times New Roman" w:hAnsi="Times New Roman"/>
          <w:b w:val="0"/>
        </w:rPr>
        <w:t xml:space="preserve"> (A3), the coverage conditional on the standards satisfies</w:t>
      </w:r>
    </w:p>
    <w:p>
      <w:pPr>
        <w:keepLines/>
        <w:tabs>
          <w:tab w:pos="4535" w:val="center"/>
          <w:tab w:pos="9071" w:val="right"/>
        </w:tabs>
      </w:pPr>
      <w:r>
        <w:tab/>
      </w:r>
      <w:r>
        <w:drawing>
          <wp:inline xmlns:a="http://schemas.openxmlformats.org/drawingml/2006/main" xmlns:pic="http://schemas.openxmlformats.org/drawingml/2006/picture">
            <wp:extent cx="4572000" cy="347472"/>
            <wp:docPr id="6" name="Picture 6"/>
            <wp:cNvGraphicFramePr>
              <a:graphicFrameLocks noChangeAspect="1"/>
            </wp:cNvGraphicFramePr>
            <a:graphic>
              <a:graphicData uri="http://schemas.openxmlformats.org/drawingml/2006/picture">
                <pic:pic>
                  <pic:nvPicPr>
                    <pic:cNvPr id="0" name="eq5.png"/>
                    <pic:cNvPicPr/>
                  </pic:nvPicPr>
                  <pic:blipFill>
                    <a:blip r:embed="rId15"/>
                    <a:stretch>
                      <a:fillRect/>
                    </a:stretch>
                  </pic:blipFill>
                  <pic:spPr>
                    <a:xfrm>
                      <a:off x="0" y="0"/>
                      <a:ext cx="4572000" cy="347472"/>
                    </a:xfrm>
                    <a:prstGeom prst="rect"/>
                  </pic:spPr>
                </pic:pic>
              </a:graphicData>
            </a:graphic>
          </wp:inline>
        </w:drawing>
      </w:r>
      <w:r>
        <w:rPr>
          <w:rFonts w:ascii="Times New Roman" w:hAnsi="Times New Roman"/>
        </w:rPr>
        <w:tab/>
        <w:t>(5)</w:t>
      </w:r>
    </w:p>
    <w:p>
      <w:pPr>
        <w:jc w:val="both"/>
      </w:pPr>
      <w:r>
        <w:rPr>
          <w:rFonts w:ascii="Times New Roman" w:hAnsi="Times New Roman"/>
          <w:b w:val="0"/>
        </w:rPr>
        <w:t>with P(</w:t>
      </w:r>
      <w:r>
        <w:rPr>
          <w:rFonts w:ascii="Times New Roman" w:hAnsi="Times New Roman"/>
          <w:b w:val="0"/>
          <w:i/>
        </w:rPr>
        <w:t>D</w:t>
      </w:r>
      <w:r>
        <w:rPr>
          <w:rFonts w:ascii="Times New Roman" w:hAnsi="Times New Roman"/>
          <w:b w:val="0"/>
          <w:vertAlign w:val="subscript"/>
        </w:rPr>
        <w:t>k</w:t>
      </w:r>
      <w:r>
        <w:rPr>
          <w:rFonts w:ascii="Times New Roman" w:hAnsi="Times New Roman"/>
          <w:b w:val="0"/>
        </w:rPr>
        <w:t xml:space="preserve"> &gt; ε) ≤ 2 exp(−2</w:t>
      </w:r>
      <w:r>
        <w:rPr>
          <w:rFonts w:ascii="Times New Roman" w:hAnsi="Times New Roman"/>
          <w:b w:val="0"/>
          <w:i/>
        </w:rPr>
        <w:t>k</w:t>
      </w:r>
      <w:r>
        <w:rPr>
          <w:rFonts w:ascii="Times New Roman" w:hAnsi="Times New Roman"/>
          <w:b w:val="0"/>
        </w:rPr>
        <w:t>ε</w:t>
      </w:r>
      <w:r>
        <w:rPr>
          <w:rFonts w:ascii="Times New Roman" w:hAnsi="Times New Roman"/>
          <w:b w:val="0"/>
          <w:vertAlign w:val="superscript"/>
        </w:rPr>
        <w:t>2</w:t>
      </w:r>
      <w:r>
        <w:rPr>
          <w:rFonts w:ascii="Times New Roman" w:hAnsi="Times New Roman"/>
          <w:b w:val="0"/>
        </w:rPr>
        <w:t>) [26,27]. The proof (Supplementary S4) is a rank argument on the augmented set {</w:t>
      </w:r>
      <w:r>
        <w:rPr>
          <w:rFonts w:ascii="Times New Roman" w:hAnsi="Times New Roman"/>
          <w:b w:val="0"/>
          <w:i/>
        </w:rPr>
        <w:t>r</w:t>
      </w:r>
      <w:r>
        <w:rPr>
          <w:rFonts w:ascii="Times New Roman" w:hAnsi="Times New Roman"/>
          <w:b w:val="0"/>
          <w:vertAlign w:val="subscript"/>
        </w:rPr>
        <w:t>i</w:t>
      </w:r>
      <w:r>
        <w:rPr>
          <w:rFonts w:ascii="Times New Roman" w:hAnsi="Times New Roman"/>
          <w:b w:val="0"/>
        </w:rPr>
        <w:t xml:space="preserve"> + δ</w:t>
      </w:r>
      <w:r>
        <w:rPr>
          <w:rFonts w:ascii="Times New Roman" w:hAnsi="Times New Roman"/>
          <w:b w:val="0"/>
          <w:vertAlign w:val="subscript"/>
        </w:rPr>
        <w:t>j</w:t>
      </w:r>
      <w:r>
        <w:rPr>
          <w:rFonts w:ascii="Times New Roman" w:hAnsi="Times New Roman"/>
          <w:b w:val="0"/>
        </w:rPr>
        <w:t xml:space="preserve">: </w:t>
      </w:r>
      <w:r>
        <w:rPr>
          <w:rFonts w:ascii="Times New Roman" w:hAnsi="Times New Roman"/>
          <w:b w:val="0"/>
          <w:i/>
        </w:rPr>
        <w:t>i</w:t>
      </w:r>
      <w:r>
        <w:rPr>
          <w:rFonts w:ascii="Times New Roman" w:hAnsi="Times New Roman"/>
          <w:b w:val="0"/>
        </w:rPr>
        <w:t xml:space="preserve"> = 0, …, </w:t>
      </w:r>
      <w:r>
        <w:rPr>
          <w:rFonts w:ascii="Times New Roman" w:hAnsi="Times New Roman"/>
          <w:b w:val="0"/>
          <w:i/>
        </w:rPr>
        <w:t>n</w:t>
      </w:r>
      <w:r>
        <w:rPr>
          <w:rFonts w:ascii="Times New Roman" w:hAnsi="Times New Roman"/>
          <w:b w:val="0"/>
        </w:rPr>
        <w:t>}; when the test discrepancy is drawn from the empirical distribution of the δ</w:t>
      </w:r>
      <w:r>
        <w:rPr>
          <w:rFonts w:ascii="Times New Roman" w:hAnsi="Times New Roman"/>
          <w:b w:val="0"/>
          <w:vertAlign w:val="subscript"/>
        </w:rPr>
        <w:t>j</w:t>
      </w:r>
      <w:r>
        <w:rPr>
          <w:rFonts w:ascii="Times New Roman" w:hAnsi="Times New Roman"/>
          <w:b w:val="0"/>
        </w:rPr>
        <w:t xml:space="preserve">, coverage ≥ 1 − α holds exactly. The bound makes explicit that (A2) is an assumption and that the guarantee loosens for small </w:t>
      </w:r>
      <w:r>
        <w:rPr>
          <w:rFonts w:ascii="Times New Roman" w:hAnsi="Times New Roman"/>
          <w:b w:val="0"/>
          <w:i/>
        </w:rPr>
        <w:t>k</w:t>
      </w:r>
      <w:r>
        <w:rPr>
          <w:rFonts w:ascii="Times New Roman" w:hAnsi="Times New Roman"/>
          <w:b w:val="0"/>
        </w:rPr>
        <w:t>; both are examined empirically below.</w:t>
      </w:r>
    </w:p>
    <w:p>
      <w:pPr>
        <w:keepNext/>
        <w:spacing w:before="160"/>
      </w:pPr>
      <w:r>
        <w:rPr>
          <w:rFonts w:ascii="Times New Roman" w:hAnsi="Times New Roman"/>
          <w:b/>
          <w:sz w:val="24"/>
        </w:rPr>
        <w:t>2.4. Jackknife+ variant (TD-CP+)</w:t>
      </w:r>
    </w:p>
    <w:p>
      <w:pPr>
        <w:jc w:val="both"/>
      </w:pPr>
      <w:r>
        <w:rPr>
          <w:rFonts w:ascii="Times New Roman" w:hAnsi="Times New Roman"/>
          <w:b w:val="0"/>
        </w:rPr>
        <w:t xml:space="preserve">Cross-fitted discrepancies describe maps fitted on </w:t>
      </w:r>
      <w:r>
        <w:rPr>
          <w:rFonts w:ascii="Times New Roman" w:hAnsi="Times New Roman"/>
          <w:b w:val="0"/>
          <w:i/>
        </w:rPr>
        <w:t>k</w:t>
      </w:r>
      <w:r>
        <w:rPr>
          <w:rFonts w:ascii="Times New Roman" w:hAnsi="Times New Roman"/>
          <w:b w:val="0"/>
        </w:rPr>
        <w:t xml:space="preserve"> − 1 standards, whereas predictions use the map fitted on all </w:t>
      </w:r>
      <w:r>
        <w:rPr>
          <w:rFonts w:ascii="Times New Roman" w:hAnsi="Times New Roman"/>
          <w:b w:val="0"/>
          <w:i/>
        </w:rPr>
        <w:t>k</w:t>
      </w:r>
      <w:r>
        <w:rPr>
          <w:rFonts w:ascii="Times New Roman" w:hAnsi="Times New Roman"/>
          <w:b w:val="0"/>
        </w:rPr>
        <w:t xml:space="preserve">. For unstable maps, such as DS with </w:t>
      </w:r>
      <w:r>
        <w:rPr>
          <w:rFonts w:ascii="Times New Roman" w:hAnsi="Times New Roman"/>
          <w:b w:val="0"/>
          <w:i/>
        </w:rPr>
        <w:t>k</w:t>
      </w:r>
      <w:r>
        <w:rPr>
          <w:rFonts w:ascii="Times New Roman" w:hAnsi="Times New Roman"/>
          <w:b w:val="0"/>
        </w:rPr>
        <w:t xml:space="preserve"> ≪ </w:t>
      </w:r>
      <w:r>
        <w:rPr>
          <w:rFonts w:ascii="Times New Roman" w:hAnsi="Times New Roman"/>
          <w:b w:val="0"/>
          <w:i/>
        </w:rPr>
        <w:t>p</w:t>
      </w:r>
      <w:r>
        <w:rPr>
          <w:rFonts w:ascii="Times New Roman" w:hAnsi="Times New Roman"/>
          <w:b w:val="0"/>
        </w:rPr>
        <w:t>, these are not interchangeable, the situation in which jackknife intervals can fail and the jackknife+ was proposed [28]. TD-CP+ attaches each radius |</w:t>
      </w:r>
      <w:r>
        <w:rPr>
          <w:rFonts w:ascii="Times New Roman" w:hAnsi="Times New Roman"/>
          <w:b w:val="0"/>
          <w:i/>
        </w:rPr>
        <w:t>r</w:t>
      </w:r>
      <w:r>
        <w:rPr>
          <w:rFonts w:ascii="Times New Roman" w:hAnsi="Times New Roman"/>
          <w:b w:val="0"/>
          <w:vertAlign w:val="subscript"/>
        </w:rPr>
        <w:t>i</w:t>
      </w:r>
      <w:r>
        <w:rPr>
          <w:rFonts w:ascii="Times New Roman" w:hAnsi="Times New Roman"/>
          <w:b w:val="0"/>
        </w:rPr>
        <w:t xml:space="preserve"> + δ</w:t>
      </w:r>
      <w:r>
        <w:rPr>
          <w:rFonts w:ascii="Times New Roman" w:hAnsi="Times New Roman"/>
          <w:b w:val="0"/>
          <w:vertAlign w:val="subscript"/>
        </w:rPr>
        <w:t>j</w:t>
      </w:r>
      <w:r>
        <w:rPr>
          <w:rFonts w:ascii="Times New Roman" w:hAnsi="Times New Roman"/>
          <w:b w:val="0"/>
        </w:rPr>
        <w:t>| to the leave-one-out prediction of its own map:</w:t>
      </w:r>
    </w:p>
    <w:p>
      <w:pPr>
        <w:keepLines/>
        <w:tabs>
          <w:tab w:pos="4535" w:val="center"/>
          <w:tab w:pos="9071" w:val="right"/>
        </w:tabs>
      </w:pPr>
      <w:r>
        <w:tab/>
      </w:r>
      <w:r>
        <w:drawing>
          <wp:inline xmlns:a="http://schemas.openxmlformats.org/drawingml/2006/main" xmlns:pic="http://schemas.openxmlformats.org/drawingml/2006/picture">
            <wp:extent cx="4328160" cy="268224"/>
            <wp:docPr id="7" name="Picture 7"/>
            <wp:cNvGraphicFramePr>
              <a:graphicFrameLocks noChangeAspect="1"/>
            </wp:cNvGraphicFramePr>
            <a:graphic>
              <a:graphicData uri="http://schemas.openxmlformats.org/drawingml/2006/picture">
                <pic:pic>
                  <pic:nvPicPr>
                    <pic:cNvPr id="0" name="eq6.png"/>
                    <pic:cNvPicPr/>
                  </pic:nvPicPr>
                  <pic:blipFill>
                    <a:blip r:embed="rId16"/>
                    <a:stretch>
                      <a:fillRect/>
                    </a:stretch>
                  </pic:blipFill>
                  <pic:spPr>
                    <a:xfrm>
                      <a:off x="0" y="0"/>
                      <a:ext cx="4328160" cy="268224"/>
                    </a:xfrm>
                    <a:prstGeom prst="rect"/>
                  </pic:spPr>
                </pic:pic>
              </a:graphicData>
            </a:graphic>
          </wp:inline>
        </w:drawing>
      </w:r>
      <w:r>
        <w:rPr>
          <w:rFonts w:ascii="Times New Roman" w:hAnsi="Times New Roman"/>
        </w:rPr>
        <w:tab/>
        <w:t>(6)</w:t>
      </w:r>
    </w:p>
    <w:p>
      <w:pPr>
        <w:jc w:val="both"/>
      </w:pPr>
      <w:r>
        <w:rPr>
          <w:rFonts w:ascii="Times New Roman" w:hAnsi="Times New Roman"/>
          <w:b w:val="0"/>
        </w:rPr>
        <w:t>where q̂</w:t>
      </w:r>
      <w:r>
        <w:rPr>
          <w:rFonts w:ascii="Times New Roman" w:hAnsi="Times New Roman"/>
          <w:b w:val="0"/>
          <w:vertAlign w:val="superscript"/>
        </w:rPr>
        <w:t>+</w:t>
      </w:r>
      <w:r>
        <w:rPr>
          <w:rFonts w:ascii="Times New Roman" w:hAnsi="Times New Roman"/>
          <w:b w:val="0"/>
          <w:vertAlign w:val="subscript"/>
        </w:rPr>
        <w:t>1−α</w:t>
      </w:r>
      <w:r>
        <w:rPr>
          <w:rFonts w:ascii="Times New Roman" w:hAnsi="Times New Roman"/>
          <w:b w:val="0"/>
        </w:rPr>
        <w:t xml:space="preserve"> is the ⌈(1 − α)(</w:t>
      </w:r>
      <w:r>
        <w:rPr>
          <w:rFonts w:ascii="Times New Roman" w:hAnsi="Times New Roman"/>
          <w:b w:val="0"/>
          <w:i/>
        </w:rPr>
        <w:t>n</w:t>
      </w:r>
      <w:r>
        <w:rPr>
          <w:rFonts w:ascii="Times New Roman" w:hAnsi="Times New Roman"/>
          <w:b w:val="0"/>
        </w:rPr>
        <w:t xml:space="preserve"> + 1)</w:t>
      </w:r>
      <w:r>
        <w:rPr>
          <w:rFonts w:ascii="Times New Roman" w:hAnsi="Times New Roman"/>
          <w:b w:val="0"/>
          <w:i/>
        </w:rPr>
        <w:t>k</w:t>
      </w:r>
      <w:r>
        <w:rPr>
          <w:rFonts w:ascii="Times New Roman" w:hAnsi="Times New Roman"/>
          <w:b w:val="0"/>
        </w:rPr>
        <w:t xml:space="preserve">⌉-th smallest of the </w:t>
      </w:r>
      <w:r>
        <w:rPr>
          <w:rFonts w:ascii="Times New Roman" w:hAnsi="Times New Roman"/>
          <w:b w:val="0"/>
          <w:i/>
        </w:rPr>
        <w:t>nk</w:t>
      </w:r>
      <w:r>
        <w:rPr>
          <w:rFonts w:ascii="Times New Roman" w:hAnsi="Times New Roman"/>
          <w:b w:val="0"/>
        </w:rPr>
        <w:t xml:space="preserve"> values and q̂</w:t>
      </w:r>
      <w:r>
        <w:rPr>
          <w:rFonts w:ascii="Times New Roman" w:hAnsi="Times New Roman"/>
          <w:b w:val="0"/>
          <w:vertAlign w:val="superscript"/>
        </w:rPr>
        <w:t>−</w:t>
      </w:r>
      <w:r>
        <w:rPr>
          <w:rFonts w:ascii="Times New Roman" w:hAnsi="Times New Roman"/>
          <w:b w:val="0"/>
          <w:vertAlign w:val="subscript"/>
        </w:rPr>
        <w:t>α</w:t>
      </w:r>
      <w:r>
        <w:rPr>
          <w:rFonts w:ascii="Times New Roman" w:hAnsi="Times New Roman"/>
          <w:b w:val="0"/>
        </w:rPr>
        <w:t xml:space="preserve"> the mirrored order statistic. If the transfer map does not depend on which standard is left out, Eq. (6) reduces to Eq. (4). We do not prove a finite-sample guarantee for TD-CP+: Eq. (5) covers Eq. (4), and the jackknife+ guarantee of 1 − 2α [28] assumes exchangeable leave-one-out residuals, which the combination of primary residuals and discrepancies satisfies only under (A1)–(A3). Its validity is therefore established empirically below. TD-CP+ was added after inspection of the pre-specified main experiment (Supplementary S2) and is therefore evaluated on confirmatory experiments that had not been examined when it was introduced.</w:t>
      </w:r>
    </w:p>
    <w:p>
      <w:pPr>
        <w:keepNext/>
        <w:spacing w:before="160"/>
      </w:pPr>
      <w:r>
        <w:rPr>
          <w:rFonts w:ascii="Times New Roman" w:hAnsi="Times New Roman"/>
          <w:b/>
          <w:sz w:val="24"/>
        </w:rPr>
        <w:t>2.5. Comparison methods</w:t>
      </w:r>
    </w:p>
    <w:p>
      <w:pPr>
        <w:jc w:val="both"/>
      </w:pPr>
      <w:r>
        <w:rPr>
          <w:rFonts w:ascii="Times New Roman" w:hAnsi="Times New Roman"/>
          <w:b w:val="0"/>
        </w:rPr>
        <w:t>All interval methods share the same point prediction ŷ. Label-free comparators: (M1) naive split CP with the primary residuals, ±q̂</w:t>
      </w:r>
      <w:r>
        <w:rPr>
          <w:rFonts w:ascii="Times New Roman" w:hAnsi="Times New Roman"/>
          <w:b w:val="0"/>
          <w:vertAlign w:val="subscript"/>
        </w:rPr>
        <w:t>1−α</w:t>
      </w:r>
      <w:r>
        <w:rPr>
          <w:rFonts w:ascii="Times New Roman" w:hAnsi="Times New Roman"/>
          <w:b w:val="0"/>
        </w:rPr>
        <w:t>(|</w:t>
      </w:r>
      <w:r>
        <w:rPr>
          <w:rFonts w:ascii="Times New Roman" w:hAnsi="Times New Roman"/>
          <w:b w:val="0"/>
          <w:i/>
        </w:rPr>
        <w:t>r</w:t>
      </w:r>
      <w:r>
        <w:rPr>
          <w:rFonts w:ascii="Times New Roman" w:hAnsi="Times New Roman"/>
          <w:b w:val="0"/>
        </w:rPr>
        <w:t>|); (M2) the classical leverage-corrected PLS interval, ±</w:t>
      </w:r>
      <w:r>
        <w:rPr>
          <w:rFonts w:ascii="Times New Roman" w:hAnsi="Times New Roman"/>
          <w:b w:val="0"/>
          <w:i/>
        </w:rPr>
        <w:t>t</w:t>
      </w:r>
      <w:r>
        <w:rPr>
          <w:rFonts w:ascii="Times New Roman" w:hAnsi="Times New Roman"/>
          <w:b w:val="0"/>
          <w:vertAlign w:val="subscript"/>
        </w:rPr>
        <w:t>1−α/2, n−A−1</w:t>
      </w:r>
      <w:r>
        <w:rPr>
          <w:rFonts w:ascii="Times New Roman" w:hAnsi="Times New Roman"/>
          <w:b w:val="0"/>
        </w:rPr>
        <w:t>·RMSECV·(1 + 1/</w:t>
      </w:r>
      <w:r>
        <w:rPr>
          <w:rFonts w:ascii="Times New Roman" w:hAnsi="Times New Roman"/>
          <w:b w:val="0"/>
          <w:i/>
        </w:rPr>
        <w:t>n</w:t>
      </w:r>
      <w:r>
        <w:rPr>
          <w:rFonts w:ascii="Times New Roman" w:hAnsi="Times New Roman"/>
          <w:b w:val="0"/>
        </w:rPr>
        <w:t xml:space="preserve"> + </w:t>
      </w:r>
      <w:r>
        <w:rPr>
          <w:rFonts w:ascii="Times New Roman" w:hAnsi="Times New Roman"/>
          <w:b w:val="0"/>
          <w:i/>
        </w:rPr>
        <w:t>h</w:t>
      </w:r>
      <w:r>
        <w:rPr>
          <w:rFonts w:ascii="Times New Roman" w:hAnsi="Times New Roman"/>
          <w:b w:val="0"/>
        </w:rPr>
        <w:t>)</w:t>
      </w:r>
      <w:r>
        <w:rPr>
          <w:rFonts w:ascii="Times New Roman" w:hAnsi="Times New Roman"/>
          <w:b w:val="0"/>
          <w:vertAlign w:val="superscript"/>
        </w:rPr>
        <w:t>1/2</w:t>
      </w:r>
      <w:r>
        <w:rPr>
          <w:rFonts w:ascii="Times New Roman" w:hAnsi="Times New Roman"/>
          <w:b w:val="0"/>
        </w:rPr>
        <w:t xml:space="preserve"> with </w:t>
      </w:r>
      <w:r>
        <w:rPr>
          <w:rFonts w:ascii="Times New Roman" w:hAnsi="Times New Roman"/>
          <w:b w:val="0"/>
          <w:i/>
        </w:rPr>
        <w:t>h</w:t>
      </w:r>
      <w:r>
        <w:rPr>
          <w:rFonts w:ascii="Times New Roman" w:hAnsi="Times New Roman"/>
          <w:b w:val="0"/>
        </w:rPr>
        <w:t xml:space="preserve"> the leverage of the transferred spectrum [12,15]; (M3) weighted CP under covariate shift [24] with likelihood ratios from 5-fold cross-fitted probabilities of a logistic-regression classifier on standardised PLS scores of master versus transferred test spectra; and (M4) a Gaussian combination of the same information used by TD-CP, ŷ + mean(</w:t>
      </w:r>
      <w:r>
        <w:rPr>
          <w:rFonts w:ascii="Times New Roman" w:hAnsi="Times New Roman"/>
          <w:b w:val="0"/>
          <w:i/>
        </w:rPr>
        <w:t>r</w:t>
      </w:r>
      <w:r>
        <w:rPr>
          <w:rFonts w:ascii="Times New Roman" w:hAnsi="Times New Roman"/>
          <w:b w:val="0"/>
        </w:rPr>
        <w:t xml:space="preserve">) + mean(δ) ± </w:t>
      </w:r>
      <w:r>
        <w:rPr>
          <w:rFonts w:ascii="Times New Roman" w:hAnsi="Times New Roman"/>
          <w:b w:val="0"/>
          <w:i/>
        </w:rPr>
        <w:t>z</w:t>
      </w:r>
      <w:r>
        <w:rPr>
          <w:rFonts w:ascii="Times New Roman" w:hAnsi="Times New Roman"/>
          <w:b w:val="0"/>
          <w:vertAlign w:val="subscript"/>
        </w:rPr>
        <w:t>1−α/2</w:t>
      </w:r>
      <w:r>
        <w:rPr>
          <w:rFonts w:ascii="Times New Roman" w:hAnsi="Times New Roman"/>
          <w:b w:val="0"/>
        </w:rPr>
        <w:t>(RMSECV</w:t>
      </w:r>
      <w:r>
        <w:rPr>
          <w:rFonts w:ascii="Times New Roman" w:hAnsi="Times New Roman"/>
          <w:b w:val="0"/>
          <w:vertAlign w:val="superscript"/>
        </w:rPr>
        <w:t>2</w:t>
      </w:r>
      <w:r>
        <w:rPr>
          <w:rFonts w:ascii="Times New Roman" w:hAnsi="Times New Roman"/>
          <w:b w:val="0"/>
        </w:rPr>
        <w:t xml:space="preserve"> + s</w:t>
      </w:r>
      <w:r>
        <w:rPr>
          <w:rFonts w:ascii="Times New Roman" w:hAnsi="Times New Roman"/>
          <w:b w:val="0"/>
          <w:vertAlign w:val="subscript"/>
        </w:rPr>
        <w:t>δ</w:t>
      </w:r>
      <w:r>
        <w:rPr>
          <w:rFonts w:ascii="Times New Roman" w:hAnsi="Times New Roman"/>
          <w:b w:val="0"/>
          <w:vertAlign w:val="superscript"/>
        </w:rPr>
        <w:t>2</w:t>
      </w:r>
      <w:r>
        <w:rPr>
          <w:rFonts w:ascii="Times New Roman" w:hAnsi="Times New Roman"/>
          <w:b w:val="0"/>
        </w:rPr>
        <w:t>)</w:t>
      </w:r>
      <w:r>
        <w:rPr>
          <w:rFonts w:ascii="Times New Roman" w:hAnsi="Times New Roman"/>
          <w:b w:val="0"/>
          <w:vertAlign w:val="superscript"/>
        </w:rPr>
        <w:t>1/2</w:t>
      </w:r>
      <w:r>
        <w:rPr>
          <w:rFonts w:ascii="Times New Roman" w:hAnsi="Times New Roman"/>
          <w:b w:val="0"/>
        </w:rPr>
        <w:t xml:space="preserve">. Methods that additionally require reference values for the </w:t>
      </w:r>
      <w:r>
        <w:rPr>
          <w:rFonts w:ascii="Times New Roman" w:hAnsi="Times New Roman"/>
          <w:b w:val="0"/>
          <w:i/>
        </w:rPr>
        <w:t>k</w:t>
      </w:r>
      <w:r>
        <w:rPr>
          <w:rFonts w:ascii="Times New Roman" w:hAnsi="Times New Roman"/>
          <w:b w:val="0"/>
        </w:rPr>
        <w:t xml:space="preserve"> standards (an advantaged reference rather than a competitor): (M5) target split CP on leave-one-out target residuals </w:t>
      </w:r>
      <w:r>
        <w:rPr>
          <w:rFonts w:ascii="Times New Roman" w:hAnsi="Times New Roman"/>
          <w:b w:val="0"/>
          <w:i/>
        </w:rPr>
        <w:t>e</w:t>
      </w:r>
      <w:r>
        <w:rPr>
          <w:rFonts w:ascii="Times New Roman" w:hAnsi="Times New Roman"/>
          <w:b w:val="0"/>
          <w:vertAlign w:val="subscript"/>
        </w:rPr>
        <w:t>j</w:t>
      </w:r>
      <w:r>
        <w:rPr>
          <w:rFonts w:ascii="Times New Roman" w:hAnsi="Times New Roman"/>
          <w:b w:val="0"/>
        </w:rPr>
        <w:t xml:space="preserve"> = </w:t>
      </w:r>
      <w:r>
        <w:rPr>
          <w:rFonts w:ascii="Times New Roman" w:hAnsi="Times New Roman"/>
          <w:b w:val="0"/>
          <w:i/>
        </w:rPr>
        <w:t>y</w:t>
      </w:r>
      <w:r>
        <w:rPr>
          <w:rFonts w:ascii="Times New Roman" w:hAnsi="Times New Roman"/>
          <w:b w:val="0"/>
          <w:vertAlign w:val="subscript"/>
        </w:rPr>
        <w:t>j</w:t>
      </w:r>
      <w:r>
        <w:rPr>
          <w:rFonts w:ascii="Times New Roman" w:hAnsi="Times New Roman"/>
          <w:b w:val="0"/>
        </w:rPr>
        <w:t xml:space="preserve"> − </w:t>
      </w:r>
      <w:r>
        <w:rPr>
          <w:rFonts w:ascii="Times New Roman" w:hAnsi="Times New Roman"/>
          <w:b w:val="0"/>
          <w:i/>
        </w:rPr>
        <w:t>f</w:t>
      </w:r>
      <w:r>
        <w:rPr>
          <w:rFonts w:ascii="Times New Roman" w:hAnsi="Times New Roman"/>
          <w:b w:val="0"/>
        </w:rPr>
        <w:t>(</w:t>
      </w:r>
      <w:r>
        <w:rPr>
          <w:rFonts w:ascii="Times New Roman" w:hAnsi="Times New Roman"/>
          <w:b w:val="0"/>
          <w:i/>
        </w:rPr>
        <w:t>T</w:t>
      </w:r>
      <w:r>
        <w:rPr>
          <w:rFonts w:ascii="Times New Roman" w:hAnsi="Times New Roman"/>
          <w:b w:val="0"/>
          <w:vertAlign w:val="subscript"/>
        </w:rPr>
        <w:t>−*j*</w:t>
      </w:r>
      <w:r>
        <w:rPr>
          <w:rFonts w:ascii="Times New Roman" w:hAnsi="Times New Roman"/>
          <w:b w:val="0"/>
        </w:rPr>
        <w:t>(</w:t>
      </w:r>
      <w:r>
        <w:rPr>
          <w:rFonts w:ascii="Times New Roman" w:hAnsi="Times New Roman"/>
          <w:b w:val="0"/>
          <w:i/>
        </w:rPr>
        <w:t>x</w:t>
      </w:r>
      <w:r>
        <w:rPr>
          <w:rFonts w:ascii="Times New Roman" w:hAnsi="Times New Roman"/>
          <w:b w:val="0"/>
          <w:vertAlign w:val="subscript"/>
        </w:rPr>
        <w:t>j</w:t>
      </w:r>
      <w:r>
        <w:rPr>
          <w:rFonts w:ascii="Times New Roman" w:hAnsi="Times New Roman"/>
          <w:b w:val="0"/>
          <w:vertAlign w:val="superscript"/>
        </w:rPr>
        <w:t>S</w:t>
      </w:r>
      <w:r>
        <w:rPr>
          <w:rFonts w:ascii="Times New Roman" w:hAnsi="Times New Roman"/>
          <w:b w:val="0"/>
        </w:rPr>
        <w:t>)); (M5+) its jackknife+ version; and (M6) pooled CP on {|</w:t>
      </w:r>
      <w:r>
        <w:rPr>
          <w:rFonts w:ascii="Times New Roman" w:hAnsi="Times New Roman"/>
          <w:b w:val="0"/>
          <w:i/>
        </w:rPr>
        <w:t>r</w:t>
      </w:r>
      <w:r>
        <w:rPr>
          <w:rFonts w:ascii="Times New Roman" w:hAnsi="Times New Roman"/>
          <w:b w:val="0"/>
          <w:vertAlign w:val="subscript"/>
        </w:rPr>
        <w:t>i</w:t>
      </w:r>
      <w:r>
        <w:rPr>
          <w:rFonts w:ascii="Times New Roman" w:hAnsi="Times New Roman"/>
          <w:b w:val="0"/>
        </w:rPr>
        <w:t>|} ∪ {|</w:t>
      </w:r>
      <w:r>
        <w:rPr>
          <w:rFonts w:ascii="Times New Roman" w:hAnsi="Times New Roman"/>
          <w:b w:val="0"/>
          <w:i/>
        </w:rPr>
        <w:t>e</w:t>
      </w:r>
      <w:r>
        <w:rPr>
          <w:rFonts w:ascii="Times New Roman" w:hAnsi="Times New Roman"/>
          <w:b w:val="0"/>
          <w:vertAlign w:val="subscript"/>
        </w:rPr>
        <w:t>j</w:t>
      </w:r>
      <w:r>
        <w:rPr>
          <w:rFonts w:ascii="Times New Roman" w:hAnsi="Times New Roman"/>
          <w:b w:val="0"/>
        </w:rPr>
        <w:t>|}; and (M7) the classical bias-corrected validation interval mean(</w:t>
      </w:r>
      <w:r>
        <w:rPr>
          <w:rFonts w:ascii="Times New Roman" w:hAnsi="Times New Roman"/>
          <w:b w:val="0"/>
          <w:i/>
        </w:rPr>
        <w:t>e</w:t>
      </w:r>
      <w:r>
        <w:rPr>
          <w:rFonts w:ascii="Times New Roman" w:hAnsi="Times New Roman"/>
          <w:b w:val="0"/>
        </w:rPr>
        <w:t xml:space="preserve">) ± </w:t>
      </w:r>
      <w:r>
        <w:rPr>
          <w:rFonts w:ascii="Times New Roman" w:hAnsi="Times New Roman"/>
          <w:b w:val="0"/>
          <w:i/>
        </w:rPr>
        <w:t>t</w:t>
      </w:r>
      <w:r>
        <w:rPr>
          <w:rFonts w:ascii="Times New Roman" w:hAnsi="Times New Roman"/>
          <w:b w:val="0"/>
          <w:vertAlign w:val="subscript"/>
        </w:rPr>
        <w:t>1−α/2, k−1</w:t>
      </w:r>
      <w:r>
        <w:rPr>
          <w:rFonts w:ascii="Times New Roman" w:hAnsi="Times New Roman"/>
          <w:b w:val="0"/>
        </w:rPr>
        <w:t>·s</w:t>
      </w:r>
      <w:r>
        <w:rPr>
          <w:rFonts w:ascii="Times New Roman" w:hAnsi="Times New Roman"/>
          <w:b w:val="0"/>
          <w:vertAlign w:val="subscript"/>
        </w:rPr>
        <w:t>e</w:t>
      </w:r>
      <w:r>
        <w:rPr>
          <w:rFonts w:ascii="Times New Roman" w:hAnsi="Times New Roman"/>
          <w:b w:val="0"/>
        </w:rPr>
        <w:t>(1 + 1/</w:t>
      </w:r>
      <w:r>
        <w:rPr>
          <w:rFonts w:ascii="Times New Roman" w:hAnsi="Times New Roman"/>
          <w:b w:val="0"/>
          <w:i/>
        </w:rPr>
        <w:t>k</w:t>
      </w:r>
      <w:r>
        <w:rPr>
          <w:rFonts w:ascii="Times New Roman" w:hAnsi="Times New Roman"/>
          <w:b w:val="0"/>
        </w:rPr>
        <w:t>)</w:t>
      </w:r>
      <w:r>
        <w:rPr>
          <w:rFonts w:ascii="Times New Roman" w:hAnsi="Times New Roman"/>
          <w:b w:val="0"/>
          <w:vertAlign w:val="superscript"/>
        </w:rPr>
        <w:t>1/2</w:t>
      </w:r>
      <w:r>
        <w:rPr>
          <w:rFonts w:ascii="Times New Roman" w:hAnsi="Times New Roman"/>
          <w:b w:val="0"/>
        </w:rPr>
        <w:t xml:space="preserve"> (added during internal review). Ablations: TD-CP without cross-fitting (in-sample δ), signed versus absolute scores, and a union-bound sum q̂</w:t>
      </w:r>
      <w:r>
        <w:rPr>
          <w:rFonts w:ascii="Times New Roman" w:hAnsi="Times New Roman"/>
          <w:b w:val="0"/>
          <w:vertAlign w:val="subscript"/>
        </w:rPr>
        <w:t>1−α/2</w:t>
      </w:r>
      <w:r>
        <w:rPr>
          <w:rFonts w:ascii="Times New Roman" w:hAnsi="Times New Roman"/>
          <w:b w:val="0"/>
        </w:rPr>
        <w:t>(|</w:t>
      </w:r>
      <w:r>
        <w:rPr>
          <w:rFonts w:ascii="Times New Roman" w:hAnsi="Times New Roman"/>
          <w:b w:val="0"/>
          <w:i/>
        </w:rPr>
        <w:t>r</w:t>
      </w:r>
      <w:r>
        <w:rPr>
          <w:rFonts w:ascii="Times New Roman" w:hAnsi="Times New Roman"/>
          <w:b w:val="0"/>
        </w:rPr>
        <w:t>|) + Q</w:t>
      </w:r>
      <w:r>
        <w:rPr>
          <w:rFonts w:ascii="Times New Roman" w:hAnsi="Times New Roman"/>
          <w:b w:val="0"/>
          <w:vertAlign w:val="subscript"/>
        </w:rPr>
        <w:t>1−α/2</w:t>
      </w:r>
      <w:r>
        <w:rPr>
          <w:rFonts w:ascii="Times New Roman" w:hAnsi="Times New Roman"/>
          <w:b w:val="0"/>
        </w:rPr>
        <w:t>(|δ|).</w:t>
      </w:r>
    </w:p>
    <w:p>
      <w:pPr>
        <w:keepNext/>
        <w:spacing w:before="240"/>
      </w:pPr>
      <w:r>
        <w:rPr>
          <w:rFonts w:ascii="Times New Roman" w:hAnsi="Times New Roman"/>
          <w:b/>
          <w:sz w:val="26"/>
        </w:rPr>
        <w:t>3. Experimental</w:t>
      </w:r>
    </w:p>
    <w:p>
      <w:pPr>
        <w:keepNext/>
        <w:spacing w:before="160"/>
      </w:pPr>
      <w:r>
        <w:rPr>
          <w:rFonts w:ascii="Times New Roman" w:hAnsi="Times New Roman"/>
          <w:b/>
          <w:sz w:val="24"/>
        </w:rPr>
        <w:t>3.1. Data</w:t>
      </w:r>
    </w:p>
    <w:p>
      <w:pPr>
        <w:jc w:val="both"/>
      </w:pPr>
      <w:r>
        <w:rPr>
          <w:rFonts w:ascii="Times New Roman" w:hAnsi="Times New Roman"/>
          <w:b w:val="0"/>
        </w:rPr>
        <w:t>Two public multi-instrument NIR benchmarks distributed by Eigenvector Research were used [29] (Table 1, Fig. 2). Corn: 80 samples measured on three spectrometers (m5, mp5, mp6; 1100–2498 nm, 2 nm, 700 channels) with moisture, oil, protein and starch reference values; all six directed instrument pairs were used. Pharmaceutical tablets (IDRC 2002 shootout): 655 tablets measured on two spectrometers (600–1898 nm, 650 channels) with weight, hardness and assay; both directions were used. This gives 24 + 6 = 30 directed pair × property scenarios. Files were verified by SHA-256 digests. A third candidate dataset (MicroNIR temperature series) was excluded before analysis because its nine formulations span only three nominal concentration levels (Supplementary S1).</w:t>
      </w:r>
    </w:p>
    <w:p>
      <w:pPr>
        <w:keepNext/>
        <w:spacing w:before="160"/>
      </w:pPr>
      <w:r>
        <w:rPr>
          <w:rFonts w:ascii="Times New Roman" w:hAnsi="Times New Roman"/>
          <w:b/>
          <w:sz w:val="24"/>
        </w:rPr>
        <w:t>3.2. Calibration and transfer</w:t>
      </w:r>
    </w:p>
    <w:p>
      <w:pPr>
        <w:jc w:val="both"/>
      </w:pPr>
      <w:r>
        <w:rPr>
          <w:rFonts w:ascii="Times New Roman" w:hAnsi="Times New Roman"/>
          <w:b w:val="0"/>
        </w:rPr>
        <w:t>PLS1 models (NIPALS, mean-centred raw spectra) were fitted on the primary spectra of the master set, with the number of latent variables chosen by minimum 10-fold RMSECV (maximum 15 for corn, 20 for tablets); the out-of-fold residuals at that complexity served as calibration scores (selecting the complexity on the same folds makes these residuals marginally optimistic; the in-domain check in Section 4.1 quantifies the effect). PDS used a five-channel window with local ridge regression (λ = 10</w:t>
      </w:r>
      <w:r>
        <w:rPr>
          <w:rFonts w:ascii="Times New Roman" w:hAnsi="Times New Roman"/>
          <w:b w:val="0"/>
          <w:vertAlign w:val="superscript"/>
        </w:rPr>
        <w:t>−6</w:t>
      </w:r>
      <w:r>
        <w:rPr>
          <w:rFonts w:ascii="Times New Roman" w:hAnsi="Times New Roman"/>
          <w:b w:val="0"/>
        </w:rPr>
        <w:t xml:space="preserve"> × trace of the local Gram matrix) and inward-shifted windows at the spectral edges; DS used the Moore–Penrose pseudo-inverse of the centred secondary standards (rcond = 10</w:t>
      </w:r>
      <w:r>
        <w:rPr>
          <w:rFonts w:ascii="Times New Roman" w:hAnsi="Times New Roman"/>
          <w:b w:val="0"/>
          <w:vertAlign w:val="superscript"/>
        </w:rPr>
        <w:t>−6</w:t>
      </w:r>
      <w:r>
        <w:rPr>
          <w:rFonts w:ascii="Times New Roman" w:hAnsi="Times New Roman"/>
          <w:b w:val="0"/>
        </w:rPr>
        <w:t>). These hyperparameters were fixed in advance and not tuned.</w:t>
      </w:r>
    </w:p>
    <w:p>
      <w:pPr>
        <w:keepNext/>
        <w:spacing w:before="160"/>
      </w:pPr>
      <w:r>
        <w:rPr>
          <w:rFonts w:ascii="Times New Roman" w:hAnsi="Times New Roman"/>
          <w:b/>
          <w:sz w:val="24"/>
        </w:rPr>
        <w:t>3.3. Splitting protocol and leakage control</w:t>
      </w:r>
    </w:p>
    <w:p>
      <w:pPr>
        <w:jc w:val="both"/>
      </w:pPr>
      <w:r>
        <w:rPr>
          <w:rFonts w:ascii="Times New Roman" w:hAnsi="Times New Roman"/>
          <w:b w:val="0"/>
        </w:rPr>
        <w:t>In each repetition the samples were randomly partitioned into disjoint test, transfer and master sets: corn 25/10/45 and tablets 200/10/445. All operations that use reference values (PLS fitting, complexity selection, residuals) used only the master set; transfer maps used only the primary and secondary spectra of the transfer standards; test samples contributed only their secondary spectra. Their primary spectra and reference values were used exclusively for evaluation and diagnostics. Each scenario was repeated with split seeds 0–99 fixed in advance (100 repetitions, 6,000 splits in total for the two transfer methods).</w:t>
      </w:r>
    </w:p>
    <w:p>
      <w:pPr>
        <w:keepNext/>
        <w:spacing w:before="160"/>
      </w:pPr>
      <w:r>
        <w:rPr>
          <w:rFonts w:ascii="Times New Roman" w:hAnsi="Times New Roman"/>
          <w:b/>
          <w:sz w:val="24"/>
        </w:rPr>
        <w:t>3.4. Performance measures and statistical analysis</w:t>
      </w:r>
    </w:p>
    <w:p>
      <w:pPr>
        <w:jc w:val="both"/>
      </w:pPr>
      <w:r>
        <w:rPr>
          <w:rFonts w:ascii="Times New Roman" w:hAnsi="Times New Roman"/>
          <w:b w:val="0"/>
        </w:rPr>
        <w:t>For every split we computed empirical coverage, mean interval width and the interval (Winkler) score [30]</w:t>
      </w:r>
    </w:p>
    <w:p>
      <w:pPr>
        <w:keepLines/>
        <w:tabs>
          <w:tab w:pos="4535" w:val="center"/>
          <w:tab w:pos="9071" w:val="right"/>
        </w:tabs>
      </w:pPr>
      <w:r>
        <w:tab/>
      </w:r>
      <w:r>
        <w:drawing>
          <wp:inline xmlns:a="http://schemas.openxmlformats.org/drawingml/2006/main" xmlns:pic="http://schemas.openxmlformats.org/drawingml/2006/picture">
            <wp:extent cx="3425952" cy="259080"/>
            <wp:docPr id="8" name="Picture 8"/>
            <wp:cNvGraphicFramePr>
              <a:graphicFrameLocks noChangeAspect="1"/>
            </wp:cNvGraphicFramePr>
            <a:graphic>
              <a:graphicData uri="http://schemas.openxmlformats.org/drawingml/2006/picture">
                <pic:pic>
                  <pic:nvPicPr>
                    <pic:cNvPr id="0" name="eq7.png"/>
                    <pic:cNvPicPr/>
                  </pic:nvPicPr>
                  <pic:blipFill>
                    <a:blip r:embed="rId17"/>
                    <a:stretch>
                      <a:fillRect/>
                    </a:stretch>
                  </pic:blipFill>
                  <pic:spPr>
                    <a:xfrm>
                      <a:off x="0" y="0"/>
                      <a:ext cx="3425952" cy="259080"/>
                    </a:xfrm>
                    <a:prstGeom prst="rect"/>
                  </pic:spPr>
                </pic:pic>
              </a:graphicData>
            </a:graphic>
          </wp:inline>
        </w:drawing>
      </w:r>
      <w:r>
        <w:rPr>
          <w:rFonts w:ascii="Times New Roman" w:hAnsi="Times New Roman"/>
        </w:rPr>
        <w:tab/>
        <w:t>(7)</w:t>
      </w:r>
    </w:p>
    <w:p>
      <w:pPr>
        <w:jc w:val="both"/>
      </w:pPr>
      <w:r>
        <w:rPr>
          <w:rFonts w:ascii="Times New Roman" w:hAnsi="Times New Roman"/>
          <w:b w:val="0"/>
        </w:rPr>
        <w:t xml:space="preserve">which rewards narrow intervals and penalises misses (lower is better). Width and IS were divided by the standard deviation of the property to pool scenarios. Because repetitions within a scenario share samples, the scenario mean was the unit of analysis. A scenario was called </w:t>
      </w:r>
      <w:r>
        <w:rPr>
          <w:rFonts w:ascii="Times New Roman" w:hAnsi="Times New Roman"/>
          <w:b w:val="0"/>
          <w:i/>
        </w:rPr>
        <w:t>valid</w:t>
      </w:r>
      <w:r>
        <w:rPr>
          <w:rFonts w:ascii="Times New Roman" w:hAnsi="Times New Roman"/>
          <w:b w:val="0"/>
        </w:rPr>
        <w:t xml:space="preserve"> if its mean coverage was at least 1 − α − 0.02; the pre-specified success criterion was validity in ≥80% of scenarios for each transfer method. Methods were compared with two-sided Wilcoxon signed-rank tests over the paired scenario means [31] of the absolute coverage gap and of the normalised IS, with Holm adjustment across all 46 comparisons [32], matched-pairs rank-biserial correlations as effect sizes [33] and percentile bootstrap 95% confidence intervals of the median paired difference (10,000 resamples). Infinite intervals were ranked as worst.</w:t>
      </w:r>
    </w:p>
    <w:p>
      <w:pPr>
        <w:keepNext/>
        <w:spacing w:before="160"/>
      </w:pPr>
      <w:r>
        <w:rPr>
          <w:rFonts w:ascii="Times New Roman" w:hAnsi="Times New Roman"/>
          <w:b/>
          <w:sz w:val="24"/>
        </w:rPr>
        <w:t>3.5. Robustness and generalisation experiments</w:t>
      </w:r>
    </w:p>
    <w:p>
      <w:pPr>
        <w:jc w:val="both"/>
      </w:pPr>
      <w:r>
        <w:rPr>
          <w:rFonts w:ascii="Times New Roman" w:hAnsi="Times New Roman"/>
          <w:b w:val="0"/>
        </w:rPr>
        <w:t xml:space="preserve">Additional experiments (50 repetitions unless noted) varied one factor at a time: the number of standards </w:t>
      </w:r>
      <w:r>
        <w:rPr>
          <w:rFonts w:ascii="Times New Roman" w:hAnsi="Times New Roman"/>
          <w:b w:val="0"/>
          <w:i/>
        </w:rPr>
        <w:t>k</w:t>
      </w:r>
      <w:r>
        <w:rPr>
          <w:rFonts w:ascii="Times New Roman" w:hAnsi="Times New Roman"/>
          <w:b w:val="0"/>
        </w:rPr>
        <w:t xml:space="preserve"> ∈ {5, 8, 10, 15, 20, 30}; Kennard–Stone selection of the standards on their primary spectra [34] (100 repetitions); standards drawn only from samples with reference values below the median (unrepresentative standards, added during internal review); SNV followed by a Savitzky–Golay first derivative (11 points, second order) [35,36]; ridge regression instead of PLS; PLS complexity chosen by the one-standard-error rule and PDS windows of 3, 7 and 11 channels (both added during internal review; Supplementary S2); Gaussian noise added to all secondary spectra, standards included (0.5, 1 and 2% of the mean channel standard deviation); no standardisation at all; the official IDRC calibration/validation/test partition of the tablets (100 repetitions over random standard selection); and virtual secondary instruments obtained by perturbing the primary spectra with wavelength shifts (0.5–2 channels), band broadening (Gaussian σ = 1–3 channels), gain (2–10%), sloped baselines and noise at three severity levels. Nominal levels 0.80, 0.90 and 0.95 were analysed for the main experiment.</w:t>
      </w:r>
    </w:p>
    <w:p>
      <w:pPr>
        <w:keepNext/>
        <w:spacing w:before="160"/>
      </w:pPr>
      <w:r>
        <w:rPr>
          <w:rFonts w:ascii="Times New Roman" w:hAnsi="Times New Roman"/>
          <w:b/>
          <w:sz w:val="24"/>
        </w:rPr>
        <w:t>3.6. Software and reproducibility</w:t>
      </w:r>
    </w:p>
    <w:p>
      <w:pPr>
        <w:jc w:val="both"/>
      </w:pPr>
      <w:r>
        <w:rPr>
          <w:rFonts w:ascii="Times New Roman" w:hAnsi="Times New Roman"/>
          <w:b w:val="0"/>
        </w:rPr>
        <w:t>All computations were run in Python 3.13 (NumPy, SciPy, scikit-learn) on a 4-core CPU without GPU. A single command regenerates all results, tables and figures, and every number in this paper is read from machine-generated result files (Data availability).</w:t>
      </w:r>
    </w:p>
    <w:p>
      <w:pPr>
        <w:keepNext/>
        <w:spacing w:before="240"/>
      </w:pPr>
      <w:r>
        <w:rPr>
          <w:rFonts w:ascii="Times New Roman" w:hAnsi="Times New Roman"/>
          <w:b/>
          <w:sz w:val="26"/>
        </w:rPr>
        <w:t>4. Results and discussion</w:t>
      </w:r>
    </w:p>
    <w:p>
      <w:pPr>
        <w:keepNext/>
        <w:spacing w:line="276" w:lineRule="auto"/>
      </w:pPr>
      <w:r>
        <w:rPr>
          <w:rFonts w:ascii="Times New Roman" w:hAnsi="Times New Roman"/>
          <w:b/>
          <w:sz w:val="20"/>
        </w:rPr>
        <w:t>Table 1.</w:t>
      </w:r>
      <w:r>
        <w:rPr>
          <w:rFonts w:ascii="Times New Roman" w:hAnsi="Times New Roman"/>
          <w:b w:val="0"/>
          <w:sz w:val="20"/>
        </w:rPr>
        <w:t xml:space="preserve"> Datasets and reference values.</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shd w:val="clear" w:color="auto" w:fill="E8E8E8"/>
          </w:tcPr>
          <w:p>
            <w:pPr>
              <w:spacing w:line="240" w:lineRule="auto" w:after="0"/>
            </w:pPr>
            <w:r/>
            <w:r>
              <w:rPr>
                <w:rFonts w:ascii="Times New Roman" w:hAnsi="Times New Roman"/>
                <w:b/>
                <w:sz w:val="16"/>
              </w:rPr>
              <w:t>Dataset</w:t>
            </w:r>
          </w:p>
        </w:tc>
        <w:tc>
          <w:tcPr>
            <w:tcW w:type="dxa" w:w="907"/>
            <w:shd w:val="clear" w:color="auto" w:fill="E8E8E8"/>
          </w:tcPr>
          <w:p>
            <w:pPr>
              <w:spacing w:line="240" w:lineRule="auto" w:after="0"/>
            </w:pPr>
            <w:r/>
            <w:r>
              <w:rPr>
                <w:rFonts w:ascii="Times New Roman" w:hAnsi="Times New Roman"/>
                <w:b/>
                <w:sz w:val="16"/>
              </w:rPr>
              <w:t>Instruments</w:t>
            </w:r>
          </w:p>
        </w:tc>
        <w:tc>
          <w:tcPr>
            <w:tcW w:type="dxa" w:w="907"/>
            <w:shd w:val="clear" w:color="auto" w:fill="E8E8E8"/>
          </w:tcPr>
          <w:p>
            <w:pPr>
              <w:spacing w:line="240" w:lineRule="auto" w:after="0"/>
            </w:pPr>
            <w:r/>
            <w:r>
              <w:rPr>
                <w:rFonts w:ascii="Times New Roman" w:hAnsi="Times New Roman"/>
                <w:b/>
                <w:sz w:val="16"/>
              </w:rPr>
              <w:t>n</w:t>
            </w:r>
          </w:p>
        </w:tc>
        <w:tc>
          <w:tcPr>
            <w:tcW w:type="dxa" w:w="907"/>
            <w:shd w:val="clear" w:color="auto" w:fill="E8E8E8"/>
          </w:tcPr>
          <w:p>
            <w:pPr>
              <w:spacing w:line="240" w:lineRule="auto" w:after="0"/>
            </w:pPr>
            <w:r/>
            <w:r>
              <w:rPr>
                <w:rFonts w:ascii="Times New Roman" w:hAnsi="Times New Roman"/>
                <w:b/>
                <w:sz w:val="16"/>
              </w:rPr>
              <w:t>Channels</w:t>
            </w:r>
          </w:p>
        </w:tc>
        <w:tc>
          <w:tcPr>
            <w:tcW w:type="dxa" w:w="907"/>
            <w:shd w:val="clear" w:color="auto" w:fill="E8E8E8"/>
          </w:tcPr>
          <w:p>
            <w:pPr>
              <w:spacing w:line="240" w:lineRule="auto" w:after="0"/>
            </w:pPr>
            <w:r/>
            <w:r>
              <w:rPr>
                <w:rFonts w:ascii="Times New Roman" w:hAnsi="Times New Roman"/>
                <w:b/>
                <w:sz w:val="16"/>
              </w:rPr>
              <w:t>Range (nm)</w:t>
            </w:r>
          </w:p>
        </w:tc>
        <w:tc>
          <w:tcPr>
            <w:tcW w:type="dxa" w:w="907"/>
            <w:shd w:val="clear" w:color="auto" w:fill="E8E8E8"/>
          </w:tcPr>
          <w:p>
            <w:pPr>
              <w:spacing w:line="240" w:lineRule="auto" w:after="0"/>
            </w:pPr>
            <w:r/>
            <w:r>
              <w:rPr>
                <w:rFonts w:ascii="Times New Roman" w:hAnsi="Times New Roman"/>
                <w:b/>
                <w:sz w:val="16"/>
              </w:rPr>
              <w:t>Property</w:t>
            </w:r>
          </w:p>
        </w:tc>
        <w:tc>
          <w:tcPr>
            <w:tcW w:type="dxa" w:w="907"/>
            <w:shd w:val="clear" w:color="auto" w:fill="E8E8E8"/>
          </w:tcPr>
          <w:p>
            <w:pPr>
              <w:spacing w:line="240" w:lineRule="auto" w:after="0"/>
            </w:pPr>
            <w:r/>
            <w:r>
              <w:rPr>
                <w:rFonts w:ascii="Times New Roman" w:hAnsi="Times New Roman"/>
                <w:b/>
                <w:sz w:val="16"/>
              </w:rPr>
              <w:t>Mean</w:t>
            </w:r>
          </w:p>
        </w:tc>
        <w:tc>
          <w:tcPr>
            <w:tcW w:type="dxa" w:w="907"/>
            <w:shd w:val="clear" w:color="auto" w:fill="E8E8E8"/>
          </w:tcPr>
          <w:p>
            <w:pPr>
              <w:spacing w:line="240" w:lineRule="auto" w:after="0"/>
            </w:pPr>
            <w:r/>
            <w:r>
              <w:rPr>
                <w:rFonts w:ascii="Times New Roman" w:hAnsi="Times New Roman"/>
                <w:b/>
                <w:sz w:val="16"/>
              </w:rPr>
              <w:t>SD</w:t>
            </w:r>
          </w:p>
        </w:tc>
        <w:tc>
          <w:tcPr>
            <w:tcW w:type="dxa" w:w="907"/>
            <w:shd w:val="clear" w:color="auto" w:fill="E8E8E8"/>
          </w:tcPr>
          <w:p>
            <w:pPr>
              <w:spacing w:line="240" w:lineRule="auto" w:after="0"/>
            </w:pPr>
            <w:r/>
            <w:r>
              <w:rPr>
                <w:rFonts w:ascii="Times New Roman" w:hAnsi="Times New Roman"/>
                <w:b/>
                <w:sz w:val="16"/>
              </w:rPr>
              <w:t>Min</w:t>
            </w:r>
          </w:p>
        </w:tc>
        <w:tc>
          <w:tcPr>
            <w:tcW w:type="dxa" w:w="907"/>
            <w:shd w:val="clear" w:color="auto" w:fill="E8E8E8"/>
          </w:tcPr>
          <w:p>
            <w:pPr>
              <w:spacing w:line="240" w:lineRule="auto" w:after="0"/>
            </w:pPr>
            <w:r/>
            <w:r>
              <w:rPr>
                <w:rFonts w:ascii="Times New Roman" w:hAnsi="Times New Roman"/>
                <w:b/>
                <w:sz w:val="16"/>
              </w:rPr>
              <w:t>Max</w:t>
            </w:r>
          </w:p>
        </w:tc>
      </w:tr>
      <w:tr>
        <w:tc>
          <w:tcPr>
            <w:tcW w:type="dxa" w:w="907"/>
          </w:tcPr>
          <w:p>
            <w:pPr>
              <w:spacing w:line="240" w:lineRule="auto" w:after="0"/>
            </w:pPr>
            <w:r/>
            <w:r>
              <w:rPr>
                <w:rFonts w:ascii="Times New Roman" w:hAnsi="Times New Roman"/>
                <w:b w:val="0"/>
                <w:sz w:val="16"/>
              </w:rPr>
              <w:t>corn</w:t>
            </w:r>
          </w:p>
        </w:tc>
        <w:tc>
          <w:tcPr>
            <w:tcW w:type="dxa" w:w="907"/>
          </w:tcPr>
          <w:p>
            <w:pPr>
              <w:spacing w:line="240" w:lineRule="auto" w:after="0"/>
            </w:pPr>
            <w:r/>
            <w:r>
              <w:rPr>
                <w:rFonts w:ascii="Times New Roman" w:hAnsi="Times New Roman"/>
                <w:b w:val="0"/>
                <w:sz w:val="16"/>
              </w:rPr>
              <w:t>m5, mp5, mp6</w:t>
            </w:r>
          </w:p>
        </w:tc>
        <w:tc>
          <w:tcPr>
            <w:tcW w:type="dxa" w:w="907"/>
          </w:tcPr>
          <w:p>
            <w:pPr>
              <w:spacing w:line="240" w:lineRule="auto" w:after="0"/>
            </w:pPr>
            <w:r/>
            <w:r>
              <w:rPr>
                <w:rFonts w:ascii="Times New Roman" w:hAnsi="Times New Roman"/>
                <w:b w:val="0"/>
                <w:sz w:val="16"/>
              </w:rPr>
              <w:t>80</w:t>
            </w:r>
          </w:p>
        </w:tc>
        <w:tc>
          <w:tcPr>
            <w:tcW w:type="dxa" w:w="907"/>
          </w:tcPr>
          <w:p>
            <w:pPr>
              <w:spacing w:line="240" w:lineRule="auto" w:after="0"/>
            </w:pPr>
            <w:r/>
            <w:r>
              <w:rPr>
                <w:rFonts w:ascii="Times New Roman" w:hAnsi="Times New Roman"/>
                <w:b w:val="0"/>
                <w:sz w:val="16"/>
              </w:rPr>
              <w:t>700</w:t>
            </w:r>
          </w:p>
        </w:tc>
        <w:tc>
          <w:tcPr>
            <w:tcW w:type="dxa" w:w="907"/>
          </w:tcPr>
          <w:p>
            <w:pPr>
              <w:spacing w:line="240" w:lineRule="auto" w:after="0"/>
            </w:pPr>
            <w:r/>
            <w:r>
              <w:rPr>
                <w:rFonts w:ascii="Times New Roman" w:hAnsi="Times New Roman"/>
                <w:b w:val="0"/>
                <w:sz w:val="16"/>
              </w:rPr>
              <w:t>1100–2498</w:t>
            </w:r>
          </w:p>
        </w:tc>
        <w:tc>
          <w:tcPr>
            <w:tcW w:type="dxa" w:w="907"/>
          </w:tcPr>
          <w:p>
            <w:pPr>
              <w:spacing w:line="240" w:lineRule="auto" w:after="0"/>
            </w:pPr>
            <w:r/>
            <w:r>
              <w:rPr>
                <w:rFonts w:ascii="Times New Roman" w:hAnsi="Times New Roman"/>
                <w:b w:val="0"/>
                <w:sz w:val="16"/>
              </w:rPr>
              <w:t>moisture</w:t>
            </w:r>
          </w:p>
        </w:tc>
        <w:tc>
          <w:tcPr>
            <w:tcW w:type="dxa" w:w="907"/>
          </w:tcPr>
          <w:p>
            <w:pPr>
              <w:spacing w:line="240" w:lineRule="auto" w:after="0"/>
            </w:pPr>
            <w:r/>
            <w:r>
              <w:rPr>
                <w:rFonts w:ascii="Times New Roman" w:hAnsi="Times New Roman"/>
                <w:b w:val="0"/>
                <w:sz w:val="16"/>
              </w:rPr>
              <w:t>10.23</w:t>
            </w:r>
          </w:p>
        </w:tc>
        <w:tc>
          <w:tcPr>
            <w:tcW w:type="dxa" w:w="907"/>
          </w:tcPr>
          <w:p>
            <w:pPr>
              <w:spacing w:line="240" w:lineRule="auto" w:after="0"/>
            </w:pPr>
            <w:r/>
            <w:r>
              <w:rPr>
                <w:rFonts w:ascii="Times New Roman" w:hAnsi="Times New Roman"/>
                <w:b w:val="0"/>
                <w:sz w:val="16"/>
              </w:rPr>
              <w:t>0.38</w:t>
            </w:r>
          </w:p>
        </w:tc>
        <w:tc>
          <w:tcPr>
            <w:tcW w:type="dxa" w:w="907"/>
          </w:tcPr>
          <w:p>
            <w:pPr>
              <w:spacing w:line="240" w:lineRule="auto" w:after="0"/>
            </w:pPr>
            <w:r/>
            <w:r>
              <w:rPr>
                <w:rFonts w:ascii="Times New Roman" w:hAnsi="Times New Roman"/>
                <w:b w:val="0"/>
                <w:sz w:val="16"/>
              </w:rPr>
              <w:t>9.38</w:t>
            </w:r>
          </w:p>
        </w:tc>
        <w:tc>
          <w:tcPr>
            <w:tcW w:type="dxa" w:w="907"/>
          </w:tcPr>
          <w:p>
            <w:pPr>
              <w:spacing w:line="240" w:lineRule="auto" w:after="0"/>
            </w:pPr>
            <w:r/>
            <w:r>
              <w:rPr>
                <w:rFonts w:ascii="Times New Roman" w:hAnsi="Times New Roman"/>
                <w:b w:val="0"/>
                <w:sz w:val="16"/>
              </w:rPr>
              <w:t>10.99</w:t>
            </w:r>
          </w:p>
        </w:tc>
      </w:tr>
      <w:tr>
        <w:tc>
          <w:tcPr>
            <w:tcW w:type="dxa" w:w="907"/>
          </w:tcPr>
          <w:p>
            <w:pPr>
              <w:spacing w:line="240" w:lineRule="auto" w:after="0"/>
            </w:pPr>
            <w:r/>
            <w:r>
              <w:rPr>
                <w:rFonts w:ascii="Times New Roman" w:hAnsi="Times New Roman"/>
                <w:b w:val="0"/>
                <w:sz w:val="16"/>
              </w:rPr>
              <w:t>corn</w:t>
            </w:r>
          </w:p>
        </w:tc>
        <w:tc>
          <w:tcPr>
            <w:tcW w:type="dxa" w:w="907"/>
          </w:tcPr>
          <w:p>
            <w:pPr>
              <w:spacing w:line="240" w:lineRule="auto" w:after="0"/>
            </w:pPr>
            <w:r/>
            <w:r>
              <w:rPr>
                <w:rFonts w:ascii="Times New Roman" w:hAnsi="Times New Roman"/>
                <w:b w:val="0"/>
                <w:sz w:val="16"/>
              </w:rPr>
              <w:t>m5, mp5, mp6</w:t>
            </w:r>
          </w:p>
        </w:tc>
        <w:tc>
          <w:tcPr>
            <w:tcW w:type="dxa" w:w="907"/>
          </w:tcPr>
          <w:p>
            <w:pPr>
              <w:spacing w:line="240" w:lineRule="auto" w:after="0"/>
            </w:pPr>
            <w:r/>
            <w:r>
              <w:rPr>
                <w:rFonts w:ascii="Times New Roman" w:hAnsi="Times New Roman"/>
                <w:b w:val="0"/>
                <w:sz w:val="16"/>
              </w:rPr>
              <w:t>80</w:t>
            </w:r>
          </w:p>
        </w:tc>
        <w:tc>
          <w:tcPr>
            <w:tcW w:type="dxa" w:w="907"/>
          </w:tcPr>
          <w:p>
            <w:pPr>
              <w:spacing w:line="240" w:lineRule="auto" w:after="0"/>
            </w:pPr>
            <w:r/>
            <w:r>
              <w:rPr>
                <w:rFonts w:ascii="Times New Roman" w:hAnsi="Times New Roman"/>
                <w:b w:val="0"/>
                <w:sz w:val="16"/>
              </w:rPr>
              <w:t>700</w:t>
            </w:r>
          </w:p>
        </w:tc>
        <w:tc>
          <w:tcPr>
            <w:tcW w:type="dxa" w:w="907"/>
          </w:tcPr>
          <w:p>
            <w:pPr>
              <w:spacing w:line="240" w:lineRule="auto" w:after="0"/>
            </w:pPr>
            <w:r/>
            <w:r>
              <w:rPr>
                <w:rFonts w:ascii="Times New Roman" w:hAnsi="Times New Roman"/>
                <w:b w:val="0"/>
                <w:sz w:val="16"/>
              </w:rPr>
              <w:t>1100–2498</w:t>
            </w:r>
          </w:p>
        </w:tc>
        <w:tc>
          <w:tcPr>
            <w:tcW w:type="dxa" w:w="907"/>
          </w:tcPr>
          <w:p>
            <w:pPr>
              <w:spacing w:line="240" w:lineRule="auto" w:after="0"/>
            </w:pPr>
            <w:r/>
            <w:r>
              <w:rPr>
                <w:rFonts w:ascii="Times New Roman" w:hAnsi="Times New Roman"/>
                <w:b w:val="0"/>
                <w:sz w:val="16"/>
              </w:rPr>
              <w:t>oil</w:t>
            </w:r>
          </w:p>
        </w:tc>
        <w:tc>
          <w:tcPr>
            <w:tcW w:type="dxa" w:w="907"/>
          </w:tcPr>
          <w:p>
            <w:pPr>
              <w:spacing w:line="240" w:lineRule="auto" w:after="0"/>
            </w:pPr>
            <w:r/>
            <w:r>
              <w:rPr>
                <w:rFonts w:ascii="Times New Roman" w:hAnsi="Times New Roman"/>
                <w:b w:val="0"/>
                <w:sz w:val="16"/>
              </w:rPr>
              <w:t>3.50</w:t>
            </w:r>
          </w:p>
        </w:tc>
        <w:tc>
          <w:tcPr>
            <w:tcW w:type="dxa" w:w="907"/>
          </w:tcPr>
          <w:p>
            <w:pPr>
              <w:spacing w:line="240" w:lineRule="auto" w:after="0"/>
            </w:pPr>
            <w:r/>
            <w:r>
              <w:rPr>
                <w:rFonts w:ascii="Times New Roman" w:hAnsi="Times New Roman"/>
                <w:b w:val="0"/>
                <w:sz w:val="16"/>
              </w:rPr>
              <w:t>0.18</w:t>
            </w:r>
          </w:p>
        </w:tc>
        <w:tc>
          <w:tcPr>
            <w:tcW w:type="dxa" w:w="907"/>
          </w:tcPr>
          <w:p>
            <w:pPr>
              <w:spacing w:line="240" w:lineRule="auto" w:after="0"/>
            </w:pPr>
            <w:r/>
            <w:r>
              <w:rPr>
                <w:rFonts w:ascii="Times New Roman" w:hAnsi="Times New Roman"/>
                <w:b w:val="0"/>
                <w:sz w:val="16"/>
              </w:rPr>
              <w:t>3.09</w:t>
            </w:r>
          </w:p>
        </w:tc>
        <w:tc>
          <w:tcPr>
            <w:tcW w:type="dxa" w:w="907"/>
          </w:tcPr>
          <w:p>
            <w:pPr>
              <w:spacing w:line="240" w:lineRule="auto" w:after="0"/>
            </w:pPr>
            <w:r/>
            <w:r>
              <w:rPr>
                <w:rFonts w:ascii="Times New Roman" w:hAnsi="Times New Roman"/>
                <w:b w:val="0"/>
                <w:sz w:val="16"/>
              </w:rPr>
              <w:t>3.83</w:t>
            </w:r>
          </w:p>
        </w:tc>
      </w:tr>
      <w:tr>
        <w:tc>
          <w:tcPr>
            <w:tcW w:type="dxa" w:w="907"/>
          </w:tcPr>
          <w:p>
            <w:pPr>
              <w:spacing w:line="240" w:lineRule="auto" w:after="0"/>
            </w:pPr>
            <w:r/>
            <w:r>
              <w:rPr>
                <w:rFonts w:ascii="Times New Roman" w:hAnsi="Times New Roman"/>
                <w:b w:val="0"/>
                <w:sz w:val="16"/>
              </w:rPr>
              <w:t>corn</w:t>
            </w:r>
          </w:p>
        </w:tc>
        <w:tc>
          <w:tcPr>
            <w:tcW w:type="dxa" w:w="907"/>
          </w:tcPr>
          <w:p>
            <w:pPr>
              <w:spacing w:line="240" w:lineRule="auto" w:after="0"/>
            </w:pPr>
            <w:r/>
            <w:r>
              <w:rPr>
                <w:rFonts w:ascii="Times New Roman" w:hAnsi="Times New Roman"/>
                <w:b w:val="0"/>
                <w:sz w:val="16"/>
              </w:rPr>
              <w:t>m5, mp5, mp6</w:t>
            </w:r>
          </w:p>
        </w:tc>
        <w:tc>
          <w:tcPr>
            <w:tcW w:type="dxa" w:w="907"/>
          </w:tcPr>
          <w:p>
            <w:pPr>
              <w:spacing w:line="240" w:lineRule="auto" w:after="0"/>
            </w:pPr>
            <w:r/>
            <w:r>
              <w:rPr>
                <w:rFonts w:ascii="Times New Roman" w:hAnsi="Times New Roman"/>
                <w:b w:val="0"/>
                <w:sz w:val="16"/>
              </w:rPr>
              <w:t>80</w:t>
            </w:r>
          </w:p>
        </w:tc>
        <w:tc>
          <w:tcPr>
            <w:tcW w:type="dxa" w:w="907"/>
          </w:tcPr>
          <w:p>
            <w:pPr>
              <w:spacing w:line="240" w:lineRule="auto" w:after="0"/>
            </w:pPr>
            <w:r/>
            <w:r>
              <w:rPr>
                <w:rFonts w:ascii="Times New Roman" w:hAnsi="Times New Roman"/>
                <w:b w:val="0"/>
                <w:sz w:val="16"/>
              </w:rPr>
              <w:t>700</w:t>
            </w:r>
          </w:p>
        </w:tc>
        <w:tc>
          <w:tcPr>
            <w:tcW w:type="dxa" w:w="907"/>
          </w:tcPr>
          <w:p>
            <w:pPr>
              <w:spacing w:line="240" w:lineRule="auto" w:after="0"/>
            </w:pPr>
            <w:r/>
            <w:r>
              <w:rPr>
                <w:rFonts w:ascii="Times New Roman" w:hAnsi="Times New Roman"/>
                <w:b w:val="0"/>
                <w:sz w:val="16"/>
              </w:rPr>
              <w:t>1100–2498</w:t>
            </w:r>
          </w:p>
        </w:tc>
        <w:tc>
          <w:tcPr>
            <w:tcW w:type="dxa" w:w="907"/>
          </w:tcPr>
          <w:p>
            <w:pPr>
              <w:spacing w:line="240" w:lineRule="auto" w:after="0"/>
            </w:pPr>
            <w:r/>
            <w:r>
              <w:rPr>
                <w:rFonts w:ascii="Times New Roman" w:hAnsi="Times New Roman"/>
                <w:b w:val="0"/>
                <w:sz w:val="16"/>
              </w:rPr>
              <w:t>protein</w:t>
            </w:r>
          </w:p>
        </w:tc>
        <w:tc>
          <w:tcPr>
            <w:tcW w:type="dxa" w:w="907"/>
          </w:tcPr>
          <w:p>
            <w:pPr>
              <w:spacing w:line="240" w:lineRule="auto" w:after="0"/>
            </w:pPr>
            <w:r/>
            <w:r>
              <w:rPr>
                <w:rFonts w:ascii="Times New Roman" w:hAnsi="Times New Roman"/>
                <w:b w:val="0"/>
                <w:sz w:val="16"/>
              </w:rPr>
              <w:t>8.67</w:t>
            </w:r>
          </w:p>
        </w:tc>
        <w:tc>
          <w:tcPr>
            <w:tcW w:type="dxa" w:w="907"/>
          </w:tcPr>
          <w:p>
            <w:pPr>
              <w:spacing w:line="240" w:lineRule="auto" w:after="0"/>
            </w:pPr>
            <w:r/>
            <w:r>
              <w:rPr>
                <w:rFonts w:ascii="Times New Roman" w:hAnsi="Times New Roman"/>
                <w:b w:val="0"/>
                <w:sz w:val="16"/>
              </w:rPr>
              <w:t>0.50</w:t>
            </w:r>
          </w:p>
        </w:tc>
        <w:tc>
          <w:tcPr>
            <w:tcW w:type="dxa" w:w="907"/>
          </w:tcPr>
          <w:p>
            <w:pPr>
              <w:spacing w:line="240" w:lineRule="auto" w:after="0"/>
            </w:pPr>
            <w:r/>
            <w:r>
              <w:rPr>
                <w:rFonts w:ascii="Times New Roman" w:hAnsi="Times New Roman"/>
                <w:b w:val="0"/>
                <w:sz w:val="16"/>
              </w:rPr>
              <w:t>7.65</w:t>
            </w:r>
          </w:p>
        </w:tc>
        <w:tc>
          <w:tcPr>
            <w:tcW w:type="dxa" w:w="907"/>
          </w:tcPr>
          <w:p>
            <w:pPr>
              <w:spacing w:line="240" w:lineRule="auto" w:after="0"/>
            </w:pPr>
            <w:r/>
            <w:r>
              <w:rPr>
                <w:rFonts w:ascii="Times New Roman" w:hAnsi="Times New Roman"/>
                <w:b w:val="0"/>
                <w:sz w:val="16"/>
              </w:rPr>
              <w:t>9.71</w:t>
            </w:r>
          </w:p>
        </w:tc>
      </w:tr>
      <w:tr>
        <w:tc>
          <w:tcPr>
            <w:tcW w:type="dxa" w:w="907"/>
          </w:tcPr>
          <w:p>
            <w:pPr>
              <w:spacing w:line="240" w:lineRule="auto" w:after="0"/>
            </w:pPr>
            <w:r/>
            <w:r>
              <w:rPr>
                <w:rFonts w:ascii="Times New Roman" w:hAnsi="Times New Roman"/>
                <w:b w:val="0"/>
                <w:sz w:val="16"/>
              </w:rPr>
              <w:t>corn</w:t>
            </w:r>
          </w:p>
        </w:tc>
        <w:tc>
          <w:tcPr>
            <w:tcW w:type="dxa" w:w="907"/>
          </w:tcPr>
          <w:p>
            <w:pPr>
              <w:spacing w:line="240" w:lineRule="auto" w:after="0"/>
            </w:pPr>
            <w:r/>
            <w:r>
              <w:rPr>
                <w:rFonts w:ascii="Times New Roman" w:hAnsi="Times New Roman"/>
                <w:b w:val="0"/>
                <w:sz w:val="16"/>
              </w:rPr>
              <w:t>m5, mp5, mp6</w:t>
            </w:r>
          </w:p>
        </w:tc>
        <w:tc>
          <w:tcPr>
            <w:tcW w:type="dxa" w:w="907"/>
          </w:tcPr>
          <w:p>
            <w:pPr>
              <w:spacing w:line="240" w:lineRule="auto" w:after="0"/>
            </w:pPr>
            <w:r/>
            <w:r>
              <w:rPr>
                <w:rFonts w:ascii="Times New Roman" w:hAnsi="Times New Roman"/>
                <w:b w:val="0"/>
                <w:sz w:val="16"/>
              </w:rPr>
              <w:t>80</w:t>
            </w:r>
          </w:p>
        </w:tc>
        <w:tc>
          <w:tcPr>
            <w:tcW w:type="dxa" w:w="907"/>
          </w:tcPr>
          <w:p>
            <w:pPr>
              <w:spacing w:line="240" w:lineRule="auto" w:after="0"/>
            </w:pPr>
            <w:r/>
            <w:r>
              <w:rPr>
                <w:rFonts w:ascii="Times New Roman" w:hAnsi="Times New Roman"/>
                <w:b w:val="0"/>
                <w:sz w:val="16"/>
              </w:rPr>
              <w:t>700</w:t>
            </w:r>
          </w:p>
        </w:tc>
        <w:tc>
          <w:tcPr>
            <w:tcW w:type="dxa" w:w="907"/>
          </w:tcPr>
          <w:p>
            <w:pPr>
              <w:spacing w:line="240" w:lineRule="auto" w:after="0"/>
            </w:pPr>
            <w:r/>
            <w:r>
              <w:rPr>
                <w:rFonts w:ascii="Times New Roman" w:hAnsi="Times New Roman"/>
                <w:b w:val="0"/>
                <w:sz w:val="16"/>
              </w:rPr>
              <w:t>1100–2498</w:t>
            </w:r>
          </w:p>
        </w:tc>
        <w:tc>
          <w:tcPr>
            <w:tcW w:type="dxa" w:w="907"/>
          </w:tcPr>
          <w:p>
            <w:pPr>
              <w:spacing w:line="240" w:lineRule="auto" w:after="0"/>
            </w:pPr>
            <w:r/>
            <w:r>
              <w:rPr>
                <w:rFonts w:ascii="Times New Roman" w:hAnsi="Times New Roman"/>
                <w:b w:val="0"/>
                <w:sz w:val="16"/>
              </w:rPr>
              <w:t>starch</w:t>
            </w:r>
          </w:p>
        </w:tc>
        <w:tc>
          <w:tcPr>
            <w:tcW w:type="dxa" w:w="907"/>
          </w:tcPr>
          <w:p>
            <w:pPr>
              <w:spacing w:line="240" w:lineRule="auto" w:after="0"/>
            </w:pPr>
            <w:r/>
            <w:r>
              <w:rPr>
                <w:rFonts w:ascii="Times New Roman" w:hAnsi="Times New Roman"/>
                <w:b w:val="0"/>
                <w:sz w:val="16"/>
              </w:rPr>
              <w:t>64.70</w:t>
            </w:r>
          </w:p>
        </w:tc>
        <w:tc>
          <w:tcPr>
            <w:tcW w:type="dxa" w:w="907"/>
          </w:tcPr>
          <w:p>
            <w:pPr>
              <w:spacing w:line="240" w:lineRule="auto" w:after="0"/>
            </w:pPr>
            <w:r/>
            <w:r>
              <w:rPr>
                <w:rFonts w:ascii="Times New Roman" w:hAnsi="Times New Roman"/>
                <w:b w:val="0"/>
                <w:sz w:val="16"/>
              </w:rPr>
              <w:t>0.82</w:t>
            </w:r>
          </w:p>
        </w:tc>
        <w:tc>
          <w:tcPr>
            <w:tcW w:type="dxa" w:w="907"/>
          </w:tcPr>
          <w:p>
            <w:pPr>
              <w:spacing w:line="240" w:lineRule="auto" w:after="0"/>
            </w:pPr>
            <w:r/>
            <w:r>
              <w:rPr>
                <w:rFonts w:ascii="Times New Roman" w:hAnsi="Times New Roman"/>
                <w:b w:val="0"/>
                <w:sz w:val="16"/>
              </w:rPr>
              <w:t>62.83</w:t>
            </w:r>
          </w:p>
        </w:tc>
        <w:tc>
          <w:tcPr>
            <w:tcW w:type="dxa" w:w="907"/>
          </w:tcPr>
          <w:p>
            <w:pPr>
              <w:spacing w:line="240" w:lineRule="auto" w:after="0"/>
            </w:pPr>
            <w:r/>
            <w:r>
              <w:rPr>
                <w:rFonts w:ascii="Times New Roman" w:hAnsi="Times New Roman"/>
                <w:b w:val="0"/>
                <w:sz w:val="16"/>
              </w:rPr>
              <w:t>66.47</w:t>
            </w:r>
          </w:p>
        </w:tc>
      </w:tr>
      <w:tr>
        <w:tc>
          <w:tcPr>
            <w:tcW w:type="dxa" w:w="907"/>
          </w:tcPr>
          <w:p>
            <w:pPr>
              <w:spacing w:line="240" w:lineRule="auto" w:after="0"/>
            </w:pPr>
            <w:r/>
            <w:r>
              <w:rPr>
                <w:rFonts w:ascii="Times New Roman" w:hAnsi="Times New Roman"/>
                <w:b w:val="0"/>
                <w:sz w:val="16"/>
              </w:rPr>
              <w:t>tablets</w:t>
            </w:r>
          </w:p>
        </w:tc>
        <w:tc>
          <w:tcPr>
            <w:tcW w:type="dxa" w:w="907"/>
          </w:tcPr>
          <w:p>
            <w:pPr>
              <w:spacing w:line="240" w:lineRule="auto" w:after="0"/>
            </w:pPr>
            <w:r/>
            <w:r>
              <w:rPr>
                <w:rFonts w:ascii="Times New Roman" w:hAnsi="Times New Roman"/>
                <w:b w:val="0"/>
                <w:sz w:val="16"/>
              </w:rPr>
              <w:t>inst1, inst2</w:t>
            </w:r>
          </w:p>
        </w:tc>
        <w:tc>
          <w:tcPr>
            <w:tcW w:type="dxa" w:w="907"/>
          </w:tcPr>
          <w:p>
            <w:pPr>
              <w:spacing w:line="240" w:lineRule="auto" w:after="0"/>
            </w:pPr>
            <w:r/>
            <w:r>
              <w:rPr>
                <w:rFonts w:ascii="Times New Roman" w:hAnsi="Times New Roman"/>
                <w:b w:val="0"/>
                <w:sz w:val="16"/>
              </w:rPr>
              <w:t>655</w:t>
            </w:r>
          </w:p>
        </w:tc>
        <w:tc>
          <w:tcPr>
            <w:tcW w:type="dxa" w:w="907"/>
          </w:tcPr>
          <w:p>
            <w:pPr>
              <w:spacing w:line="240" w:lineRule="auto" w:after="0"/>
            </w:pPr>
            <w:r/>
            <w:r>
              <w:rPr>
                <w:rFonts w:ascii="Times New Roman" w:hAnsi="Times New Roman"/>
                <w:b w:val="0"/>
                <w:sz w:val="16"/>
              </w:rPr>
              <w:t>650</w:t>
            </w:r>
          </w:p>
        </w:tc>
        <w:tc>
          <w:tcPr>
            <w:tcW w:type="dxa" w:w="907"/>
          </w:tcPr>
          <w:p>
            <w:pPr>
              <w:spacing w:line="240" w:lineRule="auto" w:after="0"/>
            </w:pPr>
            <w:r/>
            <w:r>
              <w:rPr>
                <w:rFonts w:ascii="Times New Roman" w:hAnsi="Times New Roman"/>
                <w:b w:val="0"/>
                <w:sz w:val="16"/>
              </w:rPr>
              <w:t>600–1898</w:t>
            </w:r>
          </w:p>
        </w:tc>
        <w:tc>
          <w:tcPr>
            <w:tcW w:type="dxa" w:w="907"/>
          </w:tcPr>
          <w:p>
            <w:pPr>
              <w:spacing w:line="240" w:lineRule="auto" w:after="0"/>
            </w:pPr>
            <w:r/>
            <w:r>
              <w:rPr>
                <w:rFonts w:ascii="Times New Roman" w:hAnsi="Times New Roman"/>
                <w:b w:val="0"/>
                <w:sz w:val="16"/>
              </w:rPr>
              <w:t>weight</w:t>
            </w:r>
          </w:p>
        </w:tc>
        <w:tc>
          <w:tcPr>
            <w:tcW w:type="dxa" w:w="907"/>
          </w:tcPr>
          <w:p>
            <w:pPr>
              <w:spacing w:line="240" w:lineRule="auto" w:after="0"/>
            </w:pPr>
            <w:r/>
            <w:r>
              <w:rPr>
                <w:rFonts w:ascii="Times New Roman" w:hAnsi="Times New Roman"/>
                <w:b w:val="0"/>
                <w:sz w:val="16"/>
              </w:rPr>
              <w:t>378.89</w:t>
            </w:r>
          </w:p>
        </w:tc>
        <w:tc>
          <w:tcPr>
            <w:tcW w:type="dxa" w:w="907"/>
          </w:tcPr>
          <w:p>
            <w:pPr>
              <w:spacing w:line="240" w:lineRule="auto" w:after="0"/>
            </w:pPr>
            <w:r/>
            <w:r>
              <w:rPr>
                <w:rFonts w:ascii="Times New Roman" w:hAnsi="Times New Roman"/>
                <w:b w:val="0"/>
                <w:sz w:val="16"/>
              </w:rPr>
              <w:t>4.75</w:t>
            </w:r>
          </w:p>
        </w:tc>
        <w:tc>
          <w:tcPr>
            <w:tcW w:type="dxa" w:w="907"/>
          </w:tcPr>
          <w:p>
            <w:pPr>
              <w:spacing w:line="240" w:lineRule="auto" w:after="0"/>
            </w:pPr>
            <w:r/>
            <w:r>
              <w:rPr>
                <w:rFonts w:ascii="Times New Roman" w:hAnsi="Times New Roman"/>
                <w:b w:val="0"/>
                <w:sz w:val="16"/>
              </w:rPr>
              <w:t>363.90</w:t>
            </w:r>
          </w:p>
        </w:tc>
        <w:tc>
          <w:tcPr>
            <w:tcW w:type="dxa" w:w="907"/>
          </w:tcPr>
          <w:p>
            <w:pPr>
              <w:spacing w:line="240" w:lineRule="auto" w:after="0"/>
            </w:pPr>
            <w:r/>
            <w:r>
              <w:rPr>
                <w:rFonts w:ascii="Times New Roman" w:hAnsi="Times New Roman"/>
                <w:b w:val="0"/>
                <w:sz w:val="16"/>
              </w:rPr>
              <w:t>390.99</w:t>
            </w:r>
          </w:p>
        </w:tc>
      </w:tr>
      <w:tr>
        <w:tc>
          <w:tcPr>
            <w:tcW w:type="dxa" w:w="907"/>
          </w:tcPr>
          <w:p>
            <w:pPr>
              <w:spacing w:line="240" w:lineRule="auto" w:after="0"/>
            </w:pPr>
            <w:r/>
            <w:r>
              <w:rPr>
                <w:rFonts w:ascii="Times New Roman" w:hAnsi="Times New Roman"/>
                <w:b w:val="0"/>
                <w:sz w:val="16"/>
              </w:rPr>
              <w:t>tablets</w:t>
            </w:r>
          </w:p>
        </w:tc>
        <w:tc>
          <w:tcPr>
            <w:tcW w:type="dxa" w:w="907"/>
          </w:tcPr>
          <w:p>
            <w:pPr>
              <w:spacing w:line="240" w:lineRule="auto" w:after="0"/>
            </w:pPr>
            <w:r/>
            <w:r>
              <w:rPr>
                <w:rFonts w:ascii="Times New Roman" w:hAnsi="Times New Roman"/>
                <w:b w:val="0"/>
                <w:sz w:val="16"/>
              </w:rPr>
              <w:t>inst1, inst2</w:t>
            </w:r>
          </w:p>
        </w:tc>
        <w:tc>
          <w:tcPr>
            <w:tcW w:type="dxa" w:w="907"/>
          </w:tcPr>
          <w:p>
            <w:pPr>
              <w:spacing w:line="240" w:lineRule="auto" w:after="0"/>
            </w:pPr>
            <w:r/>
            <w:r>
              <w:rPr>
                <w:rFonts w:ascii="Times New Roman" w:hAnsi="Times New Roman"/>
                <w:b w:val="0"/>
                <w:sz w:val="16"/>
              </w:rPr>
              <w:t>655</w:t>
            </w:r>
          </w:p>
        </w:tc>
        <w:tc>
          <w:tcPr>
            <w:tcW w:type="dxa" w:w="907"/>
          </w:tcPr>
          <w:p>
            <w:pPr>
              <w:spacing w:line="240" w:lineRule="auto" w:after="0"/>
            </w:pPr>
            <w:r/>
            <w:r>
              <w:rPr>
                <w:rFonts w:ascii="Times New Roman" w:hAnsi="Times New Roman"/>
                <w:b w:val="0"/>
                <w:sz w:val="16"/>
              </w:rPr>
              <w:t>650</w:t>
            </w:r>
          </w:p>
        </w:tc>
        <w:tc>
          <w:tcPr>
            <w:tcW w:type="dxa" w:w="907"/>
          </w:tcPr>
          <w:p>
            <w:pPr>
              <w:spacing w:line="240" w:lineRule="auto" w:after="0"/>
            </w:pPr>
            <w:r/>
            <w:r>
              <w:rPr>
                <w:rFonts w:ascii="Times New Roman" w:hAnsi="Times New Roman"/>
                <w:b w:val="0"/>
                <w:sz w:val="16"/>
              </w:rPr>
              <w:t>600–1898</w:t>
            </w:r>
          </w:p>
        </w:tc>
        <w:tc>
          <w:tcPr>
            <w:tcW w:type="dxa" w:w="907"/>
          </w:tcPr>
          <w:p>
            <w:pPr>
              <w:spacing w:line="240" w:lineRule="auto" w:after="0"/>
            </w:pPr>
            <w:r/>
            <w:r>
              <w:rPr>
                <w:rFonts w:ascii="Times New Roman" w:hAnsi="Times New Roman"/>
                <w:b w:val="0"/>
                <w:sz w:val="16"/>
              </w:rPr>
              <w:t>hardness</w:t>
            </w:r>
          </w:p>
        </w:tc>
        <w:tc>
          <w:tcPr>
            <w:tcW w:type="dxa" w:w="907"/>
          </w:tcPr>
          <w:p>
            <w:pPr>
              <w:spacing w:line="240" w:lineRule="auto" w:after="0"/>
            </w:pPr>
            <w:r/>
            <w:r>
              <w:rPr>
                <w:rFonts w:ascii="Times New Roman" w:hAnsi="Times New Roman"/>
                <w:b w:val="0"/>
                <w:sz w:val="16"/>
              </w:rPr>
              <w:t>19.38</w:t>
            </w:r>
          </w:p>
        </w:tc>
        <w:tc>
          <w:tcPr>
            <w:tcW w:type="dxa" w:w="907"/>
          </w:tcPr>
          <w:p>
            <w:pPr>
              <w:spacing w:line="240" w:lineRule="auto" w:after="0"/>
            </w:pPr>
            <w:r/>
            <w:r>
              <w:rPr>
                <w:rFonts w:ascii="Times New Roman" w:hAnsi="Times New Roman"/>
                <w:b w:val="0"/>
                <w:sz w:val="16"/>
              </w:rPr>
              <w:t>1.26</w:t>
            </w:r>
          </w:p>
        </w:tc>
        <w:tc>
          <w:tcPr>
            <w:tcW w:type="dxa" w:w="907"/>
          </w:tcPr>
          <w:p>
            <w:pPr>
              <w:spacing w:line="240" w:lineRule="auto" w:after="0"/>
            </w:pPr>
            <w:r/>
            <w:r>
              <w:rPr>
                <w:rFonts w:ascii="Times New Roman" w:hAnsi="Times New Roman"/>
                <w:b w:val="0"/>
                <w:sz w:val="16"/>
              </w:rPr>
              <w:t>13.80</w:t>
            </w:r>
          </w:p>
        </w:tc>
        <w:tc>
          <w:tcPr>
            <w:tcW w:type="dxa" w:w="907"/>
          </w:tcPr>
          <w:p>
            <w:pPr>
              <w:spacing w:line="240" w:lineRule="auto" w:after="0"/>
            </w:pPr>
            <w:r/>
            <w:r>
              <w:rPr>
                <w:rFonts w:ascii="Times New Roman" w:hAnsi="Times New Roman"/>
                <w:b w:val="0"/>
                <w:sz w:val="16"/>
              </w:rPr>
              <w:t>23.50</w:t>
            </w:r>
          </w:p>
        </w:tc>
      </w:tr>
      <w:tr>
        <w:tc>
          <w:tcPr>
            <w:tcW w:type="dxa" w:w="907"/>
          </w:tcPr>
          <w:p>
            <w:pPr>
              <w:spacing w:line="240" w:lineRule="auto" w:after="0"/>
            </w:pPr>
            <w:r/>
            <w:r>
              <w:rPr>
                <w:rFonts w:ascii="Times New Roman" w:hAnsi="Times New Roman"/>
                <w:b w:val="0"/>
                <w:sz w:val="16"/>
              </w:rPr>
              <w:t>tablets</w:t>
            </w:r>
          </w:p>
        </w:tc>
        <w:tc>
          <w:tcPr>
            <w:tcW w:type="dxa" w:w="907"/>
          </w:tcPr>
          <w:p>
            <w:pPr>
              <w:spacing w:line="240" w:lineRule="auto" w:after="0"/>
            </w:pPr>
            <w:r/>
            <w:r>
              <w:rPr>
                <w:rFonts w:ascii="Times New Roman" w:hAnsi="Times New Roman"/>
                <w:b w:val="0"/>
                <w:sz w:val="16"/>
              </w:rPr>
              <w:t>inst1, inst2</w:t>
            </w:r>
          </w:p>
        </w:tc>
        <w:tc>
          <w:tcPr>
            <w:tcW w:type="dxa" w:w="907"/>
          </w:tcPr>
          <w:p>
            <w:pPr>
              <w:spacing w:line="240" w:lineRule="auto" w:after="0"/>
            </w:pPr>
            <w:r/>
            <w:r>
              <w:rPr>
                <w:rFonts w:ascii="Times New Roman" w:hAnsi="Times New Roman"/>
                <w:b w:val="0"/>
                <w:sz w:val="16"/>
              </w:rPr>
              <w:t>655</w:t>
            </w:r>
          </w:p>
        </w:tc>
        <w:tc>
          <w:tcPr>
            <w:tcW w:type="dxa" w:w="907"/>
          </w:tcPr>
          <w:p>
            <w:pPr>
              <w:spacing w:line="240" w:lineRule="auto" w:after="0"/>
            </w:pPr>
            <w:r/>
            <w:r>
              <w:rPr>
                <w:rFonts w:ascii="Times New Roman" w:hAnsi="Times New Roman"/>
                <w:b w:val="0"/>
                <w:sz w:val="16"/>
              </w:rPr>
              <w:t>650</w:t>
            </w:r>
          </w:p>
        </w:tc>
        <w:tc>
          <w:tcPr>
            <w:tcW w:type="dxa" w:w="907"/>
          </w:tcPr>
          <w:p>
            <w:pPr>
              <w:spacing w:line="240" w:lineRule="auto" w:after="0"/>
            </w:pPr>
            <w:r/>
            <w:r>
              <w:rPr>
                <w:rFonts w:ascii="Times New Roman" w:hAnsi="Times New Roman"/>
                <w:b w:val="0"/>
                <w:sz w:val="16"/>
              </w:rPr>
              <w:t>600–1898</w:t>
            </w:r>
          </w:p>
        </w:tc>
        <w:tc>
          <w:tcPr>
            <w:tcW w:type="dxa" w:w="907"/>
          </w:tcPr>
          <w:p>
            <w:pPr>
              <w:spacing w:line="240" w:lineRule="auto" w:after="0"/>
            </w:pPr>
            <w:r/>
            <w:r>
              <w:rPr>
                <w:rFonts w:ascii="Times New Roman" w:hAnsi="Times New Roman"/>
                <w:b w:val="0"/>
                <w:sz w:val="16"/>
              </w:rPr>
              <w:t>assay</w:t>
            </w:r>
          </w:p>
        </w:tc>
        <w:tc>
          <w:tcPr>
            <w:tcW w:type="dxa" w:w="907"/>
          </w:tcPr>
          <w:p>
            <w:pPr>
              <w:spacing w:line="240" w:lineRule="auto" w:after="0"/>
            </w:pPr>
            <w:r/>
            <w:r>
              <w:rPr>
                <w:rFonts w:ascii="Times New Roman" w:hAnsi="Times New Roman"/>
                <w:b w:val="0"/>
                <w:sz w:val="16"/>
              </w:rPr>
              <w:t>189.85</w:t>
            </w:r>
          </w:p>
        </w:tc>
        <w:tc>
          <w:tcPr>
            <w:tcW w:type="dxa" w:w="907"/>
          </w:tcPr>
          <w:p>
            <w:pPr>
              <w:spacing w:line="240" w:lineRule="auto" w:after="0"/>
            </w:pPr>
            <w:r/>
            <w:r>
              <w:rPr>
                <w:rFonts w:ascii="Times New Roman" w:hAnsi="Times New Roman"/>
                <w:b w:val="0"/>
                <w:sz w:val="16"/>
              </w:rPr>
              <w:t>17.14</w:t>
            </w:r>
          </w:p>
        </w:tc>
        <w:tc>
          <w:tcPr>
            <w:tcW w:type="dxa" w:w="907"/>
          </w:tcPr>
          <w:p>
            <w:pPr>
              <w:spacing w:line="240" w:lineRule="auto" w:after="0"/>
            </w:pPr>
            <w:r/>
            <w:r>
              <w:rPr>
                <w:rFonts w:ascii="Times New Roman" w:hAnsi="Times New Roman"/>
                <w:b w:val="0"/>
                <w:sz w:val="16"/>
              </w:rPr>
              <w:t>151.60</w:t>
            </w:r>
          </w:p>
        </w:tc>
        <w:tc>
          <w:tcPr>
            <w:tcW w:type="dxa" w:w="907"/>
          </w:tcPr>
          <w:p>
            <w:pPr>
              <w:spacing w:line="240" w:lineRule="auto" w:after="0"/>
            </w:pPr>
            <w:r/>
            <w:r>
              <w:rPr>
                <w:rFonts w:ascii="Times New Roman" w:hAnsi="Times New Roman"/>
                <w:b w:val="0"/>
                <w:sz w:val="16"/>
              </w:rPr>
              <w:t>239.10</w:t>
            </w:r>
          </w:p>
        </w:tc>
      </w:tr>
    </w:tbl>
    <w:p>
      <w:pPr>
        <w:keepNext/>
        <w:jc w:val="center"/>
      </w:pPr>
      <w:r>
        <w:drawing>
          <wp:inline xmlns:a="http://schemas.openxmlformats.org/drawingml/2006/main" xmlns:pic="http://schemas.openxmlformats.org/drawingml/2006/picture">
            <wp:extent cx="5760000" cy="3506145"/>
            <wp:docPr id="9" name="Picture 9"/>
            <wp:cNvGraphicFramePr>
              <a:graphicFrameLocks noChangeAspect="1"/>
            </wp:cNvGraphicFramePr>
            <a:graphic>
              <a:graphicData uri="http://schemas.openxmlformats.org/drawingml/2006/picture">
                <pic:pic>
                  <pic:nvPicPr>
                    <pic:cNvPr id="0" name="fig2_spectra.png"/>
                    <pic:cNvPicPr/>
                  </pic:nvPicPr>
                  <pic:blipFill>
                    <a:blip r:embed="rId18"/>
                    <a:stretch>
                      <a:fillRect/>
                    </a:stretch>
                  </pic:blipFill>
                  <pic:spPr>
                    <a:xfrm>
                      <a:off x="0" y="0"/>
                      <a:ext cx="5760000" cy="3506145"/>
                    </a:xfrm>
                    <a:prstGeom prst="rect"/>
                  </pic:spPr>
                </pic:pic>
              </a:graphicData>
            </a:graphic>
          </wp:inline>
        </w:drawing>
      </w:r>
    </w:p>
    <w:p>
      <w:pPr>
        <w:spacing w:line="276" w:lineRule="auto"/>
        <w:jc w:val="both"/>
      </w:pPr>
      <w:r>
        <w:rPr>
          <w:rFonts w:ascii="Times New Roman" w:hAnsi="Times New Roman"/>
          <w:b/>
          <w:sz w:val="20"/>
        </w:rPr>
        <w:t>Fig. 2.</w:t>
      </w:r>
      <w:r>
        <w:rPr>
          <w:rFonts w:ascii="Times New Roman" w:hAnsi="Times New Roman"/>
          <w:b w:val="0"/>
          <w:sz w:val="20"/>
        </w:rPr>
        <w:t xml:space="preserve"> Mean spectra per instrument (top) and mean inter-instrument differences (bottom) for the corn (left) and tablet (right) data.</w:t>
      </w:r>
    </w:p>
    <w:p>
      <w:pPr>
        <w:keepNext/>
        <w:spacing w:before="160"/>
      </w:pPr>
      <w:r>
        <w:rPr>
          <w:rFonts w:ascii="Times New Roman" w:hAnsi="Times New Roman"/>
          <w:b/>
          <w:sz w:val="24"/>
        </w:rPr>
        <w:t>4.1. Calibration and transfer quality</w:t>
      </w:r>
    </w:p>
    <w:p>
      <w:pPr>
        <w:jc w:val="both"/>
      </w:pPr>
      <w:r>
        <w:rPr>
          <w:rFonts w:ascii="Times New Roman" w:hAnsi="Times New Roman"/>
          <w:b w:val="0"/>
        </w:rPr>
        <w:t xml:space="preserve">The selected PLS models used 8–15 latent variables for corn and 3–20 for tablets. Transfer was imperfect: the median ratio of the secondary-instrument RMSEP after transfer to the RMSEP obtained from the primary spectra of the same test samples was 2.2 (range 1.1–52.6; Table S1), i.e., the transferred predictions carried an error component absent on the primary instrument. The largest ratios occur for corn moisture with m5 as primary, which is predicted almost perfectly from m5 spectra, so that any transfer error dominates. As an in-domain check of the out-of-fold residual scores, the naive interval applied to the </w:t>
      </w:r>
      <w:r>
        <w:rPr>
          <w:rFonts w:ascii="Times New Roman" w:hAnsi="Times New Roman"/>
          <w:b w:val="0"/>
          <w:i/>
        </w:rPr>
        <w:t>primary</w:t>
      </w:r>
      <w:r>
        <w:rPr>
          <w:rFonts w:ascii="Times New Roman" w:hAnsi="Times New Roman"/>
          <w:b w:val="0"/>
        </w:rPr>
        <w:t xml:space="preserve"> spectra of the test samples covered 0.900 on average at the nominal 0.90 (scenario range 0.872–0.932).</w:t>
      </w:r>
    </w:p>
    <w:p>
      <w:pPr>
        <w:keepNext/>
        <w:spacing w:before="160"/>
      </w:pPr>
      <w:r>
        <w:rPr>
          <w:rFonts w:ascii="Times New Roman" w:hAnsi="Times New Roman"/>
          <w:b/>
          <w:sz w:val="24"/>
        </w:rPr>
        <w:t>4.2. Intervals inherited from the primary instrument are over-confident</w:t>
      </w:r>
    </w:p>
    <w:p>
      <w:pPr>
        <w:jc w:val="both"/>
      </w:pPr>
      <w:r>
        <w:rPr>
          <w:rFonts w:ascii="Times New Roman" w:hAnsi="Times New Roman"/>
          <w:b w:val="0"/>
        </w:rPr>
        <w:t xml:space="preserve">Reusing the primary-instrument interval after transfer (naive CP) gave mean coverages of 0.483 after PDS and 0.587 after DS at a nominal 0.90, with individual scenarios as low as 0.044 (Table 2, Fig. 3). The classical leverage-corrected interval was only marginally better (0.574 and 0.656), because leverage measures distance within the calibration space but not the transfer error. Weighted CP for covariate shift raised coverage to 0.612 and 0.634, yet produced unbounded intervals for 18% (PDS) and 11% (DS) of test samples (Table 2), a symptom of degenerate likelihood-ratio weights when transferred and primary spectra are easily distinguished. Pooling the labelled transfer residuals with the primary residuals (pooled CP) also under-covered (0.653, 0.706) because the </w:t>
      </w:r>
      <w:r>
        <w:rPr>
          <w:rFonts w:ascii="Times New Roman" w:hAnsi="Times New Roman"/>
          <w:b w:val="0"/>
          <w:i/>
        </w:rPr>
        <w:t>k</w:t>
      </w:r>
      <w:r>
        <w:rPr>
          <w:rFonts w:ascii="Times New Roman" w:hAnsi="Times New Roman"/>
          <w:b w:val="0"/>
        </w:rPr>
        <w:t xml:space="preserve"> target residuals are swamped by the </w:t>
      </w:r>
      <w:r>
        <w:rPr>
          <w:rFonts w:ascii="Times New Roman" w:hAnsi="Times New Roman"/>
          <w:b w:val="0"/>
          <w:i/>
        </w:rPr>
        <w:t>n</w:t>
      </w:r>
      <w:r>
        <w:rPr>
          <w:rFonts w:ascii="Times New Roman" w:hAnsi="Times New Roman"/>
          <w:b w:val="0"/>
        </w:rPr>
        <w:t xml:space="preserve"> primary residuals.</w:t>
      </w:r>
    </w:p>
    <w:p>
      <w:pPr>
        <w:keepNext/>
        <w:spacing w:line="276" w:lineRule="auto"/>
      </w:pPr>
      <w:r>
        <w:rPr>
          <w:rFonts w:ascii="Times New Roman" w:hAnsi="Times New Roman"/>
          <w:b/>
          <w:sz w:val="20"/>
        </w:rPr>
        <w:t>Table 2.</w:t>
      </w:r>
      <w:r>
        <w:rPr>
          <w:rFonts w:ascii="Times New Roman" w:hAnsi="Times New Roman"/>
          <w:b w:val="0"/>
          <w:sz w:val="20"/>
        </w:rPr>
        <w:t xml:space="preserve"> Interval performance at nominal coverage 0.90 (α = 0.10), k = 10 transfer standards, 30 scenarios per transfer method (24 corn, 6 tablets). Scenario means over 100 random splits; ‘Valid’ = percentage of scenarios with mean coverage ≥ 0.88; width and interval score (IS) are divided by SD(y) and summarised by their median over scenarios; ∞ = unbounded intervals occurred. Methods marked ‘k labelled’ require reference values for the transfer standards. Per-dataset results: Table S2.</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E8E8E8"/>
          </w:tcPr>
          <w:p>
            <w:pPr>
              <w:spacing w:line="240" w:lineRule="auto" w:after="0"/>
            </w:pPr>
            <w:r/>
            <w:r>
              <w:rPr>
                <w:rFonts w:ascii="Times New Roman" w:hAnsi="Times New Roman"/>
                <w:b/>
                <w:sz w:val="16"/>
              </w:rPr>
              <w:t>Dataset</w:t>
            </w:r>
          </w:p>
        </w:tc>
        <w:tc>
          <w:tcPr>
            <w:tcW w:type="dxa" w:w="1134"/>
            <w:shd w:val="clear" w:color="auto" w:fill="E8E8E8"/>
          </w:tcPr>
          <w:p>
            <w:pPr>
              <w:spacing w:line="240" w:lineRule="auto" w:after="0"/>
            </w:pPr>
            <w:r/>
            <w:r>
              <w:rPr>
                <w:rFonts w:ascii="Times New Roman" w:hAnsi="Times New Roman"/>
                <w:b/>
                <w:sz w:val="16"/>
              </w:rPr>
              <w:t>Transfer</w:t>
            </w:r>
          </w:p>
        </w:tc>
        <w:tc>
          <w:tcPr>
            <w:tcW w:type="dxa" w:w="1134"/>
            <w:shd w:val="clear" w:color="auto" w:fill="E8E8E8"/>
          </w:tcPr>
          <w:p>
            <w:pPr>
              <w:spacing w:line="240" w:lineRule="auto" w:after="0"/>
            </w:pPr>
            <w:r/>
            <w:r>
              <w:rPr>
                <w:rFonts w:ascii="Times New Roman" w:hAnsi="Times New Roman"/>
                <w:b/>
                <w:sz w:val="16"/>
              </w:rPr>
              <w:t>Method</w:t>
            </w:r>
          </w:p>
        </w:tc>
        <w:tc>
          <w:tcPr>
            <w:tcW w:type="dxa" w:w="1134"/>
            <w:shd w:val="clear" w:color="auto" w:fill="E8E8E8"/>
          </w:tcPr>
          <w:p>
            <w:pPr>
              <w:spacing w:line="240" w:lineRule="auto" w:after="0"/>
            </w:pPr>
            <w:r/>
            <w:r>
              <w:rPr>
                <w:rFonts w:ascii="Times New Roman" w:hAnsi="Times New Roman"/>
                <w:b/>
                <w:sz w:val="16"/>
              </w:rPr>
              <w:t>Mean cov.</w:t>
            </w:r>
          </w:p>
        </w:tc>
        <w:tc>
          <w:tcPr>
            <w:tcW w:type="dxa" w:w="1134"/>
            <w:shd w:val="clear" w:color="auto" w:fill="E8E8E8"/>
          </w:tcPr>
          <w:p>
            <w:pPr>
              <w:spacing w:line="240" w:lineRule="auto" w:after="0"/>
            </w:pPr>
            <w:r/>
            <w:r>
              <w:rPr>
                <w:rFonts w:ascii="Times New Roman" w:hAnsi="Times New Roman"/>
                <w:b/>
                <w:sz w:val="16"/>
              </w:rPr>
              <w:t>Min cov.</w:t>
            </w:r>
          </w:p>
        </w:tc>
        <w:tc>
          <w:tcPr>
            <w:tcW w:type="dxa" w:w="1134"/>
            <w:shd w:val="clear" w:color="auto" w:fill="E8E8E8"/>
          </w:tcPr>
          <w:p>
            <w:pPr>
              <w:spacing w:line="240" w:lineRule="auto" w:after="0"/>
            </w:pPr>
            <w:r/>
            <w:r>
              <w:rPr>
                <w:rFonts w:ascii="Times New Roman" w:hAnsi="Times New Roman"/>
                <w:b/>
                <w:sz w:val="16"/>
              </w:rPr>
              <w:t>Valid (%)</w:t>
            </w:r>
          </w:p>
        </w:tc>
        <w:tc>
          <w:tcPr>
            <w:tcW w:type="dxa" w:w="1134"/>
            <w:shd w:val="clear" w:color="auto" w:fill="E8E8E8"/>
          </w:tcPr>
          <w:p>
            <w:pPr>
              <w:spacing w:line="240" w:lineRule="auto" w:after="0"/>
            </w:pPr>
            <w:r/>
            <w:r>
              <w:rPr>
                <w:rFonts w:ascii="Times New Roman" w:hAnsi="Times New Roman"/>
                <w:b/>
                <w:sz w:val="16"/>
              </w:rPr>
              <w:t>Width/SD</w:t>
            </w:r>
          </w:p>
        </w:tc>
        <w:tc>
          <w:tcPr>
            <w:tcW w:type="dxa" w:w="1134"/>
            <w:shd w:val="clear" w:color="auto" w:fill="E8E8E8"/>
          </w:tcPr>
          <w:p>
            <w:pPr>
              <w:spacing w:line="240" w:lineRule="auto" w:after="0"/>
            </w:pPr>
            <w:r/>
            <w:r>
              <w:rPr>
                <w:rFonts w:ascii="Times New Roman" w:hAnsi="Times New Roman"/>
                <w:b/>
                <w:sz w:val="16"/>
              </w:rPr>
              <w:t>IS/SD</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Naive CP (primary residuals)</w:t>
            </w:r>
          </w:p>
        </w:tc>
        <w:tc>
          <w:tcPr>
            <w:tcW w:type="dxa" w:w="1134"/>
          </w:tcPr>
          <w:p>
            <w:pPr>
              <w:spacing w:line="240" w:lineRule="auto" w:after="0"/>
            </w:pPr>
            <w:r/>
            <w:r>
              <w:rPr>
                <w:rFonts w:ascii="Times New Roman" w:hAnsi="Times New Roman"/>
                <w:b w:val="0"/>
                <w:sz w:val="16"/>
              </w:rPr>
              <w:t>0.587</w:t>
            </w:r>
          </w:p>
        </w:tc>
        <w:tc>
          <w:tcPr>
            <w:tcW w:type="dxa" w:w="1134"/>
          </w:tcPr>
          <w:p>
            <w:pPr>
              <w:spacing w:line="240" w:lineRule="auto" w:after="0"/>
            </w:pPr>
            <w:r/>
            <w:r>
              <w:rPr>
                <w:rFonts w:ascii="Times New Roman" w:hAnsi="Times New Roman"/>
                <w:b w:val="0"/>
                <w:sz w:val="16"/>
              </w:rPr>
              <w:t>0.055</w:t>
            </w:r>
          </w:p>
        </w:tc>
        <w:tc>
          <w:tcPr>
            <w:tcW w:type="dxa" w:w="1134"/>
          </w:tcPr>
          <w:p>
            <w:pPr>
              <w:spacing w:line="240" w:lineRule="auto" w:after="0"/>
            </w:pPr>
            <w:r/>
            <w:r>
              <w:rPr>
                <w:rFonts w:ascii="Times New Roman" w:hAnsi="Times New Roman"/>
                <w:b w:val="0"/>
                <w:sz w:val="16"/>
              </w:rPr>
              <w:t>7</w:t>
            </w:r>
          </w:p>
        </w:tc>
        <w:tc>
          <w:tcPr>
            <w:tcW w:type="dxa" w:w="1134"/>
          </w:tcPr>
          <w:p>
            <w:pPr>
              <w:spacing w:line="240" w:lineRule="auto" w:after="0"/>
            </w:pPr>
            <w:r/>
            <w:r>
              <w:rPr>
                <w:rFonts w:ascii="Times New Roman" w:hAnsi="Times New Roman"/>
                <w:b w:val="0"/>
                <w:sz w:val="16"/>
              </w:rPr>
              <w:t>1.36</w:t>
            </w:r>
          </w:p>
        </w:tc>
        <w:tc>
          <w:tcPr>
            <w:tcW w:type="dxa" w:w="1134"/>
          </w:tcPr>
          <w:p>
            <w:pPr>
              <w:spacing w:line="240" w:lineRule="auto" w:after="0"/>
            </w:pPr>
            <w:r/>
            <w:r>
              <w:rPr>
                <w:rFonts w:ascii="Times New Roman" w:hAnsi="Times New Roman"/>
                <w:b w:val="0"/>
                <w:sz w:val="16"/>
              </w:rPr>
              <w:t>5.55</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Leverage PI (classical)</w:t>
            </w:r>
          </w:p>
        </w:tc>
        <w:tc>
          <w:tcPr>
            <w:tcW w:type="dxa" w:w="1134"/>
          </w:tcPr>
          <w:p>
            <w:pPr>
              <w:spacing w:line="240" w:lineRule="auto" w:after="0"/>
            </w:pPr>
            <w:r/>
            <w:r>
              <w:rPr>
                <w:rFonts w:ascii="Times New Roman" w:hAnsi="Times New Roman"/>
                <w:b w:val="0"/>
                <w:sz w:val="16"/>
              </w:rPr>
              <w:t>0.656</w:t>
            </w:r>
          </w:p>
        </w:tc>
        <w:tc>
          <w:tcPr>
            <w:tcW w:type="dxa" w:w="1134"/>
          </w:tcPr>
          <w:p>
            <w:pPr>
              <w:spacing w:line="240" w:lineRule="auto" w:after="0"/>
            </w:pPr>
            <w:r/>
            <w:r>
              <w:rPr>
                <w:rFonts w:ascii="Times New Roman" w:hAnsi="Times New Roman"/>
                <w:b w:val="0"/>
                <w:sz w:val="16"/>
              </w:rPr>
              <w:t>0.071</w:t>
            </w:r>
          </w:p>
        </w:tc>
        <w:tc>
          <w:tcPr>
            <w:tcW w:type="dxa" w:w="1134"/>
          </w:tcPr>
          <w:p>
            <w:pPr>
              <w:spacing w:line="240" w:lineRule="auto" w:after="0"/>
            </w:pPr>
            <w:r/>
            <w:r>
              <w:rPr>
                <w:rFonts w:ascii="Times New Roman" w:hAnsi="Times New Roman"/>
                <w:b w:val="0"/>
                <w:sz w:val="16"/>
              </w:rPr>
              <w:t>7</w:t>
            </w:r>
          </w:p>
        </w:tc>
        <w:tc>
          <w:tcPr>
            <w:tcW w:type="dxa" w:w="1134"/>
          </w:tcPr>
          <w:p>
            <w:pPr>
              <w:spacing w:line="240" w:lineRule="auto" w:after="0"/>
            </w:pPr>
            <w:r/>
            <w:r>
              <w:rPr>
                <w:rFonts w:ascii="Times New Roman" w:hAnsi="Times New Roman"/>
                <w:b w:val="0"/>
                <w:sz w:val="16"/>
              </w:rPr>
              <w:t>1.71</w:t>
            </w:r>
          </w:p>
        </w:tc>
        <w:tc>
          <w:tcPr>
            <w:tcW w:type="dxa" w:w="1134"/>
          </w:tcPr>
          <w:p>
            <w:pPr>
              <w:spacing w:line="240" w:lineRule="auto" w:after="0"/>
            </w:pPr>
            <w:r/>
            <w:r>
              <w:rPr>
                <w:rFonts w:ascii="Times New Roman" w:hAnsi="Times New Roman"/>
                <w:b w:val="0"/>
                <w:sz w:val="16"/>
              </w:rPr>
              <w:t>4.71</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Weighted CP (covariate shift)</w:t>
            </w:r>
          </w:p>
        </w:tc>
        <w:tc>
          <w:tcPr>
            <w:tcW w:type="dxa" w:w="1134"/>
          </w:tcPr>
          <w:p>
            <w:pPr>
              <w:spacing w:line="240" w:lineRule="auto" w:after="0"/>
            </w:pPr>
            <w:r/>
            <w:r>
              <w:rPr>
                <w:rFonts w:ascii="Times New Roman" w:hAnsi="Times New Roman"/>
                <w:b w:val="0"/>
                <w:sz w:val="16"/>
              </w:rPr>
              <w:t>0.634</w:t>
            </w:r>
          </w:p>
        </w:tc>
        <w:tc>
          <w:tcPr>
            <w:tcW w:type="dxa" w:w="1134"/>
          </w:tcPr>
          <w:p>
            <w:pPr>
              <w:spacing w:line="240" w:lineRule="auto" w:after="0"/>
            </w:pPr>
            <w:r/>
            <w:r>
              <w:rPr>
                <w:rFonts w:ascii="Times New Roman" w:hAnsi="Times New Roman"/>
                <w:b w:val="0"/>
                <w:sz w:val="16"/>
              </w:rPr>
              <w:t>0.260</w:t>
            </w:r>
          </w:p>
        </w:tc>
        <w:tc>
          <w:tcPr>
            <w:tcW w:type="dxa" w:w="1134"/>
          </w:tcPr>
          <w:p>
            <w:pPr>
              <w:spacing w:line="240" w:lineRule="auto" w:after="0"/>
            </w:pPr>
            <w:r/>
            <w:r>
              <w:rPr>
                <w:rFonts w:ascii="Times New Roman" w:hAnsi="Times New Roman"/>
                <w:b w:val="0"/>
                <w:sz w:val="16"/>
              </w:rPr>
              <w:t>3</w:t>
            </w:r>
          </w:p>
        </w:tc>
        <w:tc>
          <w:tcPr>
            <w:tcW w:type="dxa" w:w="1134"/>
          </w:tcPr>
          <w:p>
            <w:pPr>
              <w:spacing w:line="240" w:lineRule="auto" w:after="0"/>
            </w:pPr>
            <w:r/>
            <w:r>
              <w:rPr>
                <w:rFonts w:ascii="Times New Roman" w:hAnsi="Times New Roman"/>
                <w:b w:val="0"/>
                <w:sz w:val="16"/>
              </w:rPr>
              <w:t>∞</w:t>
            </w:r>
          </w:p>
        </w:tc>
        <w:tc>
          <w:tcPr>
            <w:tcW w:type="dxa" w:w="1134"/>
          </w:tcPr>
          <w:p>
            <w:pPr>
              <w:spacing w:line="240" w:lineRule="auto" w:after="0"/>
            </w:pPr>
            <w:r/>
            <w:r>
              <w:rPr>
                <w:rFonts w:ascii="Times New Roman" w:hAnsi="Times New Roman"/>
                <w:b w:val="0"/>
                <w:sz w:val="16"/>
              </w:rPr>
              <w:t>∞</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Gaussian TD (parametric)</w:t>
            </w:r>
          </w:p>
        </w:tc>
        <w:tc>
          <w:tcPr>
            <w:tcW w:type="dxa" w:w="1134"/>
          </w:tcPr>
          <w:p>
            <w:pPr>
              <w:spacing w:line="240" w:lineRule="auto" w:after="0"/>
            </w:pPr>
            <w:r/>
            <w:r>
              <w:rPr>
                <w:rFonts w:ascii="Times New Roman" w:hAnsi="Times New Roman"/>
                <w:b w:val="0"/>
                <w:sz w:val="16"/>
              </w:rPr>
              <w:t>0.880</w:t>
            </w:r>
          </w:p>
        </w:tc>
        <w:tc>
          <w:tcPr>
            <w:tcW w:type="dxa" w:w="1134"/>
          </w:tcPr>
          <w:p>
            <w:pPr>
              <w:spacing w:line="240" w:lineRule="auto" w:after="0"/>
            </w:pPr>
            <w:r/>
            <w:r>
              <w:rPr>
                <w:rFonts w:ascii="Times New Roman" w:hAnsi="Times New Roman"/>
                <w:b w:val="0"/>
                <w:sz w:val="16"/>
              </w:rPr>
              <w:t>0.816</w:t>
            </w:r>
          </w:p>
        </w:tc>
        <w:tc>
          <w:tcPr>
            <w:tcW w:type="dxa" w:w="1134"/>
          </w:tcPr>
          <w:p>
            <w:pPr>
              <w:spacing w:line="240" w:lineRule="auto" w:after="0"/>
            </w:pPr>
            <w:r/>
            <w:r>
              <w:rPr>
                <w:rFonts w:ascii="Times New Roman" w:hAnsi="Times New Roman"/>
                <w:b w:val="0"/>
                <w:sz w:val="16"/>
              </w:rPr>
              <w:t>47</w:t>
            </w:r>
          </w:p>
        </w:tc>
        <w:tc>
          <w:tcPr>
            <w:tcW w:type="dxa" w:w="1134"/>
          </w:tcPr>
          <w:p>
            <w:pPr>
              <w:spacing w:line="240" w:lineRule="auto" w:after="0"/>
            </w:pPr>
            <w:r/>
            <w:r>
              <w:rPr>
                <w:rFonts w:ascii="Times New Roman" w:hAnsi="Times New Roman"/>
                <w:b w:val="0"/>
                <w:sz w:val="16"/>
              </w:rPr>
              <w:t>3.16</w:t>
            </w:r>
          </w:p>
        </w:tc>
        <w:tc>
          <w:tcPr>
            <w:tcW w:type="dxa" w:w="1134"/>
          </w:tcPr>
          <w:p>
            <w:pPr>
              <w:spacing w:line="240" w:lineRule="auto" w:after="0"/>
            </w:pPr>
            <w:r/>
            <w:r>
              <w:rPr>
                <w:rFonts w:ascii="Times New Roman" w:hAnsi="Times New Roman"/>
                <w:b w:val="0"/>
                <w:sz w:val="16"/>
              </w:rPr>
              <w:t>4.61</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TD-CP signed (pre-specified)</w:t>
            </w:r>
          </w:p>
        </w:tc>
        <w:tc>
          <w:tcPr>
            <w:tcW w:type="dxa" w:w="1134"/>
          </w:tcPr>
          <w:p>
            <w:pPr>
              <w:spacing w:line="240" w:lineRule="auto" w:after="0"/>
            </w:pPr>
            <w:r/>
            <w:r>
              <w:rPr>
                <w:rFonts w:ascii="Times New Roman" w:hAnsi="Times New Roman"/>
                <w:b w:val="0"/>
                <w:sz w:val="16"/>
              </w:rPr>
              <w:t>0.883</w:t>
            </w:r>
          </w:p>
        </w:tc>
        <w:tc>
          <w:tcPr>
            <w:tcW w:type="dxa" w:w="1134"/>
          </w:tcPr>
          <w:p>
            <w:pPr>
              <w:spacing w:line="240" w:lineRule="auto" w:after="0"/>
            </w:pPr>
            <w:r/>
            <w:r>
              <w:rPr>
                <w:rFonts w:ascii="Times New Roman" w:hAnsi="Times New Roman"/>
                <w:b w:val="0"/>
                <w:sz w:val="16"/>
              </w:rPr>
              <w:t>0.793</w:t>
            </w:r>
          </w:p>
        </w:tc>
        <w:tc>
          <w:tcPr>
            <w:tcW w:type="dxa" w:w="1134"/>
          </w:tcPr>
          <w:p>
            <w:pPr>
              <w:spacing w:line="240" w:lineRule="auto" w:after="0"/>
            </w:pPr>
            <w:r/>
            <w:r>
              <w:rPr>
                <w:rFonts w:ascii="Times New Roman" w:hAnsi="Times New Roman"/>
                <w:b w:val="0"/>
                <w:sz w:val="16"/>
              </w:rPr>
              <w:t>60</w:t>
            </w:r>
          </w:p>
        </w:tc>
        <w:tc>
          <w:tcPr>
            <w:tcW w:type="dxa" w:w="1134"/>
          </w:tcPr>
          <w:p>
            <w:pPr>
              <w:spacing w:line="240" w:lineRule="auto" w:after="0"/>
            </w:pPr>
            <w:r/>
            <w:r>
              <w:rPr>
                <w:rFonts w:ascii="Times New Roman" w:hAnsi="Times New Roman"/>
                <w:b w:val="0"/>
                <w:sz w:val="16"/>
              </w:rPr>
              <w:t>3.29</w:t>
            </w:r>
          </w:p>
        </w:tc>
        <w:tc>
          <w:tcPr>
            <w:tcW w:type="dxa" w:w="1134"/>
          </w:tcPr>
          <w:p>
            <w:pPr>
              <w:spacing w:line="240" w:lineRule="auto" w:after="0"/>
            </w:pPr>
            <w:r/>
            <w:r>
              <w:rPr>
                <w:rFonts w:ascii="Times New Roman" w:hAnsi="Times New Roman"/>
                <w:b w:val="0"/>
                <w:sz w:val="16"/>
              </w:rPr>
              <w:t>4.69</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TD-CP absolute scores</w:t>
            </w:r>
          </w:p>
        </w:tc>
        <w:tc>
          <w:tcPr>
            <w:tcW w:type="dxa" w:w="1134"/>
          </w:tcPr>
          <w:p>
            <w:pPr>
              <w:spacing w:line="240" w:lineRule="auto" w:after="0"/>
            </w:pPr>
            <w:r/>
            <w:r>
              <w:rPr>
                <w:rFonts w:ascii="Times New Roman" w:hAnsi="Times New Roman"/>
                <w:b w:val="0"/>
                <w:sz w:val="16"/>
              </w:rPr>
              <w:t>0.892</w:t>
            </w:r>
          </w:p>
        </w:tc>
        <w:tc>
          <w:tcPr>
            <w:tcW w:type="dxa" w:w="1134"/>
          </w:tcPr>
          <w:p>
            <w:pPr>
              <w:spacing w:line="240" w:lineRule="auto" w:after="0"/>
            </w:pPr>
            <w:r/>
            <w:r>
              <w:rPr>
                <w:rFonts w:ascii="Times New Roman" w:hAnsi="Times New Roman"/>
                <w:b w:val="0"/>
                <w:sz w:val="16"/>
              </w:rPr>
              <w:t>0.847</w:t>
            </w:r>
          </w:p>
        </w:tc>
        <w:tc>
          <w:tcPr>
            <w:tcW w:type="dxa" w:w="1134"/>
          </w:tcPr>
          <w:p>
            <w:pPr>
              <w:spacing w:line="240" w:lineRule="auto" w:after="0"/>
            </w:pPr>
            <w:r/>
            <w:r>
              <w:rPr>
                <w:rFonts w:ascii="Times New Roman" w:hAnsi="Times New Roman"/>
                <w:b w:val="0"/>
                <w:sz w:val="16"/>
              </w:rPr>
              <w:t>67</w:t>
            </w:r>
          </w:p>
        </w:tc>
        <w:tc>
          <w:tcPr>
            <w:tcW w:type="dxa" w:w="1134"/>
          </w:tcPr>
          <w:p>
            <w:pPr>
              <w:spacing w:line="240" w:lineRule="auto" w:after="0"/>
            </w:pPr>
            <w:r/>
            <w:r>
              <w:rPr>
                <w:rFonts w:ascii="Times New Roman" w:hAnsi="Times New Roman"/>
                <w:b w:val="0"/>
                <w:sz w:val="16"/>
              </w:rPr>
              <w:t>3.50</w:t>
            </w:r>
          </w:p>
        </w:tc>
        <w:tc>
          <w:tcPr>
            <w:tcW w:type="dxa" w:w="1134"/>
          </w:tcPr>
          <w:p>
            <w:pPr>
              <w:spacing w:line="240" w:lineRule="auto" w:after="0"/>
            </w:pPr>
            <w:r/>
            <w:r>
              <w:rPr>
                <w:rFonts w:ascii="Times New Roman" w:hAnsi="Times New Roman"/>
                <w:b w:val="0"/>
                <w:sz w:val="16"/>
              </w:rPr>
              <w:t>4.66</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TD-CP+ (jackknife+)</w:t>
            </w:r>
          </w:p>
        </w:tc>
        <w:tc>
          <w:tcPr>
            <w:tcW w:type="dxa" w:w="1134"/>
          </w:tcPr>
          <w:p>
            <w:pPr>
              <w:spacing w:line="240" w:lineRule="auto" w:after="0"/>
            </w:pPr>
            <w:r/>
            <w:r>
              <w:rPr>
                <w:rFonts w:ascii="Times New Roman" w:hAnsi="Times New Roman"/>
                <w:b w:val="0"/>
                <w:sz w:val="16"/>
              </w:rPr>
              <w:t>0.927</w:t>
            </w:r>
          </w:p>
        </w:tc>
        <w:tc>
          <w:tcPr>
            <w:tcW w:type="dxa" w:w="1134"/>
          </w:tcPr>
          <w:p>
            <w:pPr>
              <w:spacing w:line="240" w:lineRule="auto" w:after="0"/>
            </w:pPr>
            <w:r/>
            <w:r>
              <w:rPr>
                <w:rFonts w:ascii="Times New Roman" w:hAnsi="Times New Roman"/>
                <w:b w:val="0"/>
                <w:sz w:val="16"/>
              </w:rPr>
              <w:t>0.899</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3.98</w:t>
            </w:r>
          </w:p>
        </w:tc>
        <w:tc>
          <w:tcPr>
            <w:tcW w:type="dxa" w:w="1134"/>
          </w:tcPr>
          <w:p>
            <w:pPr>
              <w:spacing w:line="240" w:lineRule="auto" w:after="0"/>
            </w:pPr>
            <w:r/>
            <w:r>
              <w:rPr>
                <w:rFonts w:ascii="Times New Roman" w:hAnsi="Times New Roman"/>
                <w:b w:val="0"/>
                <w:sz w:val="16"/>
              </w:rPr>
              <w:t>4.62</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Target CP (k labelled)</w:t>
            </w:r>
          </w:p>
        </w:tc>
        <w:tc>
          <w:tcPr>
            <w:tcW w:type="dxa" w:w="1134"/>
          </w:tcPr>
          <w:p>
            <w:pPr>
              <w:spacing w:line="240" w:lineRule="auto" w:after="0"/>
            </w:pPr>
            <w:r/>
            <w:r>
              <w:rPr>
                <w:rFonts w:ascii="Times New Roman" w:hAnsi="Times New Roman"/>
                <w:b w:val="0"/>
                <w:sz w:val="16"/>
              </w:rPr>
              <w:t>0.895</w:t>
            </w:r>
          </w:p>
        </w:tc>
        <w:tc>
          <w:tcPr>
            <w:tcW w:type="dxa" w:w="1134"/>
          </w:tcPr>
          <w:p>
            <w:pPr>
              <w:spacing w:line="240" w:lineRule="auto" w:after="0"/>
            </w:pPr>
            <w:r/>
            <w:r>
              <w:rPr>
                <w:rFonts w:ascii="Times New Roman" w:hAnsi="Times New Roman"/>
                <w:b w:val="0"/>
                <w:sz w:val="16"/>
              </w:rPr>
              <w:t>0.856</w:t>
            </w:r>
          </w:p>
        </w:tc>
        <w:tc>
          <w:tcPr>
            <w:tcW w:type="dxa" w:w="1134"/>
          </w:tcPr>
          <w:p>
            <w:pPr>
              <w:spacing w:line="240" w:lineRule="auto" w:after="0"/>
            </w:pPr>
            <w:r/>
            <w:r>
              <w:rPr>
                <w:rFonts w:ascii="Times New Roman" w:hAnsi="Times New Roman"/>
                <w:b w:val="0"/>
                <w:sz w:val="16"/>
              </w:rPr>
              <w:t>80</w:t>
            </w:r>
          </w:p>
        </w:tc>
        <w:tc>
          <w:tcPr>
            <w:tcW w:type="dxa" w:w="1134"/>
          </w:tcPr>
          <w:p>
            <w:pPr>
              <w:spacing w:line="240" w:lineRule="auto" w:after="0"/>
            </w:pPr>
            <w:r/>
            <w:r>
              <w:rPr>
                <w:rFonts w:ascii="Times New Roman" w:hAnsi="Times New Roman"/>
                <w:b w:val="0"/>
                <w:sz w:val="16"/>
              </w:rPr>
              <w:t>3.67</w:t>
            </w:r>
          </w:p>
        </w:tc>
        <w:tc>
          <w:tcPr>
            <w:tcW w:type="dxa" w:w="1134"/>
          </w:tcPr>
          <w:p>
            <w:pPr>
              <w:spacing w:line="240" w:lineRule="auto" w:after="0"/>
            </w:pPr>
            <w:r/>
            <w:r>
              <w:rPr>
                <w:rFonts w:ascii="Times New Roman" w:hAnsi="Times New Roman"/>
                <w:b w:val="0"/>
                <w:sz w:val="16"/>
              </w:rPr>
              <w:t>4.92</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Target CP+ (k labelled)</w:t>
            </w:r>
          </w:p>
        </w:tc>
        <w:tc>
          <w:tcPr>
            <w:tcW w:type="dxa" w:w="1134"/>
          </w:tcPr>
          <w:p>
            <w:pPr>
              <w:spacing w:line="240" w:lineRule="auto" w:after="0"/>
            </w:pPr>
            <w:r/>
            <w:r>
              <w:rPr>
                <w:rFonts w:ascii="Times New Roman" w:hAnsi="Times New Roman"/>
                <w:b w:val="0"/>
                <w:sz w:val="16"/>
              </w:rPr>
              <w:t>0.926</w:t>
            </w:r>
          </w:p>
        </w:tc>
        <w:tc>
          <w:tcPr>
            <w:tcW w:type="dxa" w:w="1134"/>
          </w:tcPr>
          <w:p>
            <w:pPr>
              <w:spacing w:line="240" w:lineRule="auto" w:after="0"/>
            </w:pPr>
            <w:r/>
            <w:r>
              <w:rPr>
                <w:rFonts w:ascii="Times New Roman" w:hAnsi="Times New Roman"/>
                <w:b w:val="0"/>
                <w:sz w:val="16"/>
              </w:rPr>
              <w:t>0.910</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4.26</w:t>
            </w:r>
          </w:p>
        </w:tc>
        <w:tc>
          <w:tcPr>
            <w:tcW w:type="dxa" w:w="1134"/>
          </w:tcPr>
          <w:p>
            <w:pPr>
              <w:spacing w:line="240" w:lineRule="auto" w:after="0"/>
            </w:pPr>
            <w:r/>
            <w:r>
              <w:rPr>
                <w:rFonts w:ascii="Times New Roman" w:hAnsi="Times New Roman"/>
                <w:b w:val="0"/>
                <w:sz w:val="16"/>
              </w:rPr>
              <w:t>4.97</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Target t-interval (k labelled)</w:t>
            </w:r>
          </w:p>
        </w:tc>
        <w:tc>
          <w:tcPr>
            <w:tcW w:type="dxa" w:w="1134"/>
          </w:tcPr>
          <w:p>
            <w:pPr>
              <w:spacing w:line="240" w:lineRule="auto" w:after="0"/>
            </w:pPr>
            <w:r/>
            <w:r>
              <w:rPr>
                <w:rFonts w:ascii="Times New Roman" w:hAnsi="Times New Roman"/>
                <w:b w:val="0"/>
                <w:sz w:val="16"/>
              </w:rPr>
              <w:t>0.892</w:t>
            </w:r>
          </w:p>
        </w:tc>
        <w:tc>
          <w:tcPr>
            <w:tcW w:type="dxa" w:w="1134"/>
          </w:tcPr>
          <w:p>
            <w:pPr>
              <w:spacing w:line="240" w:lineRule="auto" w:after="0"/>
            </w:pPr>
            <w:r/>
            <w:r>
              <w:rPr>
                <w:rFonts w:ascii="Times New Roman" w:hAnsi="Times New Roman"/>
                <w:b w:val="0"/>
                <w:sz w:val="16"/>
              </w:rPr>
              <w:t>0.849</w:t>
            </w:r>
          </w:p>
        </w:tc>
        <w:tc>
          <w:tcPr>
            <w:tcW w:type="dxa" w:w="1134"/>
          </w:tcPr>
          <w:p>
            <w:pPr>
              <w:spacing w:line="240" w:lineRule="auto" w:after="0"/>
            </w:pPr>
            <w:r/>
            <w:r>
              <w:rPr>
                <w:rFonts w:ascii="Times New Roman" w:hAnsi="Times New Roman"/>
                <w:b w:val="0"/>
                <w:sz w:val="16"/>
              </w:rPr>
              <w:t>80</w:t>
            </w:r>
          </w:p>
        </w:tc>
        <w:tc>
          <w:tcPr>
            <w:tcW w:type="dxa" w:w="1134"/>
          </w:tcPr>
          <w:p>
            <w:pPr>
              <w:spacing w:line="240" w:lineRule="auto" w:after="0"/>
            </w:pPr>
            <w:r/>
            <w:r>
              <w:rPr>
                <w:rFonts w:ascii="Times New Roman" w:hAnsi="Times New Roman"/>
                <w:b w:val="0"/>
                <w:sz w:val="16"/>
              </w:rPr>
              <w:t>3.52</w:t>
            </w:r>
          </w:p>
        </w:tc>
        <w:tc>
          <w:tcPr>
            <w:tcW w:type="dxa" w:w="1134"/>
          </w:tcPr>
          <w:p>
            <w:pPr>
              <w:spacing w:line="240" w:lineRule="auto" w:after="0"/>
            </w:pPr>
            <w:r/>
            <w:r>
              <w:rPr>
                <w:rFonts w:ascii="Times New Roman" w:hAnsi="Times New Roman"/>
                <w:b w:val="0"/>
                <w:sz w:val="16"/>
              </w:rPr>
              <w:t>4.81</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Pooled CP (k labelled)</w:t>
            </w:r>
          </w:p>
        </w:tc>
        <w:tc>
          <w:tcPr>
            <w:tcW w:type="dxa" w:w="1134"/>
          </w:tcPr>
          <w:p>
            <w:pPr>
              <w:spacing w:line="240" w:lineRule="auto" w:after="0"/>
            </w:pPr>
            <w:r/>
            <w:r>
              <w:rPr>
                <w:rFonts w:ascii="Times New Roman" w:hAnsi="Times New Roman"/>
                <w:b w:val="0"/>
                <w:sz w:val="16"/>
              </w:rPr>
              <w:t>0.706</w:t>
            </w:r>
          </w:p>
        </w:tc>
        <w:tc>
          <w:tcPr>
            <w:tcW w:type="dxa" w:w="1134"/>
          </w:tcPr>
          <w:p>
            <w:pPr>
              <w:spacing w:line="240" w:lineRule="auto" w:after="0"/>
            </w:pPr>
            <w:r/>
            <w:r>
              <w:rPr>
                <w:rFonts w:ascii="Times New Roman" w:hAnsi="Times New Roman"/>
                <w:b w:val="0"/>
                <w:sz w:val="16"/>
              </w:rPr>
              <w:t>0.506</w:t>
            </w:r>
          </w:p>
        </w:tc>
        <w:tc>
          <w:tcPr>
            <w:tcW w:type="dxa" w:w="1134"/>
          </w:tcPr>
          <w:p>
            <w:pPr>
              <w:spacing w:line="240" w:lineRule="auto" w:after="0"/>
            </w:pPr>
            <w:r/>
            <w:r>
              <w:rPr>
                <w:rFonts w:ascii="Times New Roman" w:hAnsi="Times New Roman"/>
                <w:b w:val="0"/>
                <w:sz w:val="16"/>
              </w:rPr>
              <w:t>3</w:t>
            </w:r>
          </w:p>
        </w:tc>
        <w:tc>
          <w:tcPr>
            <w:tcW w:type="dxa" w:w="1134"/>
          </w:tcPr>
          <w:p>
            <w:pPr>
              <w:spacing w:line="240" w:lineRule="auto" w:after="0"/>
            </w:pPr>
            <w:r/>
            <w:r>
              <w:rPr>
                <w:rFonts w:ascii="Times New Roman" w:hAnsi="Times New Roman"/>
                <w:b w:val="0"/>
                <w:sz w:val="16"/>
              </w:rPr>
              <w:t>1.78</w:t>
            </w:r>
          </w:p>
        </w:tc>
        <w:tc>
          <w:tcPr>
            <w:tcW w:type="dxa" w:w="1134"/>
          </w:tcPr>
          <w:p>
            <w:pPr>
              <w:spacing w:line="240" w:lineRule="auto" w:after="0"/>
            </w:pPr>
            <w:r/>
            <w:r>
              <w:rPr>
                <w:rFonts w:ascii="Times New Roman" w:hAnsi="Times New Roman"/>
                <w:b w:val="0"/>
                <w:sz w:val="16"/>
              </w:rPr>
              <w:t>5.04</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Naive CP (primary residuals)</w:t>
            </w:r>
          </w:p>
        </w:tc>
        <w:tc>
          <w:tcPr>
            <w:tcW w:type="dxa" w:w="1134"/>
          </w:tcPr>
          <w:p>
            <w:pPr>
              <w:spacing w:line="240" w:lineRule="auto" w:after="0"/>
            </w:pPr>
            <w:r/>
            <w:r>
              <w:rPr>
                <w:rFonts w:ascii="Times New Roman" w:hAnsi="Times New Roman"/>
                <w:b w:val="0"/>
                <w:sz w:val="16"/>
              </w:rPr>
              <w:t>0.483</w:t>
            </w:r>
          </w:p>
        </w:tc>
        <w:tc>
          <w:tcPr>
            <w:tcW w:type="dxa" w:w="1134"/>
          </w:tcPr>
          <w:p>
            <w:pPr>
              <w:spacing w:line="240" w:lineRule="auto" w:after="0"/>
            </w:pPr>
            <w:r/>
            <w:r>
              <w:rPr>
                <w:rFonts w:ascii="Times New Roman" w:hAnsi="Times New Roman"/>
                <w:b w:val="0"/>
                <w:sz w:val="16"/>
              </w:rPr>
              <w:t>0.044</w:t>
            </w:r>
          </w:p>
        </w:tc>
        <w:tc>
          <w:tcPr>
            <w:tcW w:type="dxa" w:w="1134"/>
          </w:tcPr>
          <w:p>
            <w:pPr>
              <w:spacing w:line="240" w:lineRule="auto" w:after="0"/>
            </w:pPr>
            <w:r/>
            <w:r>
              <w:rPr>
                <w:rFonts w:ascii="Times New Roman" w:hAnsi="Times New Roman"/>
                <w:b w:val="0"/>
                <w:sz w:val="16"/>
              </w:rPr>
              <w:t>0</w:t>
            </w:r>
          </w:p>
        </w:tc>
        <w:tc>
          <w:tcPr>
            <w:tcW w:type="dxa" w:w="1134"/>
          </w:tcPr>
          <w:p>
            <w:pPr>
              <w:spacing w:line="240" w:lineRule="auto" w:after="0"/>
            </w:pPr>
            <w:r/>
            <w:r>
              <w:rPr>
                <w:rFonts w:ascii="Times New Roman" w:hAnsi="Times New Roman"/>
                <w:b w:val="0"/>
                <w:sz w:val="16"/>
              </w:rPr>
              <w:t>1.36</w:t>
            </w:r>
          </w:p>
        </w:tc>
        <w:tc>
          <w:tcPr>
            <w:tcW w:type="dxa" w:w="1134"/>
          </w:tcPr>
          <w:p>
            <w:pPr>
              <w:spacing w:line="240" w:lineRule="auto" w:after="0"/>
            </w:pPr>
            <w:r/>
            <w:r>
              <w:rPr>
                <w:rFonts w:ascii="Times New Roman" w:hAnsi="Times New Roman"/>
                <w:b w:val="0"/>
                <w:sz w:val="16"/>
              </w:rPr>
              <w:t>14.29</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Leverage PI (classical)</w:t>
            </w:r>
          </w:p>
        </w:tc>
        <w:tc>
          <w:tcPr>
            <w:tcW w:type="dxa" w:w="1134"/>
          </w:tcPr>
          <w:p>
            <w:pPr>
              <w:spacing w:line="240" w:lineRule="auto" w:after="0"/>
            </w:pPr>
            <w:r/>
            <w:r>
              <w:rPr>
                <w:rFonts w:ascii="Times New Roman" w:hAnsi="Times New Roman"/>
                <w:b w:val="0"/>
                <w:sz w:val="16"/>
              </w:rPr>
              <w:t>0.574</w:t>
            </w:r>
          </w:p>
        </w:tc>
        <w:tc>
          <w:tcPr>
            <w:tcW w:type="dxa" w:w="1134"/>
          </w:tcPr>
          <w:p>
            <w:pPr>
              <w:spacing w:line="240" w:lineRule="auto" w:after="0"/>
            </w:pPr>
            <w:r/>
            <w:r>
              <w:rPr>
                <w:rFonts w:ascii="Times New Roman" w:hAnsi="Times New Roman"/>
                <w:b w:val="0"/>
                <w:sz w:val="16"/>
              </w:rPr>
              <w:t>0.085</w:t>
            </w:r>
          </w:p>
        </w:tc>
        <w:tc>
          <w:tcPr>
            <w:tcW w:type="dxa" w:w="1134"/>
          </w:tcPr>
          <w:p>
            <w:pPr>
              <w:spacing w:line="240" w:lineRule="auto" w:after="0"/>
            </w:pPr>
            <w:r/>
            <w:r>
              <w:rPr>
                <w:rFonts w:ascii="Times New Roman" w:hAnsi="Times New Roman"/>
                <w:b w:val="0"/>
                <w:sz w:val="16"/>
              </w:rPr>
              <w:t>0</w:t>
            </w:r>
          </w:p>
        </w:tc>
        <w:tc>
          <w:tcPr>
            <w:tcW w:type="dxa" w:w="1134"/>
          </w:tcPr>
          <w:p>
            <w:pPr>
              <w:spacing w:line="240" w:lineRule="auto" w:after="0"/>
            </w:pPr>
            <w:r/>
            <w:r>
              <w:rPr>
                <w:rFonts w:ascii="Times New Roman" w:hAnsi="Times New Roman"/>
                <w:b w:val="0"/>
                <w:sz w:val="16"/>
              </w:rPr>
              <w:t>2.18</w:t>
            </w:r>
          </w:p>
        </w:tc>
        <w:tc>
          <w:tcPr>
            <w:tcW w:type="dxa" w:w="1134"/>
          </w:tcPr>
          <w:p>
            <w:pPr>
              <w:spacing w:line="240" w:lineRule="auto" w:after="0"/>
            </w:pPr>
            <w:r/>
            <w:r>
              <w:rPr>
                <w:rFonts w:ascii="Times New Roman" w:hAnsi="Times New Roman"/>
                <w:b w:val="0"/>
                <w:sz w:val="16"/>
              </w:rPr>
              <w:t>10.59</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Weighted CP (covariate shift)</w:t>
            </w:r>
          </w:p>
        </w:tc>
        <w:tc>
          <w:tcPr>
            <w:tcW w:type="dxa" w:w="1134"/>
          </w:tcPr>
          <w:p>
            <w:pPr>
              <w:spacing w:line="240" w:lineRule="auto" w:after="0"/>
            </w:pPr>
            <w:r/>
            <w:r>
              <w:rPr>
                <w:rFonts w:ascii="Times New Roman" w:hAnsi="Times New Roman"/>
                <w:b w:val="0"/>
                <w:sz w:val="16"/>
              </w:rPr>
              <w:t>0.612</w:t>
            </w:r>
          </w:p>
        </w:tc>
        <w:tc>
          <w:tcPr>
            <w:tcW w:type="dxa" w:w="1134"/>
          </w:tcPr>
          <w:p>
            <w:pPr>
              <w:spacing w:line="240" w:lineRule="auto" w:after="0"/>
            </w:pPr>
            <w:r/>
            <w:r>
              <w:rPr>
                <w:rFonts w:ascii="Times New Roman" w:hAnsi="Times New Roman"/>
                <w:b w:val="0"/>
                <w:sz w:val="16"/>
              </w:rPr>
              <w:t>0.361</w:t>
            </w:r>
          </w:p>
        </w:tc>
        <w:tc>
          <w:tcPr>
            <w:tcW w:type="dxa" w:w="1134"/>
          </w:tcPr>
          <w:p>
            <w:pPr>
              <w:spacing w:line="240" w:lineRule="auto" w:after="0"/>
            </w:pPr>
            <w:r/>
            <w:r>
              <w:rPr>
                <w:rFonts w:ascii="Times New Roman" w:hAnsi="Times New Roman"/>
                <w:b w:val="0"/>
                <w:sz w:val="16"/>
              </w:rPr>
              <w:t>0</w:t>
            </w:r>
          </w:p>
        </w:tc>
        <w:tc>
          <w:tcPr>
            <w:tcW w:type="dxa" w:w="1134"/>
          </w:tcPr>
          <w:p>
            <w:pPr>
              <w:spacing w:line="240" w:lineRule="auto" w:after="0"/>
            </w:pPr>
            <w:r/>
            <w:r>
              <w:rPr>
                <w:rFonts w:ascii="Times New Roman" w:hAnsi="Times New Roman"/>
                <w:b w:val="0"/>
                <w:sz w:val="16"/>
              </w:rPr>
              <w:t>∞</w:t>
            </w:r>
          </w:p>
        </w:tc>
        <w:tc>
          <w:tcPr>
            <w:tcW w:type="dxa" w:w="1134"/>
          </w:tcPr>
          <w:p>
            <w:pPr>
              <w:spacing w:line="240" w:lineRule="auto" w:after="0"/>
            </w:pPr>
            <w:r/>
            <w:r>
              <w:rPr>
                <w:rFonts w:ascii="Times New Roman" w:hAnsi="Times New Roman"/>
                <w:b w:val="0"/>
                <w:sz w:val="16"/>
              </w:rPr>
              <w:t>∞</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Gaussian TD (parametric)</w:t>
            </w:r>
          </w:p>
        </w:tc>
        <w:tc>
          <w:tcPr>
            <w:tcW w:type="dxa" w:w="1134"/>
          </w:tcPr>
          <w:p>
            <w:pPr>
              <w:spacing w:line="240" w:lineRule="auto" w:after="0"/>
            </w:pPr>
            <w:r/>
            <w:r>
              <w:rPr>
                <w:rFonts w:ascii="Times New Roman" w:hAnsi="Times New Roman"/>
                <w:b w:val="0"/>
                <w:sz w:val="16"/>
              </w:rPr>
              <w:t>0.901</w:t>
            </w:r>
          </w:p>
        </w:tc>
        <w:tc>
          <w:tcPr>
            <w:tcW w:type="dxa" w:w="1134"/>
          </w:tcPr>
          <w:p>
            <w:pPr>
              <w:spacing w:line="240" w:lineRule="auto" w:after="0"/>
            </w:pPr>
            <w:r/>
            <w:r>
              <w:rPr>
                <w:rFonts w:ascii="Times New Roman" w:hAnsi="Times New Roman"/>
                <w:b w:val="0"/>
                <w:sz w:val="16"/>
              </w:rPr>
              <w:t>0.881</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5.31</w:t>
            </w:r>
          </w:p>
        </w:tc>
        <w:tc>
          <w:tcPr>
            <w:tcW w:type="dxa" w:w="1134"/>
          </w:tcPr>
          <w:p>
            <w:pPr>
              <w:spacing w:line="240" w:lineRule="auto" w:after="0"/>
            </w:pPr>
            <w:r/>
            <w:r>
              <w:rPr>
                <w:rFonts w:ascii="Times New Roman" w:hAnsi="Times New Roman"/>
                <w:b w:val="0"/>
                <w:sz w:val="16"/>
              </w:rPr>
              <w:t>7.65</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TD-CP signed (pre-specified)</w:t>
            </w:r>
          </w:p>
        </w:tc>
        <w:tc>
          <w:tcPr>
            <w:tcW w:type="dxa" w:w="1134"/>
          </w:tcPr>
          <w:p>
            <w:pPr>
              <w:spacing w:line="240" w:lineRule="auto" w:after="0"/>
            </w:pPr>
            <w:r/>
            <w:r>
              <w:rPr>
                <w:rFonts w:ascii="Times New Roman" w:hAnsi="Times New Roman"/>
                <w:b w:val="0"/>
                <w:sz w:val="16"/>
              </w:rPr>
              <w:t>0.895</w:t>
            </w:r>
          </w:p>
        </w:tc>
        <w:tc>
          <w:tcPr>
            <w:tcW w:type="dxa" w:w="1134"/>
          </w:tcPr>
          <w:p>
            <w:pPr>
              <w:spacing w:line="240" w:lineRule="auto" w:after="0"/>
            </w:pPr>
            <w:r/>
            <w:r>
              <w:rPr>
                <w:rFonts w:ascii="Times New Roman" w:hAnsi="Times New Roman"/>
                <w:b w:val="0"/>
                <w:sz w:val="16"/>
              </w:rPr>
              <w:t>0.855</w:t>
            </w:r>
          </w:p>
        </w:tc>
        <w:tc>
          <w:tcPr>
            <w:tcW w:type="dxa" w:w="1134"/>
          </w:tcPr>
          <w:p>
            <w:pPr>
              <w:spacing w:line="240" w:lineRule="auto" w:after="0"/>
            </w:pPr>
            <w:r/>
            <w:r>
              <w:rPr>
                <w:rFonts w:ascii="Times New Roman" w:hAnsi="Times New Roman"/>
                <w:b w:val="0"/>
                <w:sz w:val="16"/>
              </w:rPr>
              <w:t>77</w:t>
            </w:r>
          </w:p>
        </w:tc>
        <w:tc>
          <w:tcPr>
            <w:tcW w:type="dxa" w:w="1134"/>
          </w:tcPr>
          <w:p>
            <w:pPr>
              <w:spacing w:line="240" w:lineRule="auto" w:after="0"/>
            </w:pPr>
            <w:r/>
            <w:r>
              <w:rPr>
                <w:rFonts w:ascii="Times New Roman" w:hAnsi="Times New Roman"/>
                <w:b w:val="0"/>
                <w:sz w:val="16"/>
              </w:rPr>
              <w:t>5.47</w:t>
            </w:r>
          </w:p>
        </w:tc>
        <w:tc>
          <w:tcPr>
            <w:tcW w:type="dxa" w:w="1134"/>
          </w:tcPr>
          <w:p>
            <w:pPr>
              <w:spacing w:line="240" w:lineRule="auto" w:after="0"/>
            </w:pPr>
            <w:r/>
            <w:r>
              <w:rPr>
                <w:rFonts w:ascii="Times New Roman" w:hAnsi="Times New Roman"/>
                <w:b w:val="0"/>
                <w:sz w:val="16"/>
              </w:rPr>
              <w:t>8.14</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TD-CP absolute scores</w:t>
            </w:r>
          </w:p>
        </w:tc>
        <w:tc>
          <w:tcPr>
            <w:tcW w:type="dxa" w:w="1134"/>
          </w:tcPr>
          <w:p>
            <w:pPr>
              <w:spacing w:line="240" w:lineRule="auto" w:after="0"/>
            </w:pPr>
            <w:r/>
            <w:r>
              <w:rPr>
                <w:rFonts w:ascii="Times New Roman" w:hAnsi="Times New Roman"/>
                <w:b w:val="0"/>
                <w:sz w:val="16"/>
              </w:rPr>
              <w:t>0.917</w:t>
            </w:r>
          </w:p>
        </w:tc>
        <w:tc>
          <w:tcPr>
            <w:tcW w:type="dxa" w:w="1134"/>
          </w:tcPr>
          <w:p>
            <w:pPr>
              <w:spacing w:line="240" w:lineRule="auto" w:after="0"/>
            </w:pPr>
            <w:r/>
            <w:r>
              <w:rPr>
                <w:rFonts w:ascii="Times New Roman" w:hAnsi="Times New Roman"/>
                <w:b w:val="0"/>
                <w:sz w:val="16"/>
              </w:rPr>
              <w:t>0.897</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6.36</w:t>
            </w:r>
          </w:p>
        </w:tc>
        <w:tc>
          <w:tcPr>
            <w:tcW w:type="dxa" w:w="1134"/>
          </w:tcPr>
          <w:p>
            <w:pPr>
              <w:spacing w:line="240" w:lineRule="auto" w:after="0"/>
            </w:pPr>
            <w:r/>
            <w:r>
              <w:rPr>
                <w:rFonts w:ascii="Times New Roman" w:hAnsi="Times New Roman"/>
                <w:b w:val="0"/>
                <w:sz w:val="16"/>
              </w:rPr>
              <w:t>8.01</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TD-CP+ (jackknife+)</w:t>
            </w:r>
          </w:p>
        </w:tc>
        <w:tc>
          <w:tcPr>
            <w:tcW w:type="dxa" w:w="1134"/>
          </w:tcPr>
          <w:p>
            <w:pPr>
              <w:spacing w:line="240" w:lineRule="auto" w:after="0"/>
            </w:pPr>
            <w:r/>
            <w:r>
              <w:rPr>
                <w:rFonts w:ascii="Times New Roman" w:hAnsi="Times New Roman"/>
                <w:b w:val="0"/>
                <w:sz w:val="16"/>
              </w:rPr>
              <w:t>0.939</w:t>
            </w:r>
          </w:p>
        </w:tc>
        <w:tc>
          <w:tcPr>
            <w:tcW w:type="dxa" w:w="1134"/>
          </w:tcPr>
          <w:p>
            <w:pPr>
              <w:spacing w:line="240" w:lineRule="auto" w:after="0"/>
            </w:pPr>
            <w:r/>
            <w:r>
              <w:rPr>
                <w:rFonts w:ascii="Times New Roman" w:hAnsi="Times New Roman"/>
                <w:b w:val="0"/>
                <w:sz w:val="16"/>
              </w:rPr>
              <w:t>0.916</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7.07</w:t>
            </w:r>
          </w:p>
        </w:tc>
        <w:tc>
          <w:tcPr>
            <w:tcW w:type="dxa" w:w="1134"/>
          </w:tcPr>
          <w:p>
            <w:pPr>
              <w:spacing w:line="240" w:lineRule="auto" w:after="0"/>
            </w:pPr>
            <w:r/>
            <w:r>
              <w:rPr>
                <w:rFonts w:ascii="Times New Roman" w:hAnsi="Times New Roman"/>
                <w:b w:val="0"/>
                <w:sz w:val="16"/>
              </w:rPr>
              <w:t>7.97</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Target CP (k labelled)</w:t>
            </w:r>
          </w:p>
        </w:tc>
        <w:tc>
          <w:tcPr>
            <w:tcW w:type="dxa" w:w="1134"/>
          </w:tcPr>
          <w:p>
            <w:pPr>
              <w:spacing w:line="240" w:lineRule="auto" w:after="0"/>
            </w:pPr>
            <w:r/>
            <w:r>
              <w:rPr>
                <w:rFonts w:ascii="Times New Roman" w:hAnsi="Times New Roman"/>
                <w:b w:val="0"/>
                <w:sz w:val="16"/>
              </w:rPr>
              <w:t>0.921</w:t>
            </w:r>
          </w:p>
        </w:tc>
        <w:tc>
          <w:tcPr>
            <w:tcW w:type="dxa" w:w="1134"/>
          </w:tcPr>
          <w:p>
            <w:pPr>
              <w:spacing w:line="240" w:lineRule="auto" w:after="0"/>
            </w:pPr>
            <w:r/>
            <w:r>
              <w:rPr>
                <w:rFonts w:ascii="Times New Roman" w:hAnsi="Times New Roman"/>
                <w:b w:val="0"/>
                <w:sz w:val="16"/>
              </w:rPr>
              <w:t>0.904</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6.63</w:t>
            </w:r>
          </w:p>
        </w:tc>
        <w:tc>
          <w:tcPr>
            <w:tcW w:type="dxa" w:w="1134"/>
          </w:tcPr>
          <w:p>
            <w:pPr>
              <w:spacing w:line="240" w:lineRule="auto" w:after="0"/>
            </w:pPr>
            <w:r/>
            <w:r>
              <w:rPr>
                <w:rFonts w:ascii="Times New Roman" w:hAnsi="Times New Roman"/>
                <w:b w:val="0"/>
                <w:sz w:val="16"/>
              </w:rPr>
              <w:t>8.36</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Target CP+ (k labelled)</w:t>
            </w:r>
          </w:p>
        </w:tc>
        <w:tc>
          <w:tcPr>
            <w:tcW w:type="dxa" w:w="1134"/>
          </w:tcPr>
          <w:p>
            <w:pPr>
              <w:spacing w:line="240" w:lineRule="auto" w:after="0"/>
            </w:pPr>
            <w:r/>
            <w:r>
              <w:rPr>
                <w:rFonts w:ascii="Times New Roman" w:hAnsi="Times New Roman"/>
                <w:b w:val="0"/>
                <w:sz w:val="16"/>
              </w:rPr>
              <w:t>0.942</w:t>
            </w:r>
          </w:p>
        </w:tc>
        <w:tc>
          <w:tcPr>
            <w:tcW w:type="dxa" w:w="1134"/>
          </w:tcPr>
          <w:p>
            <w:pPr>
              <w:spacing w:line="240" w:lineRule="auto" w:after="0"/>
            </w:pPr>
            <w:r/>
            <w:r>
              <w:rPr>
                <w:rFonts w:ascii="Times New Roman" w:hAnsi="Times New Roman"/>
                <w:b w:val="0"/>
                <w:sz w:val="16"/>
              </w:rPr>
              <w:t>0.917</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7.29</w:t>
            </w:r>
          </w:p>
        </w:tc>
        <w:tc>
          <w:tcPr>
            <w:tcW w:type="dxa" w:w="1134"/>
          </w:tcPr>
          <w:p>
            <w:pPr>
              <w:spacing w:line="240" w:lineRule="auto" w:after="0"/>
            </w:pPr>
            <w:r/>
            <w:r>
              <w:rPr>
                <w:rFonts w:ascii="Times New Roman" w:hAnsi="Times New Roman"/>
                <w:b w:val="0"/>
                <w:sz w:val="16"/>
              </w:rPr>
              <w:t>8.29</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Target t-interval (k labelled)</w:t>
            </w:r>
          </w:p>
        </w:tc>
        <w:tc>
          <w:tcPr>
            <w:tcW w:type="dxa" w:w="1134"/>
          </w:tcPr>
          <w:p>
            <w:pPr>
              <w:spacing w:line="240" w:lineRule="auto" w:after="0"/>
            </w:pPr>
            <w:r/>
            <w:r>
              <w:rPr>
                <w:rFonts w:ascii="Times New Roman" w:hAnsi="Times New Roman"/>
                <w:b w:val="0"/>
                <w:sz w:val="16"/>
              </w:rPr>
              <w:t>0.919</w:t>
            </w:r>
          </w:p>
        </w:tc>
        <w:tc>
          <w:tcPr>
            <w:tcW w:type="dxa" w:w="1134"/>
          </w:tcPr>
          <w:p>
            <w:pPr>
              <w:spacing w:line="240" w:lineRule="auto" w:after="0"/>
            </w:pPr>
            <w:r/>
            <w:r>
              <w:rPr>
                <w:rFonts w:ascii="Times New Roman" w:hAnsi="Times New Roman"/>
                <w:b w:val="0"/>
                <w:sz w:val="16"/>
              </w:rPr>
              <w:t>0.904</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6.05</w:t>
            </w:r>
          </w:p>
        </w:tc>
        <w:tc>
          <w:tcPr>
            <w:tcW w:type="dxa" w:w="1134"/>
          </w:tcPr>
          <w:p>
            <w:pPr>
              <w:spacing w:line="240" w:lineRule="auto" w:after="0"/>
            </w:pPr>
            <w:r/>
            <w:r>
              <w:rPr>
                <w:rFonts w:ascii="Times New Roman" w:hAnsi="Times New Roman"/>
                <w:b w:val="0"/>
                <w:sz w:val="16"/>
              </w:rPr>
              <w:t>7.81</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Pooled CP (k labelled)</w:t>
            </w:r>
          </w:p>
        </w:tc>
        <w:tc>
          <w:tcPr>
            <w:tcW w:type="dxa" w:w="1134"/>
          </w:tcPr>
          <w:p>
            <w:pPr>
              <w:spacing w:line="240" w:lineRule="auto" w:after="0"/>
            </w:pPr>
            <w:r/>
            <w:r>
              <w:rPr>
                <w:rFonts w:ascii="Times New Roman" w:hAnsi="Times New Roman"/>
                <w:b w:val="0"/>
                <w:sz w:val="16"/>
              </w:rPr>
              <w:t>0.653</w:t>
            </w:r>
          </w:p>
        </w:tc>
        <w:tc>
          <w:tcPr>
            <w:tcW w:type="dxa" w:w="1134"/>
          </w:tcPr>
          <w:p>
            <w:pPr>
              <w:spacing w:line="240" w:lineRule="auto" w:after="0"/>
            </w:pPr>
            <w:r/>
            <w:r>
              <w:rPr>
                <w:rFonts w:ascii="Times New Roman" w:hAnsi="Times New Roman"/>
                <w:b w:val="0"/>
                <w:sz w:val="16"/>
              </w:rPr>
              <w:t>0.499</w:t>
            </w:r>
          </w:p>
        </w:tc>
        <w:tc>
          <w:tcPr>
            <w:tcW w:type="dxa" w:w="1134"/>
          </w:tcPr>
          <w:p>
            <w:pPr>
              <w:spacing w:line="240" w:lineRule="auto" w:after="0"/>
            </w:pPr>
            <w:r/>
            <w:r>
              <w:rPr>
                <w:rFonts w:ascii="Times New Roman" w:hAnsi="Times New Roman"/>
                <w:b w:val="0"/>
                <w:sz w:val="16"/>
              </w:rPr>
              <w:t>0</w:t>
            </w:r>
          </w:p>
        </w:tc>
        <w:tc>
          <w:tcPr>
            <w:tcW w:type="dxa" w:w="1134"/>
          </w:tcPr>
          <w:p>
            <w:pPr>
              <w:spacing w:line="240" w:lineRule="auto" w:after="0"/>
            </w:pPr>
            <w:r/>
            <w:r>
              <w:rPr>
                <w:rFonts w:ascii="Times New Roman" w:hAnsi="Times New Roman"/>
                <w:b w:val="0"/>
                <w:sz w:val="16"/>
              </w:rPr>
              <w:t>2.54</w:t>
            </w:r>
          </w:p>
        </w:tc>
        <w:tc>
          <w:tcPr>
            <w:tcW w:type="dxa" w:w="1134"/>
          </w:tcPr>
          <w:p>
            <w:pPr>
              <w:spacing w:line="240" w:lineRule="auto" w:after="0"/>
            </w:pPr>
            <w:r/>
            <w:r>
              <w:rPr>
                <w:rFonts w:ascii="Times New Roman" w:hAnsi="Times New Roman"/>
                <w:b w:val="0"/>
                <w:sz w:val="16"/>
              </w:rPr>
              <w:t>10.73</w:t>
            </w:r>
          </w:p>
        </w:tc>
      </w:tr>
    </w:tbl>
    <w:p>
      <w:pPr>
        <w:keepNext/>
        <w:jc w:val="center"/>
      </w:pPr>
      <w:r>
        <w:drawing>
          <wp:inline xmlns:a="http://schemas.openxmlformats.org/drawingml/2006/main" xmlns:pic="http://schemas.openxmlformats.org/drawingml/2006/picture">
            <wp:extent cx="5760000" cy="3740046"/>
            <wp:docPr id="10" name="Picture 10"/>
            <wp:cNvGraphicFramePr>
              <a:graphicFrameLocks noChangeAspect="1"/>
            </wp:cNvGraphicFramePr>
            <a:graphic>
              <a:graphicData uri="http://schemas.openxmlformats.org/drawingml/2006/picture">
                <pic:pic>
                  <pic:nvPicPr>
                    <pic:cNvPr id="0" name="fig3_main_results.png"/>
                    <pic:cNvPicPr/>
                  </pic:nvPicPr>
                  <pic:blipFill>
                    <a:blip r:embed="rId19"/>
                    <a:stretch>
                      <a:fillRect/>
                    </a:stretch>
                  </pic:blipFill>
                  <pic:spPr>
                    <a:xfrm>
                      <a:off x="0" y="0"/>
                      <a:ext cx="5760000" cy="3740046"/>
                    </a:xfrm>
                    <a:prstGeom prst="rect"/>
                  </pic:spPr>
                </pic:pic>
              </a:graphicData>
            </a:graphic>
          </wp:inline>
        </w:drawing>
      </w:r>
    </w:p>
    <w:p>
      <w:pPr>
        <w:spacing w:line="276" w:lineRule="auto"/>
        <w:jc w:val="both"/>
      </w:pPr>
      <w:r>
        <w:rPr>
          <w:rFonts w:ascii="Times New Roman" w:hAnsi="Times New Roman"/>
          <w:b/>
          <w:sz w:val="20"/>
        </w:rPr>
        <w:t>Fig. 3.</w:t>
      </w:r>
      <w:r>
        <w:rPr>
          <w:rFonts w:ascii="Times New Roman" w:hAnsi="Times New Roman"/>
          <w:b w:val="0"/>
          <w:sz w:val="20"/>
        </w:rPr>
        <w:t xml:space="preserve"> Coverage (top) and interval score (bottom, log scale) per scenario for PDS (left) and DS (right) at α = 0.10. Dashed line: nominal 0.90. Each point is one directed instrument pair × property scenario (mean of 100 splits).</w:t>
      </w:r>
    </w:p>
    <w:p>
      <w:pPr>
        <w:keepNext/>
        <w:spacing w:before="160"/>
      </w:pPr>
      <w:r>
        <w:rPr>
          <w:rFonts w:ascii="Times New Roman" w:hAnsi="Times New Roman"/>
          <w:b/>
          <w:sz w:val="24"/>
        </w:rPr>
        <w:t>4.3. Transfer-discrepancy intervals restore coverage without reference values</w:t>
      </w:r>
    </w:p>
    <w:p>
      <w:pPr>
        <w:jc w:val="both"/>
      </w:pPr>
      <w:r>
        <w:rPr>
          <w:rFonts w:ascii="Times New Roman" w:hAnsi="Times New Roman"/>
          <w:b w:val="0"/>
        </w:rPr>
        <w:t>Adding the cross-fitted transfer discrepancies brought the mean coverage of all TD-CP variants close to nominal (Table 2). The pre-specified signed TD-CP reached mean coverages of 0.895 (PDS) and 0.883 (DS) but was valid in only 77% and 60% of scenarios, missing the pre-specified criterion of 80%. The shortfall was concentrated on corn with DS, where even the target CP using reference values of all ten standards was valid in only 75% of scenarios. TD-CP+ was valid in every scenario for both transfer methods, with mean coverage 0.939 and 0.927: slightly conservative, as expected for jackknife+-type intervals. Its median normalised interval score (7.97 PDS, 4.62 DS) was lower than that of the labelled target CP+ (8.29, 4.97), which needs ten reference analyses on the secondary instrument, and close to that of the parametric Gaussian combination (7.65, 4.61). The Gaussian combination, however, was valid in only 47% of DS scenarios (minimum coverage 0.816), whereas TD-CP+ never fell below 0.899.</w:t>
      </w:r>
    </w:p>
    <w:p>
      <w:pPr>
        <w:jc w:val="both"/>
      </w:pPr>
      <w:r>
        <w:rPr>
          <w:rFonts w:ascii="Times New Roman" w:hAnsi="Times New Roman"/>
          <w:b w:val="0"/>
        </w:rPr>
        <w:t xml:space="preserve">Paired comparisons across the 60 scenarios (Table 3) confirmed that TD-CP+ had a smaller absolute coverage gap than naive CP (Holm-adjusted </w:t>
      </w:r>
      <w:r>
        <w:rPr>
          <w:rFonts w:ascii="Times New Roman" w:hAnsi="Times New Roman"/>
          <w:b w:val="0"/>
          <w:i/>
        </w:rPr>
        <w:t>p</w:t>
      </w:r>
      <w:r>
        <w:rPr>
          <w:rFonts w:ascii="Times New Roman" w:hAnsi="Times New Roman"/>
          <w:b w:val="0"/>
        </w:rPr>
        <w:t xml:space="preserve"> &lt; 0.001, rank-biserial </w:t>
      </w:r>
      <w:r>
        <w:rPr>
          <w:rFonts w:ascii="Times New Roman" w:hAnsi="Times New Roman"/>
          <w:b w:val="0"/>
          <w:i/>
        </w:rPr>
        <w:t>r</w:t>
      </w:r>
      <w:r>
        <w:rPr>
          <w:rFonts w:ascii="Times New Roman" w:hAnsi="Times New Roman"/>
          <w:b w:val="0"/>
        </w:rPr>
        <w:t xml:space="preserve"> = −1.00), the leverage interval (</w:t>
      </w:r>
      <w:r>
        <w:rPr>
          <w:rFonts w:ascii="Times New Roman" w:hAnsi="Times New Roman"/>
          <w:b w:val="0"/>
          <w:i/>
        </w:rPr>
        <w:t>p</w:t>
      </w:r>
      <w:r>
        <w:rPr>
          <w:rFonts w:ascii="Times New Roman" w:hAnsi="Times New Roman"/>
          <w:b w:val="0"/>
        </w:rPr>
        <w:t xml:space="preserve"> &lt; 0.001) and weighted CP (</w:t>
      </w:r>
      <w:r>
        <w:rPr>
          <w:rFonts w:ascii="Times New Roman" w:hAnsi="Times New Roman"/>
          <w:b w:val="0"/>
          <w:i/>
        </w:rPr>
        <w:t>p</w:t>
      </w:r>
      <w:r>
        <w:rPr>
          <w:rFonts w:ascii="Times New Roman" w:hAnsi="Times New Roman"/>
          <w:b w:val="0"/>
        </w:rPr>
        <w:t xml:space="preserve"> &lt; 0.001), and a lower interval score than naive CP (</w:t>
      </w:r>
      <w:r>
        <w:rPr>
          <w:rFonts w:ascii="Times New Roman" w:hAnsi="Times New Roman"/>
          <w:b w:val="0"/>
          <w:i/>
        </w:rPr>
        <w:t>p</w:t>
      </w:r>
      <w:r>
        <w:rPr>
          <w:rFonts w:ascii="Times New Roman" w:hAnsi="Times New Roman"/>
          <w:b w:val="0"/>
        </w:rPr>
        <w:t xml:space="preserve"> &lt; 0.001, </w:t>
      </w:r>
      <w:r>
        <w:rPr>
          <w:rFonts w:ascii="Times New Roman" w:hAnsi="Times New Roman"/>
          <w:b w:val="0"/>
          <w:i/>
        </w:rPr>
        <w:t>r</w:t>
      </w:r>
      <w:r>
        <w:rPr>
          <w:rFonts w:ascii="Times New Roman" w:hAnsi="Times New Roman"/>
          <w:b w:val="0"/>
        </w:rPr>
        <w:t xml:space="preserve"> = −1.00) and than the labelled target CP+ (</w:t>
      </w:r>
      <w:r>
        <w:rPr>
          <w:rFonts w:ascii="Times New Roman" w:hAnsi="Times New Roman"/>
          <w:b w:val="0"/>
          <w:i/>
        </w:rPr>
        <w:t>p</w:t>
      </w:r>
      <w:r>
        <w:rPr>
          <w:rFonts w:ascii="Times New Roman" w:hAnsi="Times New Roman"/>
          <w:b w:val="0"/>
        </w:rPr>
        <w:t xml:space="preserve"> &lt; 0.001, </w:t>
      </w:r>
      <w:r>
        <w:rPr>
          <w:rFonts w:ascii="Times New Roman" w:hAnsi="Times New Roman"/>
          <w:b w:val="0"/>
          <w:i/>
        </w:rPr>
        <w:t>r</w:t>
      </w:r>
      <w:r>
        <w:rPr>
          <w:rFonts w:ascii="Times New Roman" w:hAnsi="Times New Roman"/>
          <w:b w:val="0"/>
        </w:rPr>
        <w:t xml:space="preserve"> = −1.00). The Gaussian combination, in contrast, tended to have a slightly </w:t>
      </w:r>
      <w:r>
        <w:rPr>
          <w:rFonts w:ascii="Times New Roman" w:hAnsi="Times New Roman"/>
          <w:b w:val="0"/>
          <w:i/>
        </w:rPr>
        <w:t>lower</w:t>
      </w:r>
      <w:r>
        <w:rPr>
          <w:rFonts w:ascii="Times New Roman" w:hAnsi="Times New Roman"/>
          <w:b w:val="0"/>
        </w:rPr>
        <w:t xml:space="preserve"> interval score than TD-CP+ (median paired difference 0.094 SD units, bootstrap 95% CI [0.024, 0.148], </w:t>
      </w:r>
      <w:r>
        <w:rPr>
          <w:rFonts w:ascii="Times New Roman" w:hAnsi="Times New Roman"/>
          <w:b w:val="0"/>
          <w:i/>
        </w:rPr>
        <w:t>r</w:t>
      </w:r>
      <w:r>
        <w:rPr>
          <w:rFonts w:ascii="Times New Roman" w:hAnsi="Times New Roman"/>
          <w:b w:val="0"/>
        </w:rPr>
        <w:t xml:space="preserve"> = 0.39; unadjusted </w:t>
      </w:r>
      <w:r>
        <w:rPr>
          <w:rFonts w:ascii="Times New Roman" w:hAnsi="Times New Roman"/>
          <w:b w:val="0"/>
          <w:i/>
        </w:rPr>
        <w:t>p</w:t>
      </w:r>
      <w:r>
        <w:rPr>
          <w:rFonts w:ascii="Times New Roman" w:hAnsi="Times New Roman"/>
          <w:b w:val="0"/>
        </w:rPr>
        <w:t xml:space="preserve"> = 0.008, Holm-adjusted </w:t>
      </w:r>
      <w:r>
        <w:rPr>
          <w:rFonts w:ascii="Times New Roman" w:hAnsi="Times New Roman"/>
          <w:b w:val="0"/>
          <w:i/>
        </w:rPr>
        <w:t>p</w:t>
      </w:r>
      <w:r>
        <w:rPr>
          <w:rFonts w:ascii="Times New Roman" w:hAnsi="Times New Roman"/>
          <w:b w:val="0"/>
        </w:rPr>
        <w:t xml:space="preserve"> = 0.063); the advantage of TD-CP+ over it lies in validity under DS, not in efficiency. Note that the absolute coverage gap penalises over-coverage too, so the slightly conservative TD-CP+ is not favoured by this metric relative to methods centred on nominal coverage (e.g., </w:t>
      </w:r>
      <w:r>
        <w:rPr>
          <w:rFonts w:ascii="Times New Roman" w:hAnsi="Times New Roman"/>
          <w:b w:val="0"/>
          <w:i/>
        </w:rPr>
        <w:t>p</w:t>
      </w:r>
      <w:r>
        <w:rPr>
          <w:rFonts w:ascii="Times New Roman" w:hAnsi="Times New Roman"/>
          <w:b w:val="0"/>
        </w:rPr>
        <w:t xml:space="preserve"> &lt; 0.001 against the Gaussian combination, </w:t>
      </w:r>
      <w:r>
        <w:rPr>
          <w:rFonts w:ascii="Times New Roman" w:hAnsi="Times New Roman"/>
          <w:b w:val="0"/>
          <w:i/>
        </w:rPr>
        <w:t>r</w:t>
      </w:r>
      <w:r>
        <w:rPr>
          <w:rFonts w:ascii="Times New Roman" w:hAnsi="Times New Roman"/>
          <w:b w:val="0"/>
        </w:rPr>
        <w:t xml:space="preserve"> = 0.59).</w:t>
      </w:r>
    </w:p>
    <w:p>
      <w:pPr>
        <w:jc w:val="both"/>
      </w:pPr>
      <w:r>
        <w:rPr>
          <w:rFonts w:ascii="Times New Roman" w:hAnsi="Times New Roman"/>
          <w:b w:val="0"/>
        </w:rPr>
        <w:t xml:space="preserve">The most demanding comparator is the classical secondary-instrument validation interval: a bias-corrected </w:t>
      </w:r>
      <w:r>
        <w:rPr>
          <w:rFonts w:ascii="Times New Roman" w:hAnsi="Times New Roman"/>
          <w:b w:val="0"/>
          <w:i/>
        </w:rPr>
        <w:t>t</w:t>
      </w:r>
      <w:r>
        <w:rPr>
          <w:rFonts w:ascii="Times New Roman" w:hAnsi="Times New Roman"/>
          <w:b w:val="0"/>
        </w:rPr>
        <w:t>-interval built from the prediction errors of the ten standards after their reference values have been measured on the secondary instrument (M7; ASTM E1655-type practice [12]). It covered 0.919 (PDS) and 0.892 (DS) and was valid in 100% and 80% of scenarios, with median IS/SD 7.81 and 4.81. TD-CP+, which uses no reference values, had a slightly lower interval score in the paired comparison (</w:t>
      </w:r>
      <w:r>
        <w:rPr>
          <w:rFonts w:ascii="Times New Roman" w:hAnsi="Times New Roman"/>
          <w:b w:val="0"/>
          <w:i/>
        </w:rPr>
        <w:t>p</w:t>
      </w:r>
      <w:r>
        <w:rPr>
          <w:rFonts w:ascii="Times New Roman" w:hAnsi="Times New Roman"/>
          <w:b w:val="0"/>
        </w:rPr>
        <w:t xml:space="preserve"> = 0.044, </w:t>
      </w:r>
      <w:r>
        <w:rPr>
          <w:rFonts w:ascii="Times New Roman" w:hAnsi="Times New Roman"/>
          <w:b w:val="0"/>
          <w:i/>
        </w:rPr>
        <w:t>r</w:t>
      </w:r>
      <w:r>
        <w:rPr>
          <w:rFonts w:ascii="Times New Roman" w:hAnsi="Times New Roman"/>
          <w:b w:val="0"/>
        </w:rPr>
        <w:t xml:space="preserve"> = −0.42) and higher validity under DS, but a larger absolute coverage gap because it is more conservative (</w:t>
      </w:r>
      <w:r>
        <w:rPr>
          <w:rFonts w:ascii="Times New Roman" w:hAnsi="Times New Roman"/>
          <w:b w:val="0"/>
          <w:i/>
        </w:rPr>
        <w:t>p</w:t>
      </w:r>
      <w:r>
        <w:rPr>
          <w:rFonts w:ascii="Times New Roman" w:hAnsi="Times New Roman"/>
          <w:b w:val="0"/>
        </w:rPr>
        <w:t xml:space="preserve"> &lt; 0.001, </w:t>
      </w:r>
      <w:r>
        <w:rPr>
          <w:rFonts w:ascii="Times New Roman" w:hAnsi="Times New Roman"/>
          <w:b w:val="0"/>
          <w:i/>
        </w:rPr>
        <w:t>r</w:t>
      </w:r>
      <w:r>
        <w:rPr>
          <w:rFonts w:ascii="Times New Roman" w:hAnsi="Times New Roman"/>
          <w:b w:val="0"/>
        </w:rPr>
        <w:t xml:space="preserve"> = 0.77). In other words, discrepancies measured on standards without reference analyses gave intervals of practically the same quality as a ten-sample reference validation on the secondary instrument.</w:t>
      </w:r>
    </w:p>
    <w:p>
      <w:pPr>
        <w:jc w:val="both"/>
      </w:pPr>
      <w:r>
        <w:rPr>
          <w:rFonts w:ascii="Times New Roman" w:hAnsi="Times New Roman"/>
          <w:b w:val="0"/>
        </w:rPr>
        <w:t xml:space="preserve">Two caveats qualify these tests. First, scenarios are not independent: the 24 corn scenarios reuse the same 80 samples and the PDS and DS scenarios share splits, so the </w:t>
      </w:r>
      <w:r>
        <w:rPr>
          <w:rFonts w:ascii="Times New Roman" w:hAnsi="Times New Roman"/>
          <w:b w:val="0"/>
          <w:i/>
        </w:rPr>
        <w:t>p</w:t>
      </w:r>
      <w:r>
        <w:rPr>
          <w:rFonts w:ascii="Times New Roman" w:hAnsi="Times New Roman"/>
          <w:b w:val="0"/>
        </w:rPr>
        <w:t>-values are optimistic and the effect sizes and their consistency are more informative. Stratified by dataset and transfer method, TD-CP+ had a smaller absolute coverage gap than naive CP and weighted CP in at least 80% of the scenarios of every stratum (Table S5). Second, the 0.02 tolerance in the validity definition is a convention; with zero tolerance TD-CP+ was valid in 100% (PDS) and 97% (DS) of scenarios, versus 47% and 27% for the Gaussian combination (Table S6).</w:t>
      </w:r>
    </w:p>
    <w:p>
      <w:pPr>
        <w:jc w:val="both"/>
      </w:pPr>
      <w:r>
        <w:rPr>
          <w:rFonts w:ascii="Times New Roman" w:hAnsi="Times New Roman"/>
          <w:b w:val="0"/>
        </w:rPr>
        <w:t>Coverage averaged over splits is a marginal property; a laboratory deploys a single calibration and a single transfer. Split-level coverage (Table S4) shows how much an individual deployment can deviate. With only 25 test samples, binomial noise alone is substantial for corn: even the ideal in-domain conformal interval (naive CP on the primary spectra) fell below 0.80 coverage in 9% of corn splits. TD-CP+ was below 0.80 in 5% (PDS) and 10% (DS) of corn splits and 1% and 6% of tablet splits, whereas naive CP was below 0.80 in 82% and 82% of corn splits and 68% and 54% of tablet splits.</w:t>
      </w:r>
    </w:p>
    <w:p>
      <w:pPr>
        <w:keepNext/>
        <w:spacing w:line="276" w:lineRule="auto"/>
      </w:pPr>
      <w:r>
        <w:rPr>
          <w:rFonts w:ascii="Times New Roman" w:hAnsi="Times New Roman"/>
          <w:b/>
          <w:sz w:val="20"/>
        </w:rPr>
        <w:t>Table 3.</w:t>
      </w:r>
      <w:r>
        <w:rPr>
          <w:rFonts w:ascii="Times New Roman" w:hAnsi="Times New Roman"/>
          <w:b w:val="0"/>
          <w:sz w:val="20"/>
        </w:rPr>
        <w:t xml:space="preserve"> TD-CP+ versus each comparator at α = 0.10: medians over scenarios of the absolute coverage gap |coverage − 0.90| and of IS/SD, bootstrap 95% CI of the median paired difference (TD-CP+ − comparator), matched-pairs rank-biserial correlation r_rb (negative: TD-CP+ smaller) and two-sided Wilcoxon signed-rank p-values, Holm-adjusted over all 46 tests. Comparisons with the ablations and the pre-specified TD-CP: Table S7.</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E8E8E8"/>
          </w:tcPr>
          <w:p>
            <w:pPr>
              <w:spacing w:line="240" w:lineRule="auto" w:after="0"/>
            </w:pPr>
            <w:r/>
            <w:r>
              <w:rPr>
                <w:rFonts w:ascii="Times New Roman" w:hAnsi="Times New Roman"/>
                <w:b/>
                <w:sz w:val="16"/>
              </w:rPr>
              <w:t>Metric</w:t>
            </w:r>
          </w:p>
        </w:tc>
        <w:tc>
          <w:tcPr>
            <w:tcW w:type="dxa" w:w="1008"/>
            <w:shd w:val="clear" w:color="auto" w:fill="E8E8E8"/>
          </w:tcPr>
          <w:p>
            <w:pPr>
              <w:spacing w:line="240" w:lineRule="auto" w:after="0"/>
            </w:pPr>
            <w:r/>
            <w:r>
              <w:rPr>
                <w:rFonts w:ascii="Times New Roman" w:hAnsi="Times New Roman"/>
                <w:b/>
                <w:sz w:val="16"/>
              </w:rPr>
              <w:t>Comparator</w:t>
            </w:r>
          </w:p>
        </w:tc>
        <w:tc>
          <w:tcPr>
            <w:tcW w:type="dxa" w:w="1008"/>
            <w:shd w:val="clear" w:color="auto" w:fill="E8E8E8"/>
          </w:tcPr>
          <w:p>
            <w:pPr>
              <w:spacing w:line="240" w:lineRule="auto" w:after="0"/>
            </w:pPr>
            <w:r/>
            <w:r>
              <w:rPr>
                <w:rFonts w:ascii="Times New Roman" w:hAnsi="Times New Roman"/>
                <w:b/>
                <w:sz w:val="16"/>
              </w:rPr>
              <w:t>n</w:t>
            </w:r>
          </w:p>
        </w:tc>
        <w:tc>
          <w:tcPr>
            <w:tcW w:type="dxa" w:w="1008"/>
            <w:shd w:val="clear" w:color="auto" w:fill="E8E8E8"/>
          </w:tcPr>
          <w:p>
            <w:pPr>
              <w:spacing w:line="240" w:lineRule="auto" w:after="0"/>
            </w:pPr>
            <w:r/>
            <w:r>
              <w:rPr>
                <w:rFonts w:ascii="Times New Roman" w:hAnsi="Times New Roman"/>
                <w:b/>
                <w:sz w:val="16"/>
              </w:rPr>
              <w:t>Median TD-CP+</w:t>
            </w:r>
          </w:p>
        </w:tc>
        <w:tc>
          <w:tcPr>
            <w:tcW w:type="dxa" w:w="1008"/>
            <w:shd w:val="clear" w:color="auto" w:fill="E8E8E8"/>
          </w:tcPr>
          <w:p>
            <w:pPr>
              <w:spacing w:line="240" w:lineRule="auto" w:after="0"/>
            </w:pPr>
            <w:r/>
            <w:r>
              <w:rPr>
                <w:rFonts w:ascii="Times New Roman" w:hAnsi="Times New Roman"/>
                <w:b/>
                <w:sz w:val="16"/>
              </w:rPr>
              <w:t>Median comp.</w:t>
            </w:r>
          </w:p>
        </w:tc>
        <w:tc>
          <w:tcPr>
            <w:tcW w:type="dxa" w:w="1008"/>
            <w:shd w:val="clear" w:color="auto" w:fill="E8E8E8"/>
          </w:tcPr>
          <w:p>
            <w:pPr>
              <w:spacing w:line="240" w:lineRule="auto" w:after="0"/>
            </w:pPr>
            <w:r/>
            <w:r>
              <w:rPr>
                <w:rFonts w:ascii="Times New Roman" w:hAnsi="Times New Roman"/>
                <w:b/>
                <w:sz w:val="16"/>
              </w:rPr>
              <w:t>CI low</w:t>
            </w:r>
          </w:p>
        </w:tc>
        <w:tc>
          <w:tcPr>
            <w:tcW w:type="dxa" w:w="1008"/>
            <w:shd w:val="clear" w:color="auto" w:fill="E8E8E8"/>
          </w:tcPr>
          <w:p>
            <w:pPr>
              <w:spacing w:line="240" w:lineRule="auto" w:after="0"/>
            </w:pPr>
            <w:r/>
            <w:r>
              <w:rPr>
                <w:rFonts w:ascii="Times New Roman" w:hAnsi="Times New Roman"/>
                <w:b/>
                <w:sz w:val="16"/>
              </w:rPr>
              <w:t>CI high</w:t>
            </w:r>
          </w:p>
        </w:tc>
        <w:tc>
          <w:tcPr>
            <w:tcW w:type="dxa" w:w="1008"/>
            <w:shd w:val="clear" w:color="auto" w:fill="E8E8E8"/>
          </w:tcPr>
          <w:p>
            <w:pPr>
              <w:spacing w:line="240" w:lineRule="auto" w:after="0"/>
            </w:pPr>
            <w:r/>
            <w:r>
              <w:rPr>
                <w:rFonts w:ascii="Times New Roman" w:hAnsi="Times New Roman"/>
                <w:b/>
                <w:sz w:val="16"/>
              </w:rPr>
              <w:t>r_rb</w:t>
            </w:r>
          </w:p>
        </w:tc>
        <w:tc>
          <w:tcPr>
            <w:tcW w:type="dxa" w:w="1008"/>
            <w:shd w:val="clear" w:color="auto" w:fill="E8E8E8"/>
          </w:tcPr>
          <w:p>
            <w:pPr>
              <w:spacing w:line="240" w:lineRule="auto" w:after="0"/>
            </w:pPr>
            <w:r/>
            <w:r>
              <w:rPr>
                <w:rFonts w:ascii="Times New Roman" w:hAnsi="Times New Roman"/>
                <w:b/>
                <w:sz w:val="16"/>
              </w:rPr>
              <w:t>p (Holm)</w:t>
            </w:r>
          </w:p>
        </w:tc>
      </w:tr>
      <w:tr>
        <w:tc>
          <w:tcPr>
            <w:tcW w:type="dxa" w:w="1008"/>
          </w:tcPr>
          <w:p>
            <w:pPr>
              <w:spacing w:line="240" w:lineRule="auto" w:after="0"/>
            </w:pPr>
            <w:r/>
            <w:r>
              <w:rPr>
                <w:rFonts w:ascii="Times New Roman" w:hAnsi="Times New Roman"/>
                <w:b w:val="0"/>
                <w:sz w:val="16"/>
              </w:rPr>
              <w:t>|coverage gap|</w:t>
            </w:r>
          </w:p>
        </w:tc>
        <w:tc>
          <w:tcPr>
            <w:tcW w:type="dxa" w:w="1008"/>
          </w:tcPr>
          <w:p>
            <w:pPr>
              <w:spacing w:line="240" w:lineRule="auto" w:after="0"/>
            </w:pPr>
            <w:r/>
            <w:r>
              <w:rPr>
                <w:rFonts w:ascii="Times New Roman" w:hAnsi="Times New Roman"/>
                <w:b w:val="0"/>
                <w:sz w:val="16"/>
              </w:rPr>
              <w:t>Naive CP (primary residuals)</w:t>
            </w:r>
          </w:p>
        </w:tc>
        <w:tc>
          <w:tcPr>
            <w:tcW w:type="dxa" w:w="1008"/>
          </w:tcPr>
          <w:p>
            <w:pPr>
              <w:spacing w:line="240" w:lineRule="auto" w:after="0"/>
            </w:pPr>
            <w:r/>
            <w:r>
              <w:rPr>
                <w:rFonts w:ascii="Times New Roman" w:hAnsi="Times New Roman"/>
                <w:b w:val="0"/>
                <w:sz w:val="16"/>
              </w:rPr>
              <w:t>60</w:t>
            </w:r>
          </w:p>
        </w:tc>
        <w:tc>
          <w:tcPr>
            <w:tcW w:type="dxa" w:w="1008"/>
          </w:tcPr>
          <w:p>
            <w:pPr>
              <w:spacing w:line="240" w:lineRule="auto" w:after="0"/>
            </w:pPr>
            <w:r/>
            <w:r>
              <w:rPr>
                <w:rFonts w:ascii="Times New Roman" w:hAnsi="Times New Roman"/>
                <w:b w:val="0"/>
                <w:sz w:val="16"/>
              </w:rPr>
              <w:t>0.032</w:t>
            </w:r>
          </w:p>
        </w:tc>
        <w:tc>
          <w:tcPr>
            <w:tcW w:type="dxa" w:w="1008"/>
          </w:tcPr>
          <w:p>
            <w:pPr>
              <w:spacing w:line="240" w:lineRule="auto" w:after="0"/>
            </w:pPr>
            <w:r/>
            <w:r>
              <w:rPr>
                <w:rFonts w:ascii="Times New Roman" w:hAnsi="Times New Roman"/>
                <w:b w:val="0"/>
                <w:sz w:val="16"/>
              </w:rPr>
              <w:t>0.333</w:t>
            </w:r>
          </w:p>
        </w:tc>
        <w:tc>
          <w:tcPr>
            <w:tcW w:type="dxa" w:w="1008"/>
          </w:tcPr>
          <w:p>
            <w:pPr>
              <w:spacing w:line="240" w:lineRule="auto" w:after="0"/>
            </w:pPr>
            <w:r/>
            <w:r>
              <w:rPr>
                <w:rFonts w:ascii="Times New Roman" w:hAnsi="Times New Roman"/>
                <w:b w:val="0"/>
                <w:sz w:val="16"/>
              </w:rPr>
              <w:t>-0.365</w:t>
            </w:r>
          </w:p>
        </w:tc>
        <w:tc>
          <w:tcPr>
            <w:tcW w:type="dxa" w:w="1008"/>
          </w:tcPr>
          <w:p>
            <w:pPr>
              <w:spacing w:line="240" w:lineRule="auto" w:after="0"/>
            </w:pPr>
            <w:r/>
            <w:r>
              <w:rPr>
                <w:rFonts w:ascii="Times New Roman" w:hAnsi="Times New Roman"/>
                <w:b w:val="0"/>
                <w:sz w:val="16"/>
              </w:rPr>
              <w:t>-0.230</w:t>
            </w:r>
          </w:p>
        </w:tc>
        <w:tc>
          <w:tcPr>
            <w:tcW w:type="dxa" w:w="1008"/>
          </w:tcPr>
          <w:p>
            <w:pPr>
              <w:spacing w:line="240" w:lineRule="auto" w:after="0"/>
            </w:pPr>
            <w:r/>
            <w:r>
              <w:rPr>
                <w:rFonts w:ascii="Times New Roman" w:hAnsi="Times New Roman"/>
                <w:b w:val="0"/>
                <w:sz w:val="16"/>
              </w:rPr>
              <w:t>-1.00</w:t>
            </w:r>
          </w:p>
        </w:tc>
        <w:tc>
          <w:tcPr>
            <w:tcW w:type="dxa" w:w="1008"/>
          </w:tcPr>
          <w:p>
            <w:pPr>
              <w:spacing w:line="240" w:lineRule="auto" w:after="0"/>
            </w:pPr>
            <w:r/>
            <w:r>
              <w:rPr>
                <w:rFonts w:ascii="Times New Roman" w:hAnsi="Times New Roman"/>
                <w:b w:val="0"/>
                <w:sz w:val="16"/>
              </w:rPr>
              <w:t>&lt;0.001</w:t>
            </w:r>
          </w:p>
        </w:tc>
      </w:tr>
      <w:tr>
        <w:tc>
          <w:tcPr>
            <w:tcW w:type="dxa" w:w="1008"/>
          </w:tcPr>
          <w:p>
            <w:pPr>
              <w:spacing w:line="240" w:lineRule="auto" w:after="0"/>
            </w:pPr>
            <w:r/>
            <w:r>
              <w:rPr>
                <w:rFonts w:ascii="Times New Roman" w:hAnsi="Times New Roman"/>
                <w:b w:val="0"/>
                <w:sz w:val="16"/>
              </w:rPr>
              <w:t>|coverage gap|</w:t>
            </w:r>
          </w:p>
        </w:tc>
        <w:tc>
          <w:tcPr>
            <w:tcW w:type="dxa" w:w="1008"/>
          </w:tcPr>
          <w:p>
            <w:pPr>
              <w:spacing w:line="240" w:lineRule="auto" w:after="0"/>
            </w:pPr>
            <w:r/>
            <w:r>
              <w:rPr>
                <w:rFonts w:ascii="Times New Roman" w:hAnsi="Times New Roman"/>
                <w:b w:val="0"/>
                <w:sz w:val="16"/>
              </w:rPr>
              <w:t>Leverage PI (classical)</w:t>
            </w:r>
          </w:p>
        </w:tc>
        <w:tc>
          <w:tcPr>
            <w:tcW w:type="dxa" w:w="1008"/>
          </w:tcPr>
          <w:p>
            <w:pPr>
              <w:spacing w:line="240" w:lineRule="auto" w:after="0"/>
            </w:pPr>
            <w:r/>
            <w:r>
              <w:rPr>
                <w:rFonts w:ascii="Times New Roman" w:hAnsi="Times New Roman"/>
                <w:b w:val="0"/>
                <w:sz w:val="16"/>
              </w:rPr>
              <w:t>60</w:t>
            </w:r>
          </w:p>
        </w:tc>
        <w:tc>
          <w:tcPr>
            <w:tcW w:type="dxa" w:w="1008"/>
          </w:tcPr>
          <w:p>
            <w:pPr>
              <w:spacing w:line="240" w:lineRule="auto" w:after="0"/>
            </w:pPr>
            <w:r/>
            <w:r>
              <w:rPr>
                <w:rFonts w:ascii="Times New Roman" w:hAnsi="Times New Roman"/>
                <w:b w:val="0"/>
                <w:sz w:val="16"/>
              </w:rPr>
              <w:t>0.032</w:t>
            </w:r>
          </w:p>
        </w:tc>
        <w:tc>
          <w:tcPr>
            <w:tcW w:type="dxa" w:w="1008"/>
          </w:tcPr>
          <w:p>
            <w:pPr>
              <w:spacing w:line="240" w:lineRule="auto" w:after="0"/>
            </w:pPr>
            <w:r/>
            <w:r>
              <w:rPr>
                <w:rFonts w:ascii="Times New Roman" w:hAnsi="Times New Roman"/>
                <w:b w:val="0"/>
                <w:sz w:val="16"/>
              </w:rPr>
              <w:t>0.254</w:t>
            </w:r>
          </w:p>
        </w:tc>
        <w:tc>
          <w:tcPr>
            <w:tcW w:type="dxa" w:w="1008"/>
          </w:tcPr>
          <w:p>
            <w:pPr>
              <w:spacing w:line="240" w:lineRule="auto" w:after="0"/>
            </w:pPr>
            <w:r/>
            <w:r>
              <w:rPr>
                <w:rFonts w:ascii="Times New Roman" w:hAnsi="Times New Roman"/>
                <w:b w:val="0"/>
                <w:sz w:val="16"/>
              </w:rPr>
              <w:t>-0.269</w:t>
            </w:r>
          </w:p>
        </w:tc>
        <w:tc>
          <w:tcPr>
            <w:tcW w:type="dxa" w:w="1008"/>
          </w:tcPr>
          <w:p>
            <w:pPr>
              <w:spacing w:line="240" w:lineRule="auto" w:after="0"/>
            </w:pPr>
            <w:r/>
            <w:r>
              <w:rPr>
                <w:rFonts w:ascii="Times New Roman" w:hAnsi="Times New Roman"/>
                <w:b w:val="0"/>
                <w:sz w:val="16"/>
              </w:rPr>
              <w:t>-0.159</w:t>
            </w:r>
          </w:p>
        </w:tc>
        <w:tc>
          <w:tcPr>
            <w:tcW w:type="dxa" w:w="1008"/>
          </w:tcPr>
          <w:p>
            <w:pPr>
              <w:spacing w:line="240" w:lineRule="auto" w:after="0"/>
            </w:pPr>
            <w:r/>
            <w:r>
              <w:rPr>
                <w:rFonts w:ascii="Times New Roman" w:hAnsi="Times New Roman"/>
                <w:b w:val="0"/>
                <w:sz w:val="16"/>
              </w:rPr>
              <w:t>-1.00</w:t>
            </w:r>
          </w:p>
        </w:tc>
        <w:tc>
          <w:tcPr>
            <w:tcW w:type="dxa" w:w="1008"/>
          </w:tcPr>
          <w:p>
            <w:pPr>
              <w:spacing w:line="240" w:lineRule="auto" w:after="0"/>
            </w:pPr>
            <w:r/>
            <w:r>
              <w:rPr>
                <w:rFonts w:ascii="Times New Roman" w:hAnsi="Times New Roman"/>
                <w:b w:val="0"/>
                <w:sz w:val="16"/>
              </w:rPr>
              <w:t>&lt;0.001</w:t>
            </w:r>
          </w:p>
        </w:tc>
      </w:tr>
      <w:tr>
        <w:tc>
          <w:tcPr>
            <w:tcW w:type="dxa" w:w="1008"/>
          </w:tcPr>
          <w:p>
            <w:pPr>
              <w:spacing w:line="240" w:lineRule="auto" w:after="0"/>
            </w:pPr>
            <w:r/>
            <w:r>
              <w:rPr>
                <w:rFonts w:ascii="Times New Roman" w:hAnsi="Times New Roman"/>
                <w:b w:val="0"/>
                <w:sz w:val="16"/>
              </w:rPr>
              <w:t>|coverage gap|</w:t>
            </w:r>
          </w:p>
        </w:tc>
        <w:tc>
          <w:tcPr>
            <w:tcW w:type="dxa" w:w="1008"/>
          </w:tcPr>
          <w:p>
            <w:pPr>
              <w:spacing w:line="240" w:lineRule="auto" w:after="0"/>
            </w:pPr>
            <w:r/>
            <w:r>
              <w:rPr>
                <w:rFonts w:ascii="Times New Roman" w:hAnsi="Times New Roman"/>
                <w:b w:val="0"/>
                <w:sz w:val="16"/>
              </w:rPr>
              <w:t>Weighted CP (covariate shift)</w:t>
            </w:r>
          </w:p>
        </w:tc>
        <w:tc>
          <w:tcPr>
            <w:tcW w:type="dxa" w:w="1008"/>
          </w:tcPr>
          <w:p>
            <w:pPr>
              <w:spacing w:line="240" w:lineRule="auto" w:after="0"/>
            </w:pPr>
            <w:r/>
            <w:r>
              <w:rPr>
                <w:rFonts w:ascii="Times New Roman" w:hAnsi="Times New Roman"/>
                <w:b w:val="0"/>
                <w:sz w:val="16"/>
              </w:rPr>
              <w:t>60</w:t>
            </w:r>
          </w:p>
        </w:tc>
        <w:tc>
          <w:tcPr>
            <w:tcW w:type="dxa" w:w="1008"/>
          </w:tcPr>
          <w:p>
            <w:pPr>
              <w:spacing w:line="240" w:lineRule="auto" w:after="0"/>
            </w:pPr>
            <w:r/>
            <w:r>
              <w:rPr>
                <w:rFonts w:ascii="Times New Roman" w:hAnsi="Times New Roman"/>
                <w:b w:val="0"/>
                <w:sz w:val="16"/>
              </w:rPr>
              <w:t>0.032</w:t>
            </w:r>
          </w:p>
        </w:tc>
        <w:tc>
          <w:tcPr>
            <w:tcW w:type="dxa" w:w="1008"/>
          </w:tcPr>
          <w:p>
            <w:pPr>
              <w:spacing w:line="240" w:lineRule="auto" w:after="0"/>
            </w:pPr>
            <w:r/>
            <w:r>
              <w:rPr>
                <w:rFonts w:ascii="Times New Roman" w:hAnsi="Times New Roman"/>
                <w:b w:val="0"/>
                <w:sz w:val="16"/>
              </w:rPr>
              <w:t>0.269</w:t>
            </w:r>
          </w:p>
        </w:tc>
        <w:tc>
          <w:tcPr>
            <w:tcW w:type="dxa" w:w="1008"/>
          </w:tcPr>
          <w:p>
            <w:pPr>
              <w:spacing w:line="240" w:lineRule="auto" w:after="0"/>
            </w:pPr>
            <w:r/>
            <w:r>
              <w:rPr>
                <w:rFonts w:ascii="Times New Roman" w:hAnsi="Times New Roman"/>
                <w:b w:val="0"/>
                <w:sz w:val="16"/>
              </w:rPr>
              <w:t>-0.280</w:t>
            </w:r>
          </w:p>
        </w:tc>
        <w:tc>
          <w:tcPr>
            <w:tcW w:type="dxa" w:w="1008"/>
          </w:tcPr>
          <w:p>
            <w:pPr>
              <w:spacing w:line="240" w:lineRule="auto" w:after="0"/>
            </w:pPr>
            <w:r/>
            <w:r>
              <w:rPr>
                <w:rFonts w:ascii="Times New Roman" w:hAnsi="Times New Roman"/>
                <w:b w:val="0"/>
                <w:sz w:val="16"/>
              </w:rPr>
              <w:t>-0.201</w:t>
            </w:r>
          </w:p>
        </w:tc>
        <w:tc>
          <w:tcPr>
            <w:tcW w:type="dxa" w:w="1008"/>
          </w:tcPr>
          <w:p>
            <w:pPr>
              <w:spacing w:line="240" w:lineRule="auto" w:after="0"/>
            </w:pPr>
            <w:r/>
            <w:r>
              <w:rPr>
                <w:rFonts w:ascii="Times New Roman" w:hAnsi="Times New Roman"/>
                <w:b w:val="0"/>
                <w:sz w:val="16"/>
              </w:rPr>
              <w:t>-1.00</w:t>
            </w:r>
          </w:p>
        </w:tc>
        <w:tc>
          <w:tcPr>
            <w:tcW w:type="dxa" w:w="1008"/>
          </w:tcPr>
          <w:p>
            <w:pPr>
              <w:spacing w:line="240" w:lineRule="auto" w:after="0"/>
            </w:pPr>
            <w:r/>
            <w:r>
              <w:rPr>
                <w:rFonts w:ascii="Times New Roman" w:hAnsi="Times New Roman"/>
                <w:b w:val="0"/>
                <w:sz w:val="16"/>
              </w:rPr>
              <w:t>&lt;0.001</w:t>
            </w:r>
          </w:p>
        </w:tc>
      </w:tr>
      <w:tr>
        <w:tc>
          <w:tcPr>
            <w:tcW w:type="dxa" w:w="1008"/>
          </w:tcPr>
          <w:p>
            <w:pPr>
              <w:spacing w:line="240" w:lineRule="auto" w:after="0"/>
            </w:pPr>
            <w:r/>
            <w:r>
              <w:rPr>
                <w:rFonts w:ascii="Times New Roman" w:hAnsi="Times New Roman"/>
                <w:b w:val="0"/>
                <w:sz w:val="16"/>
              </w:rPr>
              <w:t>|coverage gap|</w:t>
            </w:r>
          </w:p>
        </w:tc>
        <w:tc>
          <w:tcPr>
            <w:tcW w:type="dxa" w:w="1008"/>
          </w:tcPr>
          <w:p>
            <w:pPr>
              <w:spacing w:line="240" w:lineRule="auto" w:after="0"/>
            </w:pPr>
            <w:r/>
            <w:r>
              <w:rPr>
                <w:rFonts w:ascii="Times New Roman" w:hAnsi="Times New Roman"/>
                <w:b w:val="0"/>
                <w:sz w:val="16"/>
              </w:rPr>
              <w:t>Gaussian TD (parametric)</w:t>
            </w:r>
          </w:p>
        </w:tc>
        <w:tc>
          <w:tcPr>
            <w:tcW w:type="dxa" w:w="1008"/>
          </w:tcPr>
          <w:p>
            <w:pPr>
              <w:spacing w:line="240" w:lineRule="auto" w:after="0"/>
            </w:pPr>
            <w:r/>
            <w:r>
              <w:rPr>
                <w:rFonts w:ascii="Times New Roman" w:hAnsi="Times New Roman"/>
                <w:b w:val="0"/>
                <w:sz w:val="16"/>
              </w:rPr>
              <w:t>60</w:t>
            </w:r>
          </w:p>
        </w:tc>
        <w:tc>
          <w:tcPr>
            <w:tcW w:type="dxa" w:w="1008"/>
          </w:tcPr>
          <w:p>
            <w:pPr>
              <w:spacing w:line="240" w:lineRule="auto" w:after="0"/>
            </w:pPr>
            <w:r/>
            <w:r>
              <w:rPr>
                <w:rFonts w:ascii="Times New Roman" w:hAnsi="Times New Roman"/>
                <w:b w:val="0"/>
                <w:sz w:val="16"/>
              </w:rPr>
              <w:t>0.032</w:t>
            </w:r>
          </w:p>
        </w:tc>
        <w:tc>
          <w:tcPr>
            <w:tcW w:type="dxa" w:w="1008"/>
          </w:tcPr>
          <w:p>
            <w:pPr>
              <w:spacing w:line="240" w:lineRule="auto" w:after="0"/>
            </w:pPr>
            <w:r/>
            <w:r>
              <w:rPr>
                <w:rFonts w:ascii="Times New Roman" w:hAnsi="Times New Roman"/>
                <w:b w:val="0"/>
                <w:sz w:val="16"/>
              </w:rPr>
              <w:t>0.017</w:t>
            </w:r>
          </w:p>
        </w:tc>
        <w:tc>
          <w:tcPr>
            <w:tcW w:type="dxa" w:w="1008"/>
          </w:tcPr>
          <w:p>
            <w:pPr>
              <w:spacing w:line="240" w:lineRule="auto" w:after="0"/>
            </w:pPr>
            <w:r/>
            <w:r>
              <w:rPr>
                <w:rFonts w:ascii="Times New Roman" w:hAnsi="Times New Roman"/>
                <w:b w:val="0"/>
                <w:sz w:val="16"/>
              </w:rPr>
              <w:t>0.009</w:t>
            </w:r>
          </w:p>
        </w:tc>
        <w:tc>
          <w:tcPr>
            <w:tcW w:type="dxa" w:w="1008"/>
          </w:tcPr>
          <w:p>
            <w:pPr>
              <w:spacing w:line="240" w:lineRule="auto" w:after="0"/>
            </w:pPr>
            <w:r/>
            <w:r>
              <w:rPr>
                <w:rFonts w:ascii="Times New Roman" w:hAnsi="Times New Roman"/>
                <w:b w:val="0"/>
                <w:sz w:val="16"/>
              </w:rPr>
              <w:t>0.022</w:t>
            </w:r>
          </w:p>
        </w:tc>
        <w:tc>
          <w:tcPr>
            <w:tcW w:type="dxa" w:w="1008"/>
          </w:tcPr>
          <w:p>
            <w:pPr>
              <w:spacing w:line="240" w:lineRule="auto" w:after="0"/>
            </w:pPr>
            <w:r/>
            <w:r>
              <w:rPr>
                <w:rFonts w:ascii="Times New Roman" w:hAnsi="Times New Roman"/>
                <w:b w:val="0"/>
                <w:sz w:val="16"/>
              </w:rPr>
              <w:t>0.59</w:t>
            </w:r>
          </w:p>
        </w:tc>
        <w:tc>
          <w:tcPr>
            <w:tcW w:type="dxa" w:w="1008"/>
          </w:tcPr>
          <w:p>
            <w:pPr>
              <w:spacing w:line="240" w:lineRule="auto" w:after="0"/>
            </w:pPr>
            <w:r/>
            <w:r>
              <w:rPr>
                <w:rFonts w:ascii="Times New Roman" w:hAnsi="Times New Roman"/>
                <w:b w:val="0"/>
                <w:sz w:val="16"/>
              </w:rPr>
              <w:t>0.001</w:t>
            </w:r>
          </w:p>
        </w:tc>
      </w:tr>
      <w:tr>
        <w:tc>
          <w:tcPr>
            <w:tcW w:type="dxa" w:w="1008"/>
          </w:tcPr>
          <w:p>
            <w:pPr>
              <w:spacing w:line="240" w:lineRule="auto" w:after="0"/>
            </w:pPr>
            <w:r/>
            <w:r>
              <w:rPr>
                <w:rFonts w:ascii="Times New Roman" w:hAnsi="Times New Roman"/>
                <w:b w:val="0"/>
                <w:sz w:val="16"/>
              </w:rPr>
              <w:t>|coverage gap|</w:t>
            </w:r>
          </w:p>
        </w:tc>
        <w:tc>
          <w:tcPr>
            <w:tcW w:type="dxa" w:w="1008"/>
          </w:tcPr>
          <w:p>
            <w:pPr>
              <w:spacing w:line="240" w:lineRule="auto" w:after="0"/>
            </w:pPr>
            <w:r/>
            <w:r>
              <w:rPr>
                <w:rFonts w:ascii="Times New Roman" w:hAnsi="Times New Roman"/>
                <w:b w:val="0"/>
                <w:sz w:val="16"/>
              </w:rPr>
              <w:t>Target CP (k labelled)</w:t>
            </w:r>
          </w:p>
        </w:tc>
        <w:tc>
          <w:tcPr>
            <w:tcW w:type="dxa" w:w="1008"/>
          </w:tcPr>
          <w:p>
            <w:pPr>
              <w:spacing w:line="240" w:lineRule="auto" w:after="0"/>
            </w:pPr>
            <w:r/>
            <w:r>
              <w:rPr>
                <w:rFonts w:ascii="Times New Roman" w:hAnsi="Times New Roman"/>
                <w:b w:val="0"/>
                <w:sz w:val="16"/>
              </w:rPr>
              <w:t>60</w:t>
            </w:r>
          </w:p>
        </w:tc>
        <w:tc>
          <w:tcPr>
            <w:tcW w:type="dxa" w:w="1008"/>
          </w:tcPr>
          <w:p>
            <w:pPr>
              <w:spacing w:line="240" w:lineRule="auto" w:after="0"/>
            </w:pPr>
            <w:r/>
            <w:r>
              <w:rPr>
                <w:rFonts w:ascii="Times New Roman" w:hAnsi="Times New Roman"/>
                <w:b w:val="0"/>
                <w:sz w:val="16"/>
              </w:rPr>
              <w:t>0.032</w:t>
            </w:r>
          </w:p>
        </w:tc>
        <w:tc>
          <w:tcPr>
            <w:tcW w:type="dxa" w:w="1008"/>
          </w:tcPr>
          <w:p>
            <w:pPr>
              <w:spacing w:line="240" w:lineRule="auto" w:after="0"/>
            </w:pPr>
            <w:r/>
            <w:r>
              <w:rPr>
                <w:rFonts w:ascii="Times New Roman" w:hAnsi="Times New Roman"/>
                <w:b w:val="0"/>
                <w:sz w:val="16"/>
              </w:rPr>
              <w:t>0.016</w:t>
            </w:r>
          </w:p>
        </w:tc>
        <w:tc>
          <w:tcPr>
            <w:tcW w:type="dxa" w:w="1008"/>
          </w:tcPr>
          <w:p>
            <w:pPr>
              <w:spacing w:line="240" w:lineRule="auto" w:after="0"/>
            </w:pPr>
            <w:r/>
            <w:r>
              <w:rPr>
                <w:rFonts w:ascii="Times New Roman" w:hAnsi="Times New Roman"/>
                <w:b w:val="0"/>
                <w:sz w:val="16"/>
              </w:rPr>
              <w:t>0.012</w:t>
            </w:r>
          </w:p>
        </w:tc>
        <w:tc>
          <w:tcPr>
            <w:tcW w:type="dxa" w:w="1008"/>
          </w:tcPr>
          <w:p>
            <w:pPr>
              <w:spacing w:line="240" w:lineRule="auto" w:after="0"/>
            </w:pPr>
            <w:r/>
            <w:r>
              <w:rPr>
                <w:rFonts w:ascii="Times New Roman" w:hAnsi="Times New Roman"/>
                <w:b w:val="0"/>
                <w:sz w:val="16"/>
              </w:rPr>
              <w:t>0.022</w:t>
            </w:r>
          </w:p>
        </w:tc>
        <w:tc>
          <w:tcPr>
            <w:tcW w:type="dxa" w:w="1008"/>
          </w:tcPr>
          <w:p>
            <w:pPr>
              <w:spacing w:line="240" w:lineRule="auto" w:after="0"/>
            </w:pPr>
            <w:r/>
            <w:r>
              <w:rPr>
                <w:rFonts w:ascii="Times New Roman" w:hAnsi="Times New Roman"/>
                <w:b w:val="0"/>
                <w:sz w:val="16"/>
              </w:rPr>
              <w:t>0.72</w:t>
            </w:r>
          </w:p>
        </w:tc>
        <w:tc>
          <w:tcPr>
            <w:tcW w:type="dxa" w:w="1008"/>
          </w:tcPr>
          <w:p>
            <w:pPr>
              <w:spacing w:line="240" w:lineRule="auto" w:after="0"/>
            </w:pPr>
            <w:r/>
            <w:r>
              <w:rPr>
                <w:rFonts w:ascii="Times New Roman" w:hAnsi="Times New Roman"/>
                <w:b w:val="0"/>
                <w:sz w:val="16"/>
              </w:rPr>
              <w:t>&lt;0.001</w:t>
            </w:r>
          </w:p>
        </w:tc>
      </w:tr>
      <w:tr>
        <w:tc>
          <w:tcPr>
            <w:tcW w:type="dxa" w:w="1008"/>
          </w:tcPr>
          <w:p>
            <w:pPr>
              <w:spacing w:line="240" w:lineRule="auto" w:after="0"/>
            </w:pPr>
            <w:r/>
            <w:r>
              <w:rPr>
                <w:rFonts w:ascii="Times New Roman" w:hAnsi="Times New Roman"/>
                <w:b w:val="0"/>
                <w:sz w:val="16"/>
              </w:rPr>
              <w:t>|coverage gap|</w:t>
            </w:r>
          </w:p>
        </w:tc>
        <w:tc>
          <w:tcPr>
            <w:tcW w:type="dxa" w:w="1008"/>
          </w:tcPr>
          <w:p>
            <w:pPr>
              <w:spacing w:line="240" w:lineRule="auto" w:after="0"/>
            </w:pPr>
            <w:r/>
            <w:r>
              <w:rPr>
                <w:rFonts w:ascii="Times New Roman" w:hAnsi="Times New Roman"/>
                <w:b w:val="0"/>
                <w:sz w:val="16"/>
              </w:rPr>
              <w:t>Target CP+ (k labelled)</w:t>
            </w:r>
          </w:p>
        </w:tc>
        <w:tc>
          <w:tcPr>
            <w:tcW w:type="dxa" w:w="1008"/>
          </w:tcPr>
          <w:p>
            <w:pPr>
              <w:spacing w:line="240" w:lineRule="auto" w:after="0"/>
            </w:pPr>
            <w:r/>
            <w:r>
              <w:rPr>
                <w:rFonts w:ascii="Times New Roman" w:hAnsi="Times New Roman"/>
                <w:b w:val="0"/>
                <w:sz w:val="16"/>
              </w:rPr>
              <w:t>60</w:t>
            </w:r>
          </w:p>
        </w:tc>
        <w:tc>
          <w:tcPr>
            <w:tcW w:type="dxa" w:w="1008"/>
          </w:tcPr>
          <w:p>
            <w:pPr>
              <w:spacing w:line="240" w:lineRule="auto" w:after="0"/>
            </w:pPr>
            <w:r/>
            <w:r>
              <w:rPr>
                <w:rFonts w:ascii="Times New Roman" w:hAnsi="Times New Roman"/>
                <w:b w:val="0"/>
                <w:sz w:val="16"/>
              </w:rPr>
              <w:t>0.032</w:t>
            </w:r>
          </w:p>
        </w:tc>
        <w:tc>
          <w:tcPr>
            <w:tcW w:type="dxa" w:w="1008"/>
          </w:tcPr>
          <w:p>
            <w:pPr>
              <w:spacing w:line="240" w:lineRule="auto" w:after="0"/>
            </w:pPr>
            <w:r/>
            <w:r>
              <w:rPr>
                <w:rFonts w:ascii="Times New Roman" w:hAnsi="Times New Roman"/>
                <w:b w:val="0"/>
                <w:sz w:val="16"/>
              </w:rPr>
              <w:t>0.032</w:t>
            </w:r>
          </w:p>
        </w:tc>
        <w:tc>
          <w:tcPr>
            <w:tcW w:type="dxa" w:w="1008"/>
          </w:tcPr>
          <w:p>
            <w:pPr>
              <w:spacing w:line="240" w:lineRule="auto" w:after="0"/>
            </w:pPr>
            <w:r/>
            <w:r>
              <w:rPr>
                <w:rFonts w:ascii="Times New Roman" w:hAnsi="Times New Roman"/>
                <w:b w:val="0"/>
                <w:sz w:val="16"/>
              </w:rPr>
              <w:t>-0.005</w:t>
            </w:r>
          </w:p>
        </w:tc>
        <w:tc>
          <w:tcPr>
            <w:tcW w:type="dxa" w:w="1008"/>
          </w:tcPr>
          <w:p>
            <w:pPr>
              <w:spacing w:line="240" w:lineRule="auto" w:after="0"/>
            </w:pPr>
            <w:r/>
            <w:r>
              <w:rPr>
                <w:rFonts w:ascii="Times New Roman" w:hAnsi="Times New Roman"/>
                <w:b w:val="0"/>
                <w:sz w:val="16"/>
              </w:rPr>
              <w:t>0.001</w:t>
            </w:r>
          </w:p>
        </w:tc>
        <w:tc>
          <w:tcPr>
            <w:tcW w:type="dxa" w:w="1008"/>
          </w:tcPr>
          <w:p>
            <w:pPr>
              <w:spacing w:line="240" w:lineRule="auto" w:after="0"/>
            </w:pPr>
            <w:r/>
            <w:r>
              <w:rPr>
                <w:rFonts w:ascii="Times New Roman" w:hAnsi="Times New Roman"/>
                <w:b w:val="0"/>
                <w:sz w:val="16"/>
              </w:rPr>
              <w:t>-0.20</w:t>
            </w:r>
          </w:p>
        </w:tc>
        <w:tc>
          <w:tcPr>
            <w:tcW w:type="dxa" w:w="1008"/>
          </w:tcPr>
          <w:p>
            <w:pPr>
              <w:spacing w:line="240" w:lineRule="auto" w:after="0"/>
            </w:pPr>
            <w:r/>
            <w:r>
              <w:rPr>
                <w:rFonts w:ascii="Times New Roman" w:hAnsi="Times New Roman"/>
                <w:b w:val="0"/>
                <w:sz w:val="16"/>
              </w:rPr>
              <w:t>1.000</w:t>
            </w:r>
          </w:p>
        </w:tc>
      </w:tr>
      <w:tr>
        <w:tc>
          <w:tcPr>
            <w:tcW w:type="dxa" w:w="1008"/>
          </w:tcPr>
          <w:p>
            <w:pPr>
              <w:spacing w:line="240" w:lineRule="auto" w:after="0"/>
            </w:pPr>
            <w:r/>
            <w:r>
              <w:rPr>
                <w:rFonts w:ascii="Times New Roman" w:hAnsi="Times New Roman"/>
                <w:b w:val="0"/>
                <w:sz w:val="16"/>
              </w:rPr>
              <w:t>|coverage gap|</w:t>
            </w:r>
          </w:p>
        </w:tc>
        <w:tc>
          <w:tcPr>
            <w:tcW w:type="dxa" w:w="1008"/>
          </w:tcPr>
          <w:p>
            <w:pPr>
              <w:spacing w:line="240" w:lineRule="auto" w:after="0"/>
            </w:pPr>
            <w:r/>
            <w:r>
              <w:rPr>
                <w:rFonts w:ascii="Times New Roman" w:hAnsi="Times New Roman"/>
                <w:b w:val="0"/>
                <w:sz w:val="16"/>
              </w:rPr>
              <w:t>Target t-interval (k labelled)</w:t>
            </w:r>
          </w:p>
        </w:tc>
        <w:tc>
          <w:tcPr>
            <w:tcW w:type="dxa" w:w="1008"/>
          </w:tcPr>
          <w:p>
            <w:pPr>
              <w:spacing w:line="240" w:lineRule="auto" w:after="0"/>
            </w:pPr>
            <w:r/>
            <w:r>
              <w:rPr>
                <w:rFonts w:ascii="Times New Roman" w:hAnsi="Times New Roman"/>
                <w:b w:val="0"/>
                <w:sz w:val="16"/>
              </w:rPr>
              <w:t>60</w:t>
            </w:r>
          </w:p>
        </w:tc>
        <w:tc>
          <w:tcPr>
            <w:tcW w:type="dxa" w:w="1008"/>
          </w:tcPr>
          <w:p>
            <w:pPr>
              <w:spacing w:line="240" w:lineRule="auto" w:after="0"/>
            </w:pPr>
            <w:r/>
            <w:r>
              <w:rPr>
                <w:rFonts w:ascii="Times New Roman" w:hAnsi="Times New Roman"/>
                <w:b w:val="0"/>
                <w:sz w:val="16"/>
              </w:rPr>
              <w:t>0.032</w:t>
            </w:r>
          </w:p>
        </w:tc>
        <w:tc>
          <w:tcPr>
            <w:tcW w:type="dxa" w:w="1008"/>
          </w:tcPr>
          <w:p>
            <w:pPr>
              <w:spacing w:line="240" w:lineRule="auto" w:after="0"/>
            </w:pPr>
            <w:r/>
            <w:r>
              <w:rPr>
                <w:rFonts w:ascii="Times New Roman" w:hAnsi="Times New Roman"/>
                <w:b w:val="0"/>
                <w:sz w:val="16"/>
              </w:rPr>
              <w:t>0.018</w:t>
            </w:r>
          </w:p>
        </w:tc>
        <w:tc>
          <w:tcPr>
            <w:tcW w:type="dxa" w:w="1008"/>
          </w:tcPr>
          <w:p>
            <w:pPr>
              <w:spacing w:line="240" w:lineRule="auto" w:after="0"/>
            </w:pPr>
            <w:r/>
            <w:r>
              <w:rPr>
                <w:rFonts w:ascii="Times New Roman" w:hAnsi="Times New Roman"/>
                <w:b w:val="0"/>
                <w:sz w:val="16"/>
              </w:rPr>
              <w:t>0.015</w:t>
            </w:r>
          </w:p>
        </w:tc>
        <w:tc>
          <w:tcPr>
            <w:tcW w:type="dxa" w:w="1008"/>
          </w:tcPr>
          <w:p>
            <w:pPr>
              <w:spacing w:line="240" w:lineRule="auto" w:after="0"/>
            </w:pPr>
            <w:r/>
            <w:r>
              <w:rPr>
                <w:rFonts w:ascii="Times New Roman" w:hAnsi="Times New Roman"/>
                <w:b w:val="0"/>
                <w:sz w:val="16"/>
              </w:rPr>
              <w:t>0.022</w:t>
            </w:r>
          </w:p>
        </w:tc>
        <w:tc>
          <w:tcPr>
            <w:tcW w:type="dxa" w:w="1008"/>
          </w:tcPr>
          <w:p>
            <w:pPr>
              <w:spacing w:line="240" w:lineRule="auto" w:after="0"/>
            </w:pPr>
            <w:r/>
            <w:r>
              <w:rPr>
                <w:rFonts w:ascii="Times New Roman" w:hAnsi="Times New Roman"/>
                <w:b w:val="0"/>
                <w:sz w:val="16"/>
              </w:rPr>
              <w:t>0.77</w:t>
            </w:r>
          </w:p>
        </w:tc>
        <w:tc>
          <w:tcPr>
            <w:tcW w:type="dxa" w:w="1008"/>
          </w:tcPr>
          <w:p>
            <w:pPr>
              <w:spacing w:line="240" w:lineRule="auto" w:after="0"/>
            </w:pPr>
            <w:r/>
            <w:r>
              <w:rPr>
                <w:rFonts w:ascii="Times New Roman" w:hAnsi="Times New Roman"/>
                <w:b w:val="0"/>
                <w:sz w:val="16"/>
              </w:rPr>
              <w:t>&lt;0.001</w:t>
            </w:r>
          </w:p>
        </w:tc>
      </w:tr>
      <w:tr>
        <w:tc>
          <w:tcPr>
            <w:tcW w:type="dxa" w:w="1008"/>
          </w:tcPr>
          <w:p>
            <w:pPr>
              <w:spacing w:line="240" w:lineRule="auto" w:after="0"/>
            </w:pPr>
            <w:r/>
            <w:r>
              <w:rPr>
                <w:rFonts w:ascii="Times New Roman" w:hAnsi="Times New Roman"/>
                <w:b w:val="0"/>
                <w:sz w:val="16"/>
              </w:rPr>
              <w:t>IS/SD</w:t>
            </w:r>
          </w:p>
        </w:tc>
        <w:tc>
          <w:tcPr>
            <w:tcW w:type="dxa" w:w="1008"/>
          </w:tcPr>
          <w:p>
            <w:pPr>
              <w:spacing w:line="240" w:lineRule="auto" w:after="0"/>
            </w:pPr>
            <w:r/>
            <w:r>
              <w:rPr>
                <w:rFonts w:ascii="Times New Roman" w:hAnsi="Times New Roman"/>
                <w:b w:val="0"/>
                <w:sz w:val="16"/>
              </w:rPr>
              <w:t>Naive CP (primary residuals)</w:t>
            </w:r>
          </w:p>
        </w:tc>
        <w:tc>
          <w:tcPr>
            <w:tcW w:type="dxa" w:w="1008"/>
          </w:tcPr>
          <w:p>
            <w:pPr>
              <w:spacing w:line="240" w:lineRule="auto" w:after="0"/>
            </w:pPr>
            <w:r/>
            <w:r>
              <w:rPr>
                <w:rFonts w:ascii="Times New Roman" w:hAnsi="Times New Roman"/>
                <w:b w:val="0"/>
                <w:sz w:val="16"/>
              </w:rPr>
              <w:t>60</w:t>
            </w:r>
          </w:p>
        </w:tc>
        <w:tc>
          <w:tcPr>
            <w:tcW w:type="dxa" w:w="1008"/>
          </w:tcPr>
          <w:p>
            <w:pPr>
              <w:spacing w:line="240" w:lineRule="auto" w:after="0"/>
            </w:pPr>
            <w:r/>
            <w:r>
              <w:rPr>
                <w:rFonts w:ascii="Times New Roman" w:hAnsi="Times New Roman"/>
                <w:b w:val="0"/>
                <w:sz w:val="16"/>
              </w:rPr>
              <w:t>4.864</w:t>
            </w:r>
          </w:p>
        </w:tc>
        <w:tc>
          <w:tcPr>
            <w:tcW w:type="dxa" w:w="1008"/>
          </w:tcPr>
          <w:p>
            <w:pPr>
              <w:spacing w:line="240" w:lineRule="auto" w:after="0"/>
            </w:pPr>
            <w:r/>
            <w:r>
              <w:rPr>
                <w:rFonts w:ascii="Times New Roman" w:hAnsi="Times New Roman"/>
                <w:b w:val="0"/>
                <w:sz w:val="16"/>
              </w:rPr>
              <w:t>6.614</w:t>
            </w:r>
          </w:p>
        </w:tc>
        <w:tc>
          <w:tcPr>
            <w:tcW w:type="dxa" w:w="1008"/>
          </w:tcPr>
          <w:p>
            <w:pPr>
              <w:spacing w:line="240" w:lineRule="auto" w:after="0"/>
            </w:pPr>
            <w:r/>
            <w:r>
              <w:rPr>
                <w:rFonts w:ascii="Times New Roman" w:hAnsi="Times New Roman"/>
                <w:b w:val="0"/>
                <w:sz w:val="16"/>
              </w:rPr>
              <w:t>-2.995</w:t>
            </w:r>
          </w:p>
        </w:tc>
        <w:tc>
          <w:tcPr>
            <w:tcW w:type="dxa" w:w="1008"/>
          </w:tcPr>
          <w:p>
            <w:pPr>
              <w:spacing w:line="240" w:lineRule="auto" w:after="0"/>
            </w:pPr>
            <w:r/>
            <w:r>
              <w:rPr>
                <w:rFonts w:ascii="Times New Roman" w:hAnsi="Times New Roman"/>
                <w:b w:val="0"/>
                <w:sz w:val="16"/>
              </w:rPr>
              <w:t>-1.187</w:t>
            </w:r>
          </w:p>
        </w:tc>
        <w:tc>
          <w:tcPr>
            <w:tcW w:type="dxa" w:w="1008"/>
          </w:tcPr>
          <w:p>
            <w:pPr>
              <w:spacing w:line="240" w:lineRule="auto" w:after="0"/>
            </w:pPr>
            <w:r/>
            <w:r>
              <w:rPr>
                <w:rFonts w:ascii="Times New Roman" w:hAnsi="Times New Roman"/>
                <w:b w:val="0"/>
                <w:sz w:val="16"/>
              </w:rPr>
              <w:t>-1.00</w:t>
            </w:r>
          </w:p>
        </w:tc>
        <w:tc>
          <w:tcPr>
            <w:tcW w:type="dxa" w:w="1008"/>
          </w:tcPr>
          <w:p>
            <w:pPr>
              <w:spacing w:line="240" w:lineRule="auto" w:after="0"/>
            </w:pPr>
            <w:r/>
            <w:r>
              <w:rPr>
                <w:rFonts w:ascii="Times New Roman" w:hAnsi="Times New Roman"/>
                <w:b w:val="0"/>
                <w:sz w:val="16"/>
              </w:rPr>
              <w:t>&lt;0.001</w:t>
            </w:r>
          </w:p>
        </w:tc>
      </w:tr>
      <w:tr>
        <w:tc>
          <w:tcPr>
            <w:tcW w:type="dxa" w:w="1008"/>
          </w:tcPr>
          <w:p>
            <w:pPr>
              <w:spacing w:line="240" w:lineRule="auto" w:after="0"/>
            </w:pPr>
            <w:r/>
            <w:r>
              <w:rPr>
                <w:rFonts w:ascii="Times New Roman" w:hAnsi="Times New Roman"/>
                <w:b w:val="0"/>
                <w:sz w:val="16"/>
              </w:rPr>
              <w:t>IS/SD</w:t>
            </w:r>
          </w:p>
        </w:tc>
        <w:tc>
          <w:tcPr>
            <w:tcW w:type="dxa" w:w="1008"/>
          </w:tcPr>
          <w:p>
            <w:pPr>
              <w:spacing w:line="240" w:lineRule="auto" w:after="0"/>
            </w:pPr>
            <w:r/>
            <w:r>
              <w:rPr>
                <w:rFonts w:ascii="Times New Roman" w:hAnsi="Times New Roman"/>
                <w:b w:val="0"/>
                <w:sz w:val="16"/>
              </w:rPr>
              <w:t>Leverage PI (classical)</w:t>
            </w:r>
          </w:p>
        </w:tc>
        <w:tc>
          <w:tcPr>
            <w:tcW w:type="dxa" w:w="1008"/>
          </w:tcPr>
          <w:p>
            <w:pPr>
              <w:spacing w:line="240" w:lineRule="auto" w:after="0"/>
            </w:pPr>
            <w:r/>
            <w:r>
              <w:rPr>
                <w:rFonts w:ascii="Times New Roman" w:hAnsi="Times New Roman"/>
                <w:b w:val="0"/>
                <w:sz w:val="16"/>
              </w:rPr>
              <w:t>60</w:t>
            </w:r>
          </w:p>
        </w:tc>
        <w:tc>
          <w:tcPr>
            <w:tcW w:type="dxa" w:w="1008"/>
          </w:tcPr>
          <w:p>
            <w:pPr>
              <w:spacing w:line="240" w:lineRule="auto" w:after="0"/>
            </w:pPr>
            <w:r/>
            <w:r>
              <w:rPr>
                <w:rFonts w:ascii="Times New Roman" w:hAnsi="Times New Roman"/>
                <w:b w:val="0"/>
                <w:sz w:val="16"/>
              </w:rPr>
              <w:t>4.864</w:t>
            </w:r>
          </w:p>
        </w:tc>
        <w:tc>
          <w:tcPr>
            <w:tcW w:type="dxa" w:w="1008"/>
          </w:tcPr>
          <w:p>
            <w:pPr>
              <w:spacing w:line="240" w:lineRule="auto" w:after="0"/>
            </w:pPr>
            <w:r/>
            <w:r>
              <w:rPr>
                <w:rFonts w:ascii="Times New Roman" w:hAnsi="Times New Roman"/>
                <w:b w:val="0"/>
                <w:sz w:val="16"/>
              </w:rPr>
              <w:t>5.586</w:t>
            </w:r>
          </w:p>
        </w:tc>
        <w:tc>
          <w:tcPr>
            <w:tcW w:type="dxa" w:w="1008"/>
          </w:tcPr>
          <w:p>
            <w:pPr>
              <w:spacing w:line="240" w:lineRule="auto" w:after="0"/>
            </w:pPr>
            <w:r/>
            <w:r>
              <w:rPr>
                <w:rFonts w:ascii="Times New Roman" w:hAnsi="Times New Roman"/>
                <w:b w:val="0"/>
                <w:sz w:val="16"/>
              </w:rPr>
              <w:t>-1.264</w:t>
            </w:r>
          </w:p>
        </w:tc>
        <w:tc>
          <w:tcPr>
            <w:tcW w:type="dxa" w:w="1008"/>
          </w:tcPr>
          <w:p>
            <w:pPr>
              <w:spacing w:line="240" w:lineRule="auto" w:after="0"/>
            </w:pPr>
            <w:r/>
            <w:r>
              <w:rPr>
                <w:rFonts w:ascii="Times New Roman" w:hAnsi="Times New Roman"/>
                <w:b w:val="0"/>
                <w:sz w:val="16"/>
              </w:rPr>
              <w:t>-0.280</w:t>
            </w:r>
          </w:p>
        </w:tc>
        <w:tc>
          <w:tcPr>
            <w:tcW w:type="dxa" w:w="1008"/>
          </w:tcPr>
          <w:p>
            <w:pPr>
              <w:spacing w:line="240" w:lineRule="auto" w:after="0"/>
            </w:pPr>
            <w:r/>
            <w:r>
              <w:rPr>
                <w:rFonts w:ascii="Times New Roman" w:hAnsi="Times New Roman"/>
                <w:b w:val="0"/>
                <w:sz w:val="16"/>
              </w:rPr>
              <w:t>-0.80</w:t>
            </w:r>
          </w:p>
        </w:tc>
        <w:tc>
          <w:tcPr>
            <w:tcW w:type="dxa" w:w="1008"/>
          </w:tcPr>
          <w:p>
            <w:pPr>
              <w:spacing w:line="240" w:lineRule="auto" w:after="0"/>
            </w:pPr>
            <w:r/>
            <w:r>
              <w:rPr>
                <w:rFonts w:ascii="Times New Roman" w:hAnsi="Times New Roman"/>
                <w:b w:val="0"/>
                <w:sz w:val="16"/>
              </w:rPr>
              <w:t>&lt;0.001</w:t>
            </w:r>
          </w:p>
        </w:tc>
      </w:tr>
      <w:tr>
        <w:tc>
          <w:tcPr>
            <w:tcW w:type="dxa" w:w="1008"/>
          </w:tcPr>
          <w:p>
            <w:pPr>
              <w:spacing w:line="240" w:lineRule="auto" w:after="0"/>
            </w:pPr>
            <w:r/>
            <w:r>
              <w:rPr>
                <w:rFonts w:ascii="Times New Roman" w:hAnsi="Times New Roman"/>
                <w:b w:val="0"/>
                <w:sz w:val="16"/>
              </w:rPr>
              <w:t>IS/SD</w:t>
            </w:r>
          </w:p>
        </w:tc>
        <w:tc>
          <w:tcPr>
            <w:tcW w:type="dxa" w:w="1008"/>
          </w:tcPr>
          <w:p>
            <w:pPr>
              <w:spacing w:line="240" w:lineRule="auto" w:after="0"/>
            </w:pPr>
            <w:r/>
            <w:r>
              <w:rPr>
                <w:rFonts w:ascii="Times New Roman" w:hAnsi="Times New Roman"/>
                <w:b w:val="0"/>
                <w:sz w:val="16"/>
              </w:rPr>
              <w:t>Weighted CP (covariate shift)</w:t>
            </w:r>
          </w:p>
        </w:tc>
        <w:tc>
          <w:tcPr>
            <w:tcW w:type="dxa" w:w="1008"/>
          </w:tcPr>
          <w:p>
            <w:pPr>
              <w:spacing w:line="240" w:lineRule="auto" w:after="0"/>
            </w:pPr>
            <w:r/>
            <w:r>
              <w:rPr>
                <w:rFonts w:ascii="Times New Roman" w:hAnsi="Times New Roman"/>
                <w:b w:val="0"/>
                <w:sz w:val="16"/>
              </w:rPr>
              <w:t>60</w:t>
            </w:r>
          </w:p>
        </w:tc>
        <w:tc>
          <w:tcPr>
            <w:tcW w:type="dxa" w:w="1008"/>
          </w:tcPr>
          <w:p>
            <w:pPr>
              <w:spacing w:line="240" w:lineRule="auto" w:after="0"/>
            </w:pPr>
            <w:r/>
            <w:r>
              <w:rPr>
                <w:rFonts w:ascii="Times New Roman" w:hAnsi="Times New Roman"/>
                <w:b w:val="0"/>
                <w:sz w:val="16"/>
              </w:rPr>
              <w:t>4.864</w:t>
            </w:r>
          </w:p>
        </w:tc>
        <w:tc>
          <w:tcPr>
            <w:tcW w:type="dxa" w:w="1008"/>
          </w:tcPr>
          <w:p>
            <w:pPr>
              <w:spacing w:line="240" w:lineRule="auto" w:after="0"/>
            </w:pPr>
            <w:r/>
            <w:r>
              <w:rPr>
                <w:rFonts w:ascii="Times New Roman" w:hAnsi="Times New Roman"/>
                <w:b w:val="0"/>
                <w:sz w:val="16"/>
              </w:rPr>
              <w:t>∞</w:t>
            </w:r>
          </w:p>
        </w:tc>
        <w:tc>
          <w:tcPr>
            <w:tcW w:type="dxa" w:w="1008"/>
          </w:tcPr>
          <w:p>
            <w:pPr>
              <w:spacing w:line="240" w:lineRule="auto" w:after="0"/>
            </w:pPr>
            <w:r/>
            <w:r>
              <w:rPr>
                <w:rFonts w:ascii="Times New Roman" w:hAnsi="Times New Roman"/>
                <w:b w:val="0"/>
                <w:sz w:val="16"/>
              </w:rPr>
              <w:t>−∞</w:t>
            </w:r>
          </w:p>
        </w:tc>
        <w:tc>
          <w:tcPr>
            <w:tcW w:type="dxa" w:w="1008"/>
          </w:tcPr>
          <w:p>
            <w:pPr>
              <w:spacing w:line="240" w:lineRule="auto" w:after="0"/>
            </w:pPr>
            <w:r/>
            <w:r>
              <w:rPr>
                <w:rFonts w:ascii="Times New Roman" w:hAnsi="Times New Roman"/>
                <w:b w:val="0"/>
                <w:sz w:val="16"/>
              </w:rPr>
              <w:t>−∞</w:t>
            </w:r>
          </w:p>
        </w:tc>
        <w:tc>
          <w:tcPr>
            <w:tcW w:type="dxa" w:w="1008"/>
          </w:tcPr>
          <w:p>
            <w:pPr>
              <w:spacing w:line="240" w:lineRule="auto" w:after="0"/>
            </w:pPr>
            <w:r/>
            <w:r>
              <w:rPr>
                <w:rFonts w:ascii="Times New Roman" w:hAnsi="Times New Roman"/>
                <w:b w:val="0"/>
                <w:sz w:val="16"/>
              </w:rPr>
              <w:t>-1.00</w:t>
            </w:r>
          </w:p>
        </w:tc>
        <w:tc>
          <w:tcPr>
            <w:tcW w:type="dxa" w:w="1008"/>
          </w:tcPr>
          <w:p>
            <w:pPr>
              <w:spacing w:line="240" w:lineRule="auto" w:after="0"/>
            </w:pPr>
            <w:r/>
            <w:r>
              <w:rPr>
                <w:rFonts w:ascii="Times New Roman" w:hAnsi="Times New Roman"/>
                <w:b w:val="0"/>
                <w:sz w:val="16"/>
              </w:rPr>
              <w:t>&lt;0.001</w:t>
            </w:r>
          </w:p>
        </w:tc>
      </w:tr>
      <w:tr>
        <w:tc>
          <w:tcPr>
            <w:tcW w:type="dxa" w:w="1008"/>
          </w:tcPr>
          <w:p>
            <w:pPr>
              <w:spacing w:line="240" w:lineRule="auto" w:after="0"/>
            </w:pPr>
            <w:r/>
            <w:r>
              <w:rPr>
                <w:rFonts w:ascii="Times New Roman" w:hAnsi="Times New Roman"/>
                <w:b w:val="0"/>
                <w:sz w:val="16"/>
              </w:rPr>
              <w:t>IS/SD</w:t>
            </w:r>
          </w:p>
        </w:tc>
        <w:tc>
          <w:tcPr>
            <w:tcW w:type="dxa" w:w="1008"/>
          </w:tcPr>
          <w:p>
            <w:pPr>
              <w:spacing w:line="240" w:lineRule="auto" w:after="0"/>
            </w:pPr>
            <w:r/>
            <w:r>
              <w:rPr>
                <w:rFonts w:ascii="Times New Roman" w:hAnsi="Times New Roman"/>
                <w:b w:val="0"/>
                <w:sz w:val="16"/>
              </w:rPr>
              <w:t>Gaussian TD (parametric)</w:t>
            </w:r>
          </w:p>
        </w:tc>
        <w:tc>
          <w:tcPr>
            <w:tcW w:type="dxa" w:w="1008"/>
          </w:tcPr>
          <w:p>
            <w:pPr>
              <w:spacing w:line="240" w:lineRule="auto" w:after="0"/>
            </w:pPr>
            <w:r/>
            <w:r>
              <w:rPr>
                <w:rFonts w:ascii="Times New Roman" w:hAnsi="Times New Roman"/>
                <w:b w:val="0"/>
                <w:sz w:val="16"/>
              </w:rPr>
              <w:t>60</w:t>
            </w:r>
          </w:p>
        </w:tc>
        <w:tc>
          <w:tcPr>
            <w:tcW w:type="dxa" w:w="1008"/>
          </w:tcPr>
          <w:p>
            <w:pPr>
              <w:spacing w:line="240" w:lineRule="auto" w:after="0"/>
            </w:pPr>
            <w:r/>
            <w:r>
              <w:rPr>
                <w:rFonts w:ascii="Times New Roman" w:hAnsi="Times New Roman"/>
                <w:b w:val="0"/>
                <w:sz w:val="16"/>
              </w:rPr>
              <w:t>4.864</w:t>
            </w:r>
          </w:p>
        </w:tc>
        <w:tc>
          <w:tcPr>
            <w:tcW w:type="dxa" w:w="1008"/>
          </w:tcPr>
          <w:p>
            <w:pPr>
              <w:spacing w:line="240" w:lineRule="auto" w:after="0"/>
            </w:pPr>
            <w:r/>
            <w:r>
              <w:rPr>
                <w:rFonts w:ascii="Times New Roman" w:hAnsi="Times New Roman"/>
                <w:b w:val="0"/>
                <w:sz w:val="16"/>
              </w:rPr>
              <w:t>4.773</w:t>
            </w:r>
          </w:p>
        </w:tc>
        <w:tc>
          <w:tcPr>
            <w:tcW w:type="dxa" w:w="1008"/>
          </w:tcPr>
          <w:p>
            <w:pPr>
              <w:spacing w:line="240" w:lineRule="auto" w:after="0"/>
            </w:pPr>
            <w:r/>
            <w:r>
              <w:rPr>
                <w:rFonts w:ascii="Times New Roman" w:hAnsi="Times New Roman"/>
                <w:b w:val="0"/>
                <w:sz w:val="16"/>
              </w:rPr>
              <w:t>0.024</w:t>
            </w:r>
          </w:p>
        </w:tc>
        <w:tc>
          <w:tcPr>
            <w:tcW w:type="dxa" w:w="1008"/>
          </w:tcPr>
          <w:p>
            <w:pPr>
              <w:spacing w:line="240" w:lineRule="auto" w:after="0"/>
            </w:pPr>
            <w:r/>
            <w:r>
              <w:rPr>
                <w:rFonts w:ascii="Times New Roman" w:hAnsi="Times New Roman"/>
                <w:b w:val="0"/>
                <w:sz w:val="16"/>
              </w:rPr>
              <w:t>0.148</w:t>
            </w:r>
          </w:p>
        </w:tc>
        <w:tc>
          <w:tcPr>
            <w:tcW w:type="dxa" w:w="1008"/>
          </w:tcPr>
          <w:p>
            <w:pPr>
              <w:spacing w:line="240" w:lineRule="auto" w:after="0"/>
            </w:pPr>
            <w:r/>
            <w:r>
              <w:rPr>
                <w:rFonts w:ascii="Times New Roman" w:hAnsi="Times New Roman"/>
                <w:b w:val="0"/>
                <w:sz w:val="16"/>
              </w:rPr>
              <w:t>0.39</w:t>
            </w:r>
          </w:p>
        </w:tc>
        <w:tc>
          <w:tcPr>
            <w:tcW w:type="dxa" w:w="1008"/>
          </w:tcPr>
          <w:p>
            <w:pPr>
              <w:spacing w:line="240" w:lineRule="auto" w:after="0"/>
            </w:pPr>
            <w:r/>
            <w:r>
              <w:rPr>
                <w:rFonts w:ascii="Times New Roman" w:hAnsi="Times New Roman"/>
                <w:b w:val="0"/>
                <w:sz w:val="16"/>
              </w:rPr>
              <w:t>0.063</w:t>
            </w:r>
          </w:p>
        </w:tc>
      </w:tr>
      <w:tr>
        <w:tc>
          <w:tcPr>
            <w:tcW w:type="dxa" w:w="1008"/>
          </w:tcPr>
          <w:p>
            <w:pPr>
              <w:spacing w:line="240" w:lineRule="auto" w:after="0"/>
            </w:pPr>
            <w:r/>
            <w:r>
              <w:rPr>
                <w:rFonts w:ascii="Times New Roman" w:hAnsi="Times New Roman"/>
                <w:b w:val="0"/>
                <w:sz w:val="16"/>
              </w:rPr>
              <w:t>IS/SD</w:t>
            </w:r>
          </w:p>
        </w:tc>
        <w:tc>
          <w:tcPr>
            <w:tcW w:type="dxa" w:w="1008"/>
          </w:tcPr>
          <w:p>
            <w:pPr>
              <w:spacing w:line="240" w:lineRule="auto" w:after="0"/>
            </w:pPr>
            <w:r/>
            <w:r>
              <w:rPr>
                <w:rFonts w:ascii="Times New Roman" w:hAnsi="Times New Roman"/>
                <w:b w:val="0"/>
                <w:sz w:val="16"/>
              </w:rPr>
              <w:t>Target CP (k labelled)</w:t>
            </w:r>
          </w:p>
        </w:tc>
        <w:tc>
          <w:tcPr>
            <w:tcW w:type="dxa" w:w="1008"/>
          </w:tcPr>
          <w:p>
            <w:pPr>
              <w:spacing w:line="240" w:lineRule="auto" w:after="0"/>
            </w:pPr>
            <w:r/>
            <w:r>
              <w:rPr>
                <w:rFonts w:ascii="Times New Roman" w:hAnsi="Times New Roman"/>
                <w:b w:val="0"/>
                <w:sz w:val="16"/>
              </w:rPr>
              <w:t>60</w:t>
            </w:r>
          </w:p>
        </w:tc>
        <w:tc>
          <w:tcPr>
            <w:tcW w:type="dxa" w:w="1008"/>
          </w:tcPr>
          <w:p>
            <w:pPr>
              <w:spacing w:line="240" w:lineRule="auto" w:after="0"/>
            </w:pPr>
            <w:r/>
            <w:r>
              <w:rPr>
                <w:rFonts w:ascii="Times New Roman" w:hAnsi="Times New Roman"/>
                <w:b w:val="0"/>
                <w:sz w:val="16"/>
              </w:rPr>
              <w:t>4.864</w:t>
            </w:r>
          </w:p>
        </w:tc>
        <w:tc>
          <w:tcPr>
            <w:tcW w:type="dxa" w:w="1008"/>
          </w:tcPr>
          <w:p>
            <w:pPr>
              <w:spacing w:line="240" w:lineRule="auto" w:after="0"/>
            </w:pPr>
            <w:r/>
            <w:r>
              <w:rPr>
                <w:rFonts w:ascii="Times New Roman" w:hAnsi="Times New Roman"/>
                <w:b w:val="0"/>
                <w:sz w:val="16"/>
              </w:rPr>
              <w:t>5.302</w:t>
            </w:r>
          </w:p>
        </w:tc>
        <w:tc>
          <w:tcPr>
            <w:tcW w:type="dxa" w:w="1008"/>
          </w:tcPr>
          <w:p>
            <w:pPr>
              <w:spacing w:line="240" w:lineRule="auto" w:after="0"/>
            </w:pPr>
            <w:r/>
            <w:r>
              <w:rPr>
                <w:rFonts w:ascii="Times New Roman" w:hAnsi="Times New Roman"/>
                <w:b w:val="0"/>
                <w:sz w:val="16"/>
              </w:rPr>
              <w:t>-0.482</w:t>
            </w:r>
          </w:p>
        </w:tc>
        <w:tc>
          <w:tcPr>
            <w:tcW w:type="dxa" w:w="1008"/>
          </w:tcPr>
          <w:p>
            <w:pPr>
              <w:spacing w:line="240" w:lineRule="auto" w:after="0"/>
            </w:pPr>
            <w:r/>
            <w:r>
              <w:rPr>
                <w:rFonts w:ascii="Times New Roman" w:hAnsi="Times New Roman"/>
                <w:b w:val="0"/>
                <w:sz w:val="16"/>
              </w:rPr>
              <w:t>-0.309</w:t>
            </w:r>
          </w:p>
        </w:tc>
        <w:tc>
          <w:tcPr>
            <w:tcW w:type="dxa" w:w="1008"/>
          </w:tcPr>
          <w:p>
            <w:pPr>
              <w:spacing w:line="240" w:lineRule="auto" w:after="0"/>
            </w:pPr>
            <w:r/>
            <w:r>
              <w:rPr>
                <w:rFonts w:ascii="Times New Roman" w:hAnsi="Times New Roman"/>
                <w:b w:val="0"/>
                <w:sz w:val="16"/>
              </w:rPr>
              <w:t>-0.99</w:t>
            </w:r>
          </w:p>
        </w:tc>
        <w:tc>
          <w:tcPr>
            <w:tcW w:type="dxa" w:w="1008"/>
          </w:tcPr>
          <w:p>
            <w:pPr>
              <w:spacing w:line="240" w:lineRule="auto" w:after="0"/>
            </w:pPr>
            <w:r/>
            <w:r>
              <w:rPr>
                <w:rFonts w:ascii="Times New Roman" w:hAnsi="Times New Roman"/>
                <w:b w:val="0"/>
                <w:sz w:val="16"/>
              </w:rPr>
              <w:t>&lt;0.001</w:t>
            </w:r>
          </w:p>
        </w:tc>
      </w:tr>
      <w:tr>
        <w:tc>
          <w:tcPr>
            <w:tcW w:type="dxa" w:w="1008"/>
          </w:tcPr>
          <w:p>
            <w:pPr>
              <w:spacing w:line="240" w:lineRule="auto" w:after="0"/>
            </w:pPr>
            <w:r/>
            <w:r>
              <w:rPr>
                <w:rFonts w:ascii="Times New Roman" w:hAnsi="Times New Roman"/>
                <w:b w:val="0"/>
                <w:sz w:val="16"/>
              </w:rPr>
              <w:t>IS/SD</w:t>
            </w:r>
          </w:p>
        </w:tc>
        <w:tc>
          <w:tcPr>
            <w:tcW w:type="dxa" w:w="1008"/>
          </w:tcPr>
          <w:p>
            <w:pPr>
              <w:spacing w:line="240" w:lineRule="auto" w:after="0"/>
            </w:pPr>
            <w:r/>
            <w:r>
              <w:rPr>
                <w:rFonts w:ascii="Times New Roman" w:hAnsi="Times New Roman"/>
                <w:b w:val="0"/>
                <w:sz w:val="16"/>
              </w:rPr>
              <w:t>Target CP+ (k labelled)</w:t>
            </w:r>
          </w:p>
        </w:tc>
        <w:tc>
          <w:tcPr>
            <w:tcW w:type="dxa" w:w="1008"/>
          </w:tcPr>
          <w:p>
            <w:pPr>
              <w:spacing w:line="240" w:lineRule="auto" w:after="0"/>
            </w:pPr>
            <w:r/>
            <w:r>
              <w:rPr>
                <w:rFonts w:ascii="Times New Roman" w:hAnsi="Times New Roman"/>
                <w:b w:val="0"/>
                <w:sz w:val="16"/>
              </w:rPr>
              <w:t>60</w:t>
            </w:r>
          </w:p>
        </w:tc>
        <w:tc>
          <w:tcPr>
            <w:tcW w:type="dxa" w:w="1008"/>
          </w:tcPr>
          <w:p>
            <w:pPr>
              <w:spacing w:line="240" w:lineRule="auto" w:after="0"/>
            </w:pPr>
            <w:r/>
            <w:r>
              <w:rPr>
                <w:rFonts w:ascii="Times New Roman" w:hAnsi="Times New Roman"/>
                <w:b w:val="0"/>
                <w:sz w:val="16"/>
              </w:rPr>
              <w:t>4.864</w:t>
            </w:r>
          </w:p>
        </w:tc>
        <w:tc>
          <w:tcPr>
            <w:tcW w:type="dxa" w:w="1008"/>
          </w:tcPr>
          <w:p>
            <w:pPr>
              <w:spacing w:line="240" w:lineRule="auto" w:after="0"/>
            </w:pPr>
            <w:r/>
            <w:r>
              <w:rPr>
                <w:rFonts w:ascii="Times New Roman" w:hAnsi="Times New Roman"/>
                <w:b w:val="0"/>
                <w:sz w:val="16"/>
              </w:rPr>
              <w:t>5.069</w:t>
            </w:r>
          </w:p>
        </w:tc>
        <w:tc>
          <w:tcPr>
            <w:tcW w:type="dxa" w:w="1008"/>
          </w:tcPr>
          <w:p>
            <w:pPr>
              <w:spacing w:line="240" w:lineRule="auto" w:after="0"/>
            </w:pPr>
            <w:r/>
            <w:r>
              <w:rPr>
                <w:rFonts w:ascii="Times New Roman" w:hAnsi="Times New Roman"/>
                <w:b w:val="0"/>
                <w:sz w:val="16"/>
              </w:rPr>
              <w:t>-0.280</w:t>
            </w:r>
          </w:p>
        </w:tc>
        <w:tc>
          <w:tcPr>
            <w:tcW w:type="dxa" w:w="1008"/>
          </w:tcPr>
          <w:p>
            <w:pPr>
              <w:spacing w:line="240" w:lineRule="auto" w:after="0"/>
            </w:pPr>
            <w:r/>
            <w:r>
              <w:rPr>
                <w:rFonts w:ascii="Times New Roman" w:hAnsi="Times New Roman"/>
                <w:b w:val="0"/>
                <w:sz w:val="16"/>
              </w:rPr>
              <w:t>-0.234</w:t>
            </w:r>
          </w:p>
        </w:tc>
        <w:tc>
          <w:tcPr>
            <w:tcW w:type="dxa" w:w="1008"/>
          </w:tcPr>
          <w:p>
            <w:pPr>
              <w:spacing w:line="240" w:lineRule="auto" w:after="0"/>
            </w:pPr>
            <w:r/>
            <w:r>
              <w:rPr>
                <w:rFonts w:ascii="Times New Roman" w:hAnsi="Times New Roman"/>
                <w:b w:val="0"/>
                <w:sz w:val="16"/>
              </w:rPr>
              <w:t>-1.00</w:t>
            </w:r>
          </w:p>
        </w:tc>
        <w:tc>
          <w:tcPr>
            <w:tcW w:type="dxa" w:w="1008"/>
          </w:tcPr>
          <w:p>
            <w:pPr>
              <w:spacing w:line="240" w:lineRule="auto" w:after="0"/>
            </w:pPr>
            <w:r/>
            <w:r>
              <w:rPr>
                <w:rFonts w:ascii="Times New Roman" w:hAnsi="Times New Roman"/>
                <w:b w:val="0"/>
                <w:sz w:val="16"/>
              </w:rPr>
              <w:t>&lt;0.001</w:t>
            </w:r>
          </w:p>
        </w:tc>
      </w:tr>
      <w:tr>
        <w:tc>
          <w:tcPr>
            <w:tcW w:type="dxa" w:w="1008"/>
          </w:tcPr>
          <w:p>
            <w:pPr>
              <w:spacing w:line="240" w:lineRule="auto" w:after="0"/>
            </w:pPr>
            <w:r/>
            <w:r>
              <w:rPr>
                <w:rFonts w:ascii="Times New Roman" w:hAnsi="Times New Roman"/>
                <w:b w:val="0"/>
                <w:sz w:val="16"/>
              </w:rPr>
              <w:t>IS/SD</w:t>
            </w:r>
          </w:p>
        </w:tc>
        <w:tc>
          <w:tcPr>
            <w:tcW w:type="dxa" w:w="1008"/>
          </w:tcPr>
          <w:p>
            <w:pPr>
              <w:spacing w:line="240" w:lineRule="auto" w:after="0"/>
            </w:pPr>
            <w:r/>
            <w:r>
              <w:rPr>
                <w:rFonts w:ascii="Times New Roman" w:hAnsi="Times New Roman"/>
                <w:b w:val="0"/>
                <w:sz w:val="16"/>
              </w:rPr>
              <w:t>Target t-interval (k labelled)</w:t>
            </w:r>
          </w:p>
        </w:tc>
        <w:tc>
          <w:tcPr>
            <w:tcW w:type="dxa" w:w="1008"/>
          </w:tcPr>
          <w:p>
            <w:pPr>
              <w:spacing w:line="240" w:lineRule="auto" w:after="0"/>
            </w:pPr>
            <w:r/>
            <w:r>
              <w:rPr>
                <w:rFonts w:ascii="Times New Roman" w:hAnsi="Times New Roman"/>
                <w:b w:val="0"/>
                <w:sz w:val="16"/>
              </w:rPr>
              <w:t>60</w:t>
            </w:r>
          </w:p>
        </w:tc>
        <w:tc>
          <w:tcPr>
            <w:tcW w:type="dxa" w:w="1008"/>
          </w:tcPr>
          <w:p>
            <w:pPr>
              <w:spacing w:line="240" w:lineRule="auto" w:after="0"/>
            </w:pPr>
            <w:r/>
            <w:r>
              <w:rPr>
                <w:rFonts w:ascii="Times New Roman" w:hAnsi="Times New Roman"/>
                <w:b w:val="0"/>
                <w:sz w:val="16"/>
              </w:rPr>
              <w:t>4.864</w:t>
            </w:r>
          </w:p>
        </w:tc>
        <w:tc>
          <w:tcPr>
            <w:tcW w:type="dxa" w:w="1008"/>
          </w:tcPr>
          <w:p>
            <w:pPr>
              <w:spacing w:line="240" w:lineRule="auto" w:after="0"/>
            </w:pPr>
            <w:r/>
            <w:r>
              <w:rPr>
                <w:rFonts w:ascii="Times New Roman" w:hAnsi="Times New Roman"/>
                <w:b w:val="0"/>
                <w:sz w:val="16"/>
              </w:rPr>
              <w:t>5.073</w:t>
            </w:r>
          </w:p>
        </w:tc>
        <w:tc>
          <w:tcPr>
            <w:tcW w:type="dxa" w:w="1008"/>
          </w:tcPr>
          <w:p>
            <w:pPr>
              <w:spacing w:line="240" w:lineRule="auto" w:after="0"/>
            </w:pPr>
            <w:r/>
            <w:r>
              <w:rPr>
                <w:rFonts w:ascii="Times New Roman" w:hAnsi="Times New Roman"/>
                <w:b w:val="0"/>
                <w:sz w:val="16"/>
              </w:rPr>
              <w:t>-0.235</w:t>
            </w:r>
          </w:p>
        </w:tc>
        <w:tc>
          <w:tcPr>
            <w:tcW w:type="dxa" w:w="1008"/>
          </w:tcPr>
          <w:p>
            <w:pPr>
              <w:spacing w:line="240" w:lineRule="auto" w:after="0"/>
            </w:pPr>
            <w:r/>
            <w:r>
              <w:rPr>
                <w:rFonts w:ascii="Times New Roman" w:hAnsi="Times New Roman"/>
                <w:b w:val="0"/>
                <w:sz w:val="16"/>
              </w:rPr>
              <w:t>-0.027</w:t>
            </w:r>
          </w:p>
        </w:tc>
        <w:tc>
          <w:tcPr>
            <w:tcW w:type="dxa" w:w="1008"/>
          </w:tcPr>
          <w:p>
            <w:pPr>
              <w:spacing w:line="240" w:lineRule="auto" w:after="0"/>
            </w:pPr>
            <w:r/>
            <w:r>
              <w:rPr>
                <w:rFonts w:ascii="Times New Roman" w:hAnsi="Times New Roman"/>
                <w:b w:val="0"/>
                <w:sz w:val="16"/>
              </w:rPr>
              <w:t>-0.42</w:t>
            </w:r>
          </w:p>
        </w:tc>
        <w:tc>
          <w:tcPr>
            <w:tcW w:type="dxa" w:w="1008"/>
          </w:tcPr>
          <w:p>
            <w:pPr>
              <w:spacing w:line="240" w:lineRule="auto" w:after="0"/>
            </w:pPr>
            <w:r/>
            <w:r>
              <w:rPr>
                <w:rFonts w:ascii="Times New Roman" w:hAnsi="Times New Roman"/>
                <w:b w:val="0"/>
                <w:sz w:val="16"/>
              </w:rPr>
              <w:t>0.044</w:t>
            </w:r>
          </w:p>
        </w:tc>
      </w:tr>
    </w:tbl>
    <w:p>
      <w:pPr>
        <w:keepNext/>
        <w:spacing w:before="160"/>
      </w:pPr>
      <w:r>
        <w:rPr>
          <w:rFonts w:ascii="Times New Roman" w:hAnsi="Times New Roman"/>
          <w:b/>
          <w:sz w:val="24"/>
        </w:rPr>
        <w:t>4.4. Ablation: which components matter</w:t>
      </w:r>
    </w:p>
    <w:p>
      <w:pPr>
        <w:jc w:val="both"/>
      </w:pPr>
      <w:r>
        <w:rPr>
          <w:rFonts w:ascii="Times New Roman" w:hAnsi="Times New Roman"/>
          <w:b w:val="0"/>
        </w:rPr>
        <w:t>Cross-fitting is indispensable (Table 4, Fig. 4). With in-sample discrepancies, the standard deviation of δ shrank to a median of 0.62 (PDS) and 0.00 (DS) of its cross-fitted value. For DS the pseudo-inverse reproduces the standards exactly, so TD-CP collapsed to the naive interval (coverage 0.597); for PDS coverage reached only 0.789. Absolute rather than signed scores improved validity (PDS 100%, DS 67% of scenarios valid) at a similar interval score, consistent with pooling both tails of a discrepancy distribution estimated from only ten values. The jackknife+ construction raised DS validity from 67% to 100% without increasing the median interval score (4.66 vs. 4.62). The union-bound sum was valid but over-covered (0.966, 0.961) with larger interval scores (9.02, 5.55).</w:t>
      </w:r>
    </w:p>
    <w:p>
      <w:pPr>
        <w:keepNext/>
        <w:spacing w:line="276" w:lineRule="auto"/>
      </w:pPr>
      <w:r>
        <w:rPr>
          <w:rFonts w:ascii="Times New Roman" w:hAnsi="Times New Roman"/>
          <w:b/>
          <w:sz w:val="20"/>
        </w:rPr>
        <w:t>Table 4.</w:t>
      </w:r>
      <w:r>
        <w:rPr>
          <w:rFonts w:ascii="Times New Roman" w:hAnsi="Times New Roman"/>
          <w:b w:val="0"/>
          <w:sz w:val="20"/>
        </w:rPr>
        <w:t xml:space="preserve"> Ablation of TD-CP components at α = 0.10 (columns as in Table 2).</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E8E8E8"/>
          </w:tcPr>
          <w:p>
            <w:pPr>
              <w:spacing w:line="240" w:lineRule="auto" w:after="0"/>
            </w:pPr>
            <w:r/>
            <w:r>
              <w:rPr>
                <w:rFonts w:ascii="Times New Roman" w:hAnsi="Times New Roman"/>
                <w:b/>
                <w:sz w:val="16"/>
              </w:rPr>
              <w:t>Dataset</w:t>
            </w:r>
          </w:p>
        </w:tc>
        <w:tc>
          <w:tcPr>
            <w:tcW w:type="dxa" w:w="1134"/>
            <w:shd w:val="clear" w:color="auto" w:fill="E8E8E8"/>
          </w:tcPr>
          <w:p>
            <w:pPr>
              <w:spacing w:line="240" w:lineRule="auto" w:after="0"/>
            </w:pPr>
            <w:r/>
            <w:r>
              <w:rPr>
                <w:rFonts w:ascii="Times New Roman" w:hAnsi="Times New Roman"/>
                <w:b/>
                <w:sz w:val="16"/>
              </w:rPr>
              <w:t>Transfer</w:t>
            </w:r>
          </w:p>
        </w:tc>
        <w:tc>
          <w:tcPr>
            <w:tcW w:type="dxa" w:w="1134"/>
            <w:shd w:val="clear" w:color="auto" w:fill="E8E8E8"/>
          </w:tcPr>
          <w:p>
            <w:pPr>
              <w:spacing w:line="240" w:lineRule="auto" w:after="0"/>
            </w:pPr>
            <w:r/>
            <w:r>
              <w:rPr>
                <w:rFonts w:ascii="Times New Roman" w:hAnsi="Times New Roman"/>
                <w:b/>
                <w:sz w:val="16"/>
              </w:rPr>
              <w:t>Method</w:t>
            </w:r>
          </w:p>
        </w:tc>
        <w:tc>
          <w:tcPr>
            <w:tcW w:type="dxa" w:w="1134"/>
            <w:shd w:val="clear" w:color="auto" w:fill="E8E8E8"/>
          </w:tcPr>
          <w:p>
            <w:pPr>
              <w:spacing w:line="240" w:lineRule="auto" w:after="0"/>
            </w:pPr>
            <w:r/>
            <w:r>
              <w:rPr>
                <w:rFonts w:ascii="Times New Roman" w:hAnsi="Times New Roman"/>
                <w:b/>
                <w:sz w:val="16"/>
              </w:rPr>
              <w:t>Mean cov.</w:t>
            </w:r>
          </w:p>
        </w:tc>
        <w:tc>
          <w:tcPr>
            <w:tcW w:type="dxa" w:w="1134"/>
            <w:shd w:val="clear" w:color="auto" w:fill="E8E8E8"/>
          </w:tcPr>
          <w:p>
            <w:pPr>
              <w:spacing w:line="240" w:lineRule="auto" w:after="0"/>
            </w:pPr>
            <w:r/>
            <w:r>
              <w:rPr>
                <w:rFonts w:ascii="Times New Roman" w:hAnsi="Times New Roman"/>
                <w:b/>
                <w:sz w:val="16"/>
              </w:rPr>
              <w:t>Min cov.</w:t>
            </w:r>
          </w:p>
        </w:tc>
        <w:tc>
          <w:tcPr>
            <w:tcW w:type="dxa" w:w="1134"/>
            <w:shd w:val="clear" w:color="auto" w:fill="E8E8E8"/>
          </w:tcPr>
          <w:p>
            <w:pPr>
              <w:spacing w:line="240" w:lineRule="auto" w:after="0"/>
            </w:pPr>
            <w:r/>
            <w:r>
              <w:rPr>
                <w:rFonts w:ascii="Times New Roman" w:hAnsi="Times New Roman"/>
                <w:b/>
                <w:sz w:val="16"/>
              </w:rPr>
              <w:t>Valid (%)</w:t>
            </w:r>
          </w:p>
        </w:tc>
        <w:tc>
          <w:tcPr>
            <w:tcW w:type="dxa" w:w="1134"/>
            <w:shd w:val="clear" w:color="auto" w:fill="E8E8E8"/>
          </w:tcPr>
          <w:p>
            <w:pPr>
              <w:spacing w:line="240" w:lineRule="auto" w:after="0"/>
            </w:pPr>
            <w:r/>
            <w:r>
              <w:rPr>
                <w:rFonts w:ascii="Times New Roman" w:hAnsi="Times New Roman"/>
                <w:b/>
                <w:sz w:val="16"/>
              </w:rPr>
              <w:t>Width/SD</w:t>
            </w:r>
          </w:p>
        </w:tc>
        <w:tc>
          <w:tcPr>
            <w:tcW w:type="dxa" w:w="1134"/>
            <w:shd w:val="clear" w:color="auto" w:fill="E8E8E8"/>
          </w:tcPr>
          <w:p>
            <w:pPr>
              <w:spacing w:line="240" w:lineRule="auto" w:after="0"/>
            </w:pPr>
            <w:r/>
            <w:r>
              <w:rPr>
                <w:rFonts w:ascii="Times New Roman" w:hAnsi="Times New Roman"/>
                <w:b/>
                <w:sz w:val="16"/>
              </w:rPr>
              <w:t>IS/SD</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TD-CP+ (jackknife+)</w:t>
            </w:r>
          </w:p>
        </w:tc>
        <w:tc>
          <w:tcPr>
            <w:tcW w:type="dxa" w:w="1134"/>
          </w:tcPr>
          <w:p>
            <w:pPr>
              <w:spacing w:line="240" w:lineRule="auto" w:after="0"/>
            </w:pPr>
            <w:r/>
            <w:r>
              <w:rPr>
                <w:rFonts w:ascii="Times New Roman" w:hAnsi="Times New Roman"/>
                <w:b w:val="0"/>
                <w:sz w:val="16"/>
              </w:rPr>
              <w:t>0.927</w:t>
            </w:r>
          </w:p>
        </w:tc>
        <w:tc>
          <w:tcPr>
            <w:tcW w:type="dxa" w:w="1134"/>
          </w:tcPr>
          <w:p>
            <w:pPr>
              <w:spacing w:line="240" w:lineRule="auto" w:after="0"/>
            </w:pPr>
            <w:r/>
            <w:r>
              <w:rPr>
                <w:rFonts w:ascii="Times New Roman" w:hAnsi="Times New Roman"/>
                <w:b w:val="0"/>
                <w:sz w:val="16"/>
              </w:rPr>
              <w:t>0.899</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3.98</w:t>
            </w:r>
          </w:p>
        </w:tc>
        <w:tc>
          <w:tcPr>
            <w:tcW w:type="dxa" w:w="1134"/>
          </w:tcPr>
          <w:p>
            <w:pPr>
              <w:spacing w:line="240" w:lineRule="auto" w:after="0"/>
            </w:pPr>
            <w:r/>
            <w:r>
              <w:rPr>
                <w:rFonts w:ascii="Times New Roman" w:hAnsi="Times New Roman"/>
                <w:b w:val="0"/>
                <w:sz w:val="16"/>
              </w:rPr>
              <w:t>4.62</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TD-CP absolute scores</w:t>
            </w:r>
          </w:p>
        </w:tc>
        <w:tc>
          <w:tcPr>
            <w:tcW w:type="dxa" w:w="1134"/>
          </w:tcPr>
          <w:p>
            <w:pPr>
              <w:spacing w:line="240" w:lineRule="auto" w:after="0"/>
            </w:pPr>
            <w:r/>
            <w:r>
              <w:rPr>
                <w:rFonts w:ascii="Times New Roman" w:hAnsi="Times New Roman"/>
                <w:b w:val="0"/>
                <w:sz w:val="16"/>
              </w:rPr>
              <w:t>0.892</w:t>
            </w:r>
          </w:p>
        </w:tc>
        <w:tc>
          <w:tcPr>
            <w:tcW w:type="dxa" w:w="1134"/>
          </w:tcPr>
          <w:p>
            <w:pPr>
              <w:spacing w:line="240" w:lineRule="auto" w:after="0"/>
            </w:pPr>
            <w:r/>
            <w:r>
              <w:rPr>
                <w:rFonts w:ascii="Times New Roman" w:hAnsi="Times New Roman"/>
                <w:b w:val="0"/>
                <w:sz w:val="16"/>
              </w:rPr>
              <w:t>0.847</w:t>
            </w:r>
          </w:p>
        </w:tc>
        <w:tc>
          <w:tcPr>
            <w:tcW w:type="dxa" w:w="1134"/>
          </w:tcPr>
          <w:p>
            <w:pPr>
              <w:spacing w:line="240" w:lineRule="auto" w:after="0"/>
            </w:pPr>
            <w:r/>
            <w:r>
              <w:rPr>
                <w:rFonts w:ascii="Times New Roman" w:hAnsi="Times New Roman"/>
                <w:b w:val="0"/>
                <w:sz w:val="16"/>
              </w:rPr>
              <w:t>67</w:t>
            </w:r>
          </w:p>
        </w:tc>
        <w:tc>
          <w:tcPr>
            <w:tcW w:type="dxa" w:w="1134"/>
          </w:tcPr>
          <w:p>
            <w:pPr>
              <w:spacing w:line="240" w:lineRule="auto" w:after="0"/>
            </w:pPr>
            <w:r/>
            <w:r>
              <w:rPr>
                <w:rFonts w:ascii="Times New Roman" w:hAnsi="Times New Roman"/>
                <w:b w:val="0"/>
                <w:sz w:val="16"/>
              </w:rPr>
              <w:t>3.50</w:t>
            </w:r>
          </w:p>
        </w:tc>
        <w:tc>
          <w:tcPr>
            <w:tcW w:type="dxa" w:w="1134"/>
          </w:tcPr>
          <w:p>
            <w:pPr>
              <w:spacing w:line="240" w:lineRule="auto" w:after="0"/>
            </w:pPr>
            <w:r/>
            <w:r>
              <w:rPr>
                <w:rFonts w:ascii="Times New Roman" w:hAnsi="Times New Roman"/>
                <w:b w:val="0"/>
                <w:sz w:val="16"/>
              </w:rPr>
              <w:t>4.66</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TD-CP signed (pre-specified)</w:t>
            </w:r>
          </w:p>
        </w:tc>
        <w:tc>
          <w:tcPr>
            <w:tcW w:type="dxa" w:w="1134"/>
          </w:tcPr>
          <w:p>
            <w:pPr>
              <w:spacing w:line="240" w:lineRule="auto" w:after="0"/>
            </w:pPr>
            <w:r/>
            <w:r>
              <w:rPr>
                <w:rFonts w:ascii="Times New Roman" w:hAnsi="Times New Roman"/>
                <w:b w:val="0"/>
                <w:sz w:val="16"/>
              </w:rPr>
              <w:t>0.883</w:t>
            </w:r>
          </w:p>
        </w:tc>
        <w:tc>
          <w:tcPr>
            <w:tcW w:type="dxa" w:w="1134"/>
          </w:tcPr>
          <w:p>
            <w:pPr>
              <w:spacing w:line="240" w:lineRule="auto" w:after="0"/>
            </w:pPr>
            <w:r/>
            <w:r>
              <w:rPr>
                <w:rFonts w:ascii="Times New Roman" w:hAnsi="Times New Roman"/>
                <w:b w:val="0"/>
                <w:sz w:val="16"/>
              </w:rPr>
              <w:t>0.793</w:t>
            </w:r>
          </w:p>
        </w:tc>
        <w:tc>
          <w:tcPr>
            <w:tcW w:type="dxa" w:w="1134"/>
          </w:tcPr>
          <w:p>
            <w:pPr>
              <w:spacing w:line="240" w:lineRule="auto" w:after="0"/>
            </w:pPr>
            <w:r/>
            <w:r>
              <w:rPr>
                <w:rFonts w:ascii="Times New Roman" w:hAnsi="Times New Roman"/>
                <w:b w:val="0"/>
                <w:sz w:val="16"/>
              </w:rPr>
              <w:t>60</w:t>
            </w:r>
          </w:p>
        </w:tc>
        <w:tc>
          <w:tcPr>
            <w:tcW w:type="dxa" w:w="1134"/>
          </w:tcPr>
          <w:p>
            <w:pPr>
              <w:spacing w:line="240" w:lineRule="auto" w:after="0"/>
            </w:pPr>
            <w:r/>
            <w:r>
              <w:rPr>
                <w:rFonts w:ascii="Times New Roman" w:hAnsi="Times New Roman"/>
                <w:b w:val="0"/>
                <w:sz w:val="16"/>
              </w:rPr>
              <w:t>3.29</w:t>
            </w:r>
          </w:p>
        </w:tc>
        <w:tc>
          <w:tcPr>
            <w:tcW w:type="dxa" w:w="1134"/>
          </w:tcPr>
          <w:p>
            <w:pPr>
              <w:spacing w:line="240" w:lineRule="auto" w:after="0"/>
            </w:pPr>
            <w:r/>
            <w:r>
              <w:rPr>
                <w:rFonts w:ascii="Times New Roman" w:hAnsi="Times New Roman"/>
                <w:b w:val="0"/>
                <w:sz w:val="16"/>
              </w:rPr>
              <w:t>4.69</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TD-CP w/o cross-fitting</w:t>
            </w:r>
          </w:p>
        </w:tc>
        <w:tc>
          <w:tcPr>
            <w:tcW w:type="dxa" w:w="1134"/>
          </w:tcPr>
          <w:p>
            <w:pPr>
              <w:spacing w:line="240" w:lineRule="auto" w:after="0"/>
            </w:pPr>
            <w:r/>
            <w:r>
              <w:rPr>
                <w:rFonts w:ascii="Times New Roman" w:hAnsi="Times New Roman"/>
                <w:b w:val="0"/>
                <w:sz w:val="16"/>
              </w:rPr>
              <w:t>0.597</w:t>
            </w:r>
          </w:p>
        </w:tc>
        <w:tc>
          <w:tcPr>
            <w:tcW w:type="dxa" w:w="1134"/>
          </w:tcPr>
          <w:p>
            <w:pPr>
              <w:spacing w:line="240" w:lineRule="auto" w:after="0"/>
            </w:pPr>
            <w:r/>
            <w:r>
              <w:rPr>
                <w:rFonts w:ascii="Times New Roman" w:hAnsi="Times New Roman"/>
                <w:b w:val="0"/>
                <w:sz w:val="16"/>
              </w:rPr>
              <w:t>0.056</w:t>
            </w:r>
          </w:p>
        </w:tc>
        <w:tc>
          <w:tcPr>
            <w:tcW w:type="dxa" w:w="1134"/>
          </w:tcPr>
          <w:p>
            <w:pPr>
              <w:spacing w:line="240" w:lineRule="auto" w:after="0"/>
            </w:pPr>
            <w:r/>
            <w:r>
              <w:rPr>
                <w:rFonts w:ascii="Times New Roman" w:hAnsi="Times New Roman"/>
                <w:b w:val="0"/>
                <w:sz w:val="16"/>
              </w:rPr>
              <w:t>7</w:t>
            </w:r>
          </w:p>
        </w:tc>
        <w:tc>
          <w:tcPr>
            <w:tcW w:type="dxa" w:w="1134"/>
          </w:tcPr>
          <w:p>
            <w:pPr>
              <w:spacing w:line="240" w:lineRule="auto" w:after="0"/>
            </w:pPr>
            <w:r/>
            <w:r>
              <w:rPr>
                <w:rFonts w:ascii="Times New Roman" w:hAnsi="Times New Roman"/>
                <w:b w:val="0"/>
                <w:sz w:val="16"/>
              </w:rPr>
              <w:t>1.40</w:t>
            </w:r>
          </w:p>
        </w:tc>
        <w:tc>
          <w:tcPr>
            <w:tcW w:type="dxa" w:w="1134"/>
          </w:tcPr>
          <w:p>
            <w:pPr>
              <w:spacing w:line="240" w:lineRule="auto" w:after="0"/>
            </w:pPr>
            <w:r/>
            <w:r>
              <w:rPr>
                <w:rFonts w:ascii="Times New Roman" w:hAnsi="Times New Roman"/>
                <w:b w:val="0"/>
                <w:sz w:val="16"/>
              </w:rPr>
              <w:t>5.48</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TD-sum (union bound)</w:t>
            </w:r>
          </w:p>
        </w:tc>
        <w:tc>
          <w:tcPr>
            <w:tcW w:type="dxa" w:w="1134"/>
          </w:tcPr>
          <w:p>
            <w:pPr>
              <w:spacing w:line="240" w:lineRule="auto" w:after="0"/>
            </w:pPr>
            <w:r/>
            <w:r>
              <w:rPr>
                <w:rFonts w:ascii="Times New Roman" w:hAnsi="Times New Roman"/>
                <w:b w:val="0"/>
                <w:sz w:val="16"/>
              </w:rPr>
              <w:t>0.961</w:t>
            </w:r>
          </w:p>
        </w:tc>
        <w:tc>
          <w:tcPr>
            <w:tcW w:type="dxa" w:w="1134"/>
          </w:tcPr>
          <w:p>
            <w:pPr>
              <w:spacing w:line="240" w:lineRule="auto" w:after="0"/>
            </w:pPr>
            <w:r/>
            <w:r>
              <w:rPr>
                <w:rFonts w:ascii="Times New Roman" w:hAnsi="Times New Roman"/>
                <w:b w:val="0"/>
                <w:sz w:val="16"/>
              </w:rPr>
              <w:t>0.870</w:t>
            </w:r>
          </w:p>
        </w:tc>
        <w:tc>
          <w:tcPr>
            <w:tcW w:type="dxa" w:w="1134"/>
          </w:tcPr>
          <w:p>
            <w:pPr>
              <w:spacing w:line="240" w:lineRule="auto" w:after="0"/>
            </w:pPr>
            <w:r/>
            <w:r>
              <w:rPr>
                <w:rFonts w:ascii="Times New Roman" w:hAnsi="Times New Roman"/>
                <w:b w:val="0"/>
                <w:sz w:val="16"/>
              </w:rPr>
              <w:t>93</w:t>
            </w:r>
          </w:p>
        </w:tc>
        <w:tc>
          <w:tcPr>
            <w:tcW w:type="dxa" w:w="1134"/>
          </w:tcPr>
          <w:p>
            <w:pPr>
              <w:spacing w:line="240" w:lineRule="auto" w:after="0"/>
            </w:pPr>
            <w:r/>
            <w:r>
              <w:rPr>
                <w:rFonts w:ascii="Times New Roman" w:hAnsi="Times New Roman"/>
                <w:b w:val="0"/>
                <w:sz w:val="16"/>
              </w:rPr>
              <w:t>4.93</w:t>
            </w:r>
          </w:p>
        </w:tc>
        <w:tc>
          <w:tcPr>
            <w:tcW w:type="dxa" w:w="1134"/>
          </w:tcPr>
          <w:p>
            <w:pPr>
              <w:spacing w:line="240" w:lineRule="auto" w:after="0"/>
            </w:pPr>
            <w:r/>
            <w:r>
              <w:rPr>
                <w:rFonts w:ascii="Times New Roman" w:hAnsi="Times New Roman"/>
                <w:b w:val="0"/>
                <w:sz w:val="16"/>
              </w:rPr>
              <w:t>5.55</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Gaussian TD (parametric)</w:t>
            </w:r>
          </w:p>
        </w:tc>
        <w:tc>
          <w:tcPr>
            <w:tcW w:type="dxa" w:w="1134"/>
          </w:tcPr>
          <w:p>
            <w:pPr>
              <w:spacing w:line="240" w:lineRule="auto" w:after="0"/>
            </w:pPr>
            <w:r/>
            <w:r>
              <w:rPr>
                <w:rFonts w:ascii="Times New Roman" w:hAnsi="Times New Roman"/>
                <w:b w:val="0"/>
                <w:sz w:val="16"/>
              </w:rPr>
              <w:t>0.880</w:t>
            </w:r>
          </w:p>
        </w:tc>
        <w:tc>
          <w:tcPr>
            <w:tcW w:type="dxa" w:w="1134"/>
          </w:tcPr>
          <w:p>
            <w:pPr>
              <w:spacing w:line="240" w:lineRule="auto" w:after="0"/>
            </w:pPr>
            <w:r/>
            <w:r>
              <w:rPr>
                <w:rFonts w:ascii="Times New Roman" w:hAnsi="Times New Roman"/>
                <w:b w:val="0"/>
                <w:sz w:val="16"/>
              </w:rPr>
              <w:t>0.816</w:t>
            </w:r>
          </w:p>
        </w:tc>
        <w:tc>
          <w:tcPr>
            <w:tcW w:type="dxa" w:w="1134"/>
          </w:tcPr>
          <w:p>
            <w:pPr>
              <w:spacing w:line="240" w:lineRule="auto" w:after="0"/>
            </w:pPr>
            <w:r/>
            <w:r>
              <w:rPr>
                <w:rFonts w:ascii="Times New Roman" w:hAnsi="Times New Roman"/>
                <w:b w:val="0"/>
                <w:sz w:val="16"/>
              </w:rPr>
              <w:t>47</w:t>
            </w:r>
          </w:p>
        </w:tc>
        <w:tc>
          <w:tcPr>
            <w:tcW w:type="dxa" w:w="1134"/>
          </w:tcPr>
          <w:p>
            <w:pPr>
              <w:spacing w:line="240" w:lineRule="auto" w:after="0"/>
            </w:pPr>
            <w:r/>
            <w:r>
              <w:rPr>
                <w:rFonts w:ascii="Times New Roman" w:hAnsi="Times New Roman"/>
                <w:b w:val="0"/>
                <w:sz w:val="16"/>
              </w:rPr>
              <w:t>3.16</w:t>
            </w:r>
          </w:p>
        </w:tc>
        <w:tc>
          <w:tcPr>
            <w:tcW w:type="dxa" w:w="1134"/>
          </w:tcPr>
          <w:p>
            <w:pPr>
              <w:spacing w:line="240" w:lineRule="auto" w:after="0"/>
            </w:pPr>
            <w:r/>
            <w:r>
              <w:rPr>
                <w:rFonts w:ascii="Times New Roman" w:hAnsi="Times New Roman"/>
                <w:b w:val="0"/>
                <w:sz w:val="16"/>
              </w:rPr>
              <w:t>4.61</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Naive CP (primary residuals)</w:t>
            </w:r>
          </w:p>
        </w:tc>
        <w:tc>
          <w:tcPr>
            <w:tcW w:type="dxa" w:w="1134"/>
          </w:tcPr>
          <w:p>
            <w:pPr>
              <w:spacing w:line="240" w:lineRule="auto" w:after="0"/>
            </w:pPr>
            <w:r/>
            <w:r>
              <w:rPr>
                <w:rFonts w:ascii="Times New Roman" w:hAnsi="Times New Roman"/>
                <w:b w:val="0"/>
                <w:sz w:val="16"/>
              </w:rPr>
              <w:t>0.587</w:t>
            </w:r>
          </w:p>
        </w:tc>
        <w:tc>
          <w:tcPr>
            <w:tcW w:type="dxa" w:w="1134"/>
          </w:tcPr>
          <w:p>
            <w:pPr>
              <w:spacing w:line="240" w:lineRule="auto" w:after="0"/>
            </w:pPr>
            <w:r/>
            <w:r>
              <w:rPr>
                <w:rFonts w:ascii="Times New Roman" w:hAnsi="Times New Roman"/>
                <w:b w:val="0"/>
                <w:sz w:val="16"/>
              </w:rPr>
              <w:t>0.055</w:t>
            </w:r>
          </w:p>
        </w:tc>
        <w:tc>
          <w:tcPr>
            <w:tcW w:type="dxa" w:w="1134"/>
          </w:tcPr>
          <w:p>
            <w:pPr>
              <w:spacing w:line="240" w:lineRule="auto" w:after="0"/>
            </w:pPr>
            <w:r/>
            <w:r>
              <w:rPr>
                <w:rFonts w:ascii="Times New Roman" w:hAnsi="Times New Roman"/>
                <w:b w:val="0"/>
                <w:sz w:val="16"/>
              </w:rPr>
              <w:t>7</w:t>
            </w:r>
          </w:p>
        </w:tc>
        <w:tc>
          <w:tcPr>
            <w:tcW w:type="dxa" w:w="1134"/>
          </w:tcPr>
          <w:p>
            <w:pPr>
              <w:spacing w:line="240" w:lineRule="auto" w:after="0"/>
            </w:pPr>
            <w:r/>
            <w:r>
              <w:rPr>
                <w:rFonts w:ascii="Times New Roman" w:hAnsi="Times New Roman"/>
                <w:b w:val="0"/>
                <w:sz w:val="16"/>
              </w:rPr>
              <w:t>1.36</w:t>
            </w:r>
          </w:p>
        </w:tc>
        <w:tc>
          <w:tcPr>
            <w:tcW w:type="dxa" w:w="1134"/>
          </w:tcPr>
          <w:p>
            <w:pPr>
              <w:spacing w:line="240" w:lineRule="auto" w:after="0"/>
            </w:pPr>
            <w:r/>
            <w:r>
              <w:rPr>
                <w:rFonts w:ascii="Times New Roman" w:hAnsi="Times New Roman"/>
                <w:b w:val="0"/>
                <w:sz w:val="16"/>
              </w:rPr>
              <w:t>5.55</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TD-CP+ (jackknife+)</w:t>
            </w:r>
          </w:p>
        </w:tc>
        <w:tc>
          <w:tcPr>
            <w:tcW w:type="dxa" w:w="1134"/>
          </w:tcPr>
          <w:p>
            <w:pPr>
              <w:spacing w:line="240" w:lineRule="auto" w:after="0"/>
            </w:pPr>
            <w:r/>
            <w:r>
              <w:rPr>
                <w:rFonts w:ascii="Times New Roman" w:hAnsi="Times New Roman"/>
                <w:b w:val="0"/>
                <w:sz w:val="16"/>
              </w:rPr>
              <w:t>0.939</w:t>
            </w:r>
          </w:p>
        </w:tc>
        <w:tc>
          <w:tcPr>
            <w:tcW w:type="dxa" w:w="1134"/>
          </w:tcPr>
          <w:p>
            <w:pPr>
              <w:spacing w:line="240" w:lineRule="auto" w:after="0"/>
            </w:pPr>
            <w:r/>
            <w:r>
              <w:rPr>
                <w:rFonts w:ascii="Times New Roman" w:hAnsi="Times New Roman"/>
                <w:b w:val="0"/>
                <w:sz w:val="16"/>
              </w:rPr>
              <w:t>0.916</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7.07</w:t>
            </w:r>
          </w:p>
        </w:tc>
        <w:tc>
          <w:tcPr>
            <w:tcW w:type="dxa" w:w="1134"/>
          </w:tcPr>
          <w:p>
            <w:pPr>
              <w:spacing w:line="240" w:lineRule="auto" w:after="0"/>
            </w:pPr>
            <w:r/>
            <w:r>
              <w:rPr>
                <w:rFonts w:ascii="Times New Roman" w:hAnsi="Times New Roman"/>
                <w:b w:val="0"/>
                <w:sz w:val="16"/>
              </w:rPr>
              <w:t>7.97</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TD-CP absolute scores</w:t>
            </w:r>
          </w:p>
        </w:tc>
        <w:tc>
          <w:tcPr>
            <w:tcW w:type="dxa" w:w="1134"/>
          </w:tcPr>
          <w:p>
            <w:pPr>
              <w:spacing w:line="240" w:lineRule="auto" w:after="0"/>
            </w:pPr>
            <w:r/>
            <w:r>
              <w:rPr>
                <w:rFonts w:ascii="Times New Roman" w:hAnsi="Times New Roman"/>
                <w:b w:val="0"/>
                <w:sz w:val="16"/>
              </w:rPr>
              <w:t>0.917</w:t>
            </w:r>
          </w:p>
        </w:tc>
        <w:tc>
          <w:tcPr>
            <w:tcW w:type="dxa" w:w="1134"/>
          </w:tcPr>
          <w:p>
            <w:pPr>
              <w:spacing w:line="240" w:lineRule="auto" w:after="0"/>
            </w:pPr>
            <w:r/>
            <w:r>
              <w:rPr>
                <w:rFonts w:ascii="Times New Roman" w:hAnsi="Times New Roman"/>
                <w:b w:val="0"/>
                <w:sz w:val="16"/>
              </w:rPr>
              <w:t>0.897</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6.36</w:t>
            </w:r>
          </w:p>
        </w:tc>
        <w:tc>
          <w:tcPr>
            <w:tcW w:type="dxa" w:w="1134"/>
          </w:tcPr>
          <w:p>
            <w:pPr>
              <w:spacing w:line="240" w:lineRule="auto" w:after="0"/>
            </w:pPr>
            <w:r/>
            <w:r>
              <w:rPr>
                <w:rFonts w:ascii="Times New Roman" w:hAnsi="Times New Roman"/>
                <w:b w:val="0"/>
                <w:sz w:val="16"/>
              </w:rPr>
              <w:t>8.01</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TD-CP signed (pre-specified)</w:t>
            </w:r>
          </w:p>
        </w:tc>
        <w:tc>
          <w:tcPr>
            <w:tcW w:type="dxa" w:w="1134"/>
          </w:tcPr>
          <w:p>
            <w:pPr>
              <w:spacing w:line="240" w:lineRule="auto" w:after="0"/>
            </w:pPr>
            <w:r/>
            <w:r>
              <w:rPr>
                <w:rFonts w:ascii="Times New Roman" w:hAnsi="Times New Roman"/>
                <w:b w:val="0"/>
                <w:sz w:val="16"/>
              </w:rPr>
              <w:t>0.895</w:t>
            </w:r>
          </w:p>
        </w:tc>
        <w:tc>
          <w:tcPr>
            <w:tcW w:type="dxa" w:w="1134"/>
          </w:tcPr>
          <w:p>
            <w:pPr>
              <w:spacing w:line="240" w:lineRule="auto" w:after="0"/>
            </w:pPr>
            <w:r/>
            <w:r>
              <w:rPr>
                <w:rFonts w:ascii="Times New Roman" w:hAnsi="Times New Roman"/>
                <w:b w:val="0"/>
                <w:sz w:val="16"/>
              </w:rPr>
              <w:t>0.855</w:t>
            </w:r>
          </w:p>
        </w:tc>
        <w:tc>
          <w:tcPr>
            <w:tcW w:type="dxa" w:w="1134"/>
          </w:tcPr>
          <w:p>
            <w:pPr>
              <w:spacing w:line="240" w:lineRule="auto" w:after="0"/>
            </w:pPr>
            <w:r/>
            <w:r>
              <w:rPr>
                <w:rFonts w:ascii="Times New Roman" w:hAnsi="Times New Roman"/>
                <w:b w:val="0"/>
                <w:sz w:val="16"/>
              </w:rPr>
              <w:t>77</w:t>
            </w:r>
          </w:p>
        </w:tc>
        <w:tc>
          <w:tcPr>
            <w:tcW w:type="dxa" w:w="1134"/>
          </w:tcPr>
          <w:p>
            <w:pPr>
              <w:spacing w:line="240" w:lineRule="auto" w:after="0"/>
            </w:pPr>
            <w:r/>
            <w:r>
              <w:rPr>
                <w:rFonts w:ascii="Times New Roman" w:hAnsi="Times New Roman"/>
                <w:b w:val="0"/>
                <w:sz w:val="16"/>
              </w:rPr>
              <w:t>5.47</w:t>
            </w:r>
          </w:p>
        </w:tc>
        <w:tc>
          <w:tcPr>
            <w:tcW w:type="dxa" w:w="1134"/>
          </w:tcPr>
          <w:p>
            <w:pPr>
              <w:spacing w:line="240" w:lineRule="auto" w:after="0"/>
            </w:pPr>
            <w:r/>
            <w:r>
              <w:rPr>
                <w:rFonts w:ascii="Times New Roman" w:hAnsi="Times New Roman"/>
                <w:b w:val="0"/>
                <w:sz w:val="16"/>
              </w:rPr>
              <w:t>8.14</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TD-CP w/o cross-fitting</w:t>
            </w:r>
          </w:p>
        </w:tc>
        <w:tc>
          <w:tcPr>
            <w:tcW w:type="dxa" w:w="1134"/>
          </w:tcPr>
          <w:p>
            <w:pPr>
              <w:spacing w:line="240" w:lineRule="auto" w:after="0"/>
            </w:pPr>
            <w:r/>
            <w:r>
              <w:rPr>
                <w:rFonts w:ascii="Times New Roman" w:hAnsi="Times New Roman"/>
                <w:b w:val="0"/>
                <w:sz w:val="16"/>
              </w:rPr>
              <w:t>0.789</w:t>
            </w:r>
          </w:p>
        </w:tc>
        <w:tc>
          <w:tcPr>
            <w:tcW w:type="dxa" w:w="1134"/>
          </w:tcPr>
          <w:p>
            <w:pPr>
              <w:spacing w:line="240" w:lineRule="auto" w:after="0"/>
            </w:pPr>
            <w:r/>
            <w:r>
              <w:rPr>
                <w:rFonts w:ascii="Times New Roman" w:hAnsi="Times New Roman"/>
                <w:b w:val="0"/>
                <w:sz w:val="16"/>
              </w:rPr>
              <w:t>0.627</w:t>
            </w:r>
          </w:p>
        </w:tc>
        <w:tc>
          <w:tcPr>
            <w:tcW w:type="dxa" w:w="1134"/>
          </w:tcPr>
          <w:p>
            <w:pPr>
              <w:spacing w:line="240" w:lineRule="auto" w:after="0"/>
            </w:pPr>
            <w:r/>
            <w:r>
              <w:rPr>
                <w:rFonts w:ascii="Times New Roman" w:hAnsi="Times New Roman"/>
                <w:b w:val="0"/>
                <w:sz w:val="16"/>
              </w:rPr>
              <w:t>0</w:t>
            </w:r>
          </w:p>
        </w:tc>
        <w:tc>
          <w:tcPr>
            <w:tcW w:type="dxa" w:w="1134"/>
          </w:tcPr>
          <w:p>
            <w:pPr>
              <w:spacing w:line="240" w:lineRule="auto" w:after="0"/>
            </w:pPr>
            <w:r/>
            <w:r>
              <w:rPr>
                <w:rFonts w:ascii="Times New Roman" w:hAnsi="Times New Roman"/>
                <w:b w:val="0"/>
                <w:sz w:val="16"/>
              </w:rPr>
              <w:t>3.52</w:t>
            </w:r>
          </w:p>
        </w:tc>
        <w:tc>
          <w:tcPr>
            <w:tcW w:type="dxa" w:w="1134"/>
          </w:tcPr>
          <w:p>
            <w:pPr>
              <w:spacing w:line="240" w:lineRule="auto" w:after="0"/>
            </w:pPr>
            <w:r/>
            <w:r>
              <w:rPr>
                <w:rFonts w:ascii="Times New Roman" w:hAnsi="Times New Roman"/>
                <w:b w:val="0"/>
                <w:sz w:val="16"/>
              </w:rPr>
              <w:t>8.16</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TD-sum (union bound)</w:t>
            </w:r>
          </w:p>
        </w:tc>
        <w:tc>
          <w:tcPr>
            <w:tcW w:type="dxa" w:w="1134"/>
          </w:tcPr>
          <w:p>
            <w:pPr>
              <w:spacing w:line="240" w:lineRule="auto" w:after="0"/>
            </w:pPr>
            <w:r/>
            <w:r>
              <w:rPr>
                <w:rFonts w:ascii="Times New Roman" w:hAnsi="Times New Roman"/>
                <w:b w:val="0"/>
                <w:sz w:val="16"/>
              </w:rPr>
              <w:t>0.966</w:t>
            </w:r>
          </w:p>
        </w:tc>
        <w:tc>
          <w:tcPr>
            <w:tcW w:type="dxa" w:w="1134"/>
          </w:tcPr>
          <w:p>
            <w:pPr>
              <w:spacing w:line="240" w:lineRule="auto" w:after="0"/>
            </w:pPr>
            <w:r/>
            <w:r>
              <w:rPr>
                <w:rFonts w:ascii="Times New Roman" w:hAnsi="Times New Roman"/>
                <w:b w:val="0"/>
                <w:sz w:val="16"/>
              </w:rPr>
              <w:t>0.924</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7.63</w:t>
            </w:r>
          </w:p>
        </w:tc>
        <w:tc>
          <w:tcPr>
            <w:tcW w:type="dxa" w:w="1134"/>
          </w:tcPr>
          <w:p>
            <w:pPr>
              <w:spacing w:line="240" w:lineRule="auto" w:after="0"/>
            </w:pPr>
            <w:r/>
            <w:r>
              <w:rPr>
                <w:rFonts w:ascii="Times New Roman" w:hAnsi="Times New Roman"/>
                <w:b w:val="0"/>
                <w:sz w:val="16"/>
              </w:rPr>
              <w:t>9.02</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Gaussian TD (parametric)</w:t>
            </w:r>
          </w:p>
        </w:tc>
        <w:tc>
          <w:tcPr>
            <w:tcW w:type="dxa" w:w="1134"/>
          </w:tcPr>
          <w:p>
            <w:pPr>
              <w:spacing w:line="240" w:lineRule="auto" w:after="0"/>
            </w:pPr>
            <w:r/>
            <w:r>
              <w:rPr>
                <w:rFonts w:ascii="Times New Roman" w:hAnsi="Times New Roman"/>
                <w:b w:val="0"/>
                <w:sz w:val="16"/>
              </w:rPr>
              <w:t>0.901</w:t>
            </w:r>
          </w:p>
        </w:tc>
        <w:tc>
          <w:tcPr>
            <w:tcW w:type="dxa" w:w="1134"/>
          </w:tcPr>
          <w:p>
            <w:pPr>
              <w:spacing w:line="240" w:lineRule="auto" w:after="0"/>
            </w:pPr>
            <w:r/>
            <w:r>
              <w:rPr>
                <w:rFonts w:ascii="Times New Roman" w:hAnsi="Times New Roman"/>
                <w:b w:val="0"/>
                <w:sz w:val="16"/>
              </w:rPr>
              <w:t>0.881</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5.31</w:t>
            </w:r>
          </w:p>
        </w:tc>
        <w:tc>
          <w:tcPr>
            <w:tcW w:type="dxa" w:w="1134"/>
          </w:tcPr>
          <w:p>
            <w:pPr>
              <w:spacing w:line="240" w:lineRule="auto" w:after="0"/>
            </w:pPr>
            <w:r/>
            <w:r>
              <w:rPr>
                <w:rFonts w:ascii="Times New Roman" w:hAnsi="Times New Roman"/>
                <w:b w:val="0"/>
                <w:sz w:val="16"/>
              </w:rPr>
              <w:t>7.65</w:t>
            </w:r>
          </w:p>
        </w:tc>
      </w:tr>
      <w:tr>
        <w:tc>
          <w:tcPr>
            <w:tcW w:type="dxa" w:w="1134"/>
          </w:tcPr>
          <w:p>
            <w:pPr>
              <w:spacing w:line="240" w:lineRule="auto" w:after="0"/>
            </w:pPr>
            <w:r/>
            <w:r>
              <w:rPr>
                <w:rFonts w:ascii="Times New Roman" w:hAnsi="Times New Roman"/>
                <w:b w:val="0"/>
                <w:sz w:val="16"/>
              </w:rPr>
              <w:t>corn + tablets</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Naive CP (primary residuals)</w:t>
            </w:r>
          </w:p>
        </w:tc>
        <w:tc>
          <w:tcPr>
            <w:tcW w:type="dxa" w:w="1134"/>
          </w:tcPr>
          <w:p>
            <w:pPr>
              <w:spacing w:line="240" w:lineRule="auto" w:after="0"/>
            </w:pPr>
            <w:r/>
            <w:r>
              <w:rPr>
                <w:rFonts w:ascii="Times New Roman" w:hAnsi="Times New Roman"/>
                <w:b w:val="0"/>
                <w:sz w:val="16"/>
              </w:rPr>
              <w:t>0.483</w:t>
            </w:r>
          </w:p>
        </w:tc>
        <w:tc>
          <w:tcPr>
            <w:tcW w:type="dxa" w:w="1134"/>
          </w:tcPr>
          <w:p>
            <w:pPr>
              <w:spacing w:line="240" w:lineRule="auto" w:after="0"/>
            </w:pPr>
            <w:r/>
            <w:r>
              <w:rPr>
                <w:rFonts w:ascii="Times New Roman" w:hAnsi="Times New Roman"/>
                <w:b w:val="0"/>
                <w:sz w:val="16"/>
              </w:rPr>
              <w:t>0.044</w:t>
            </w:r>
          </w:p>
        </w:tc>
        <w:tc>
          <w:tcPr>
            <w:tcW w:type="dxa" w:w="1134"/>
          </w:tcPr>
          <w:p>
            <w:pPr>
              <w:spacing w:line="240" w:lineRule="auto" w:after="0"/>
            </w:pPr>
            <w:r/>
            <w:r>
              <w:rPr>
                <w:rFonts w:ascii="Times New Roman" w:hAnsi="Times New Roman"/>
                <w:b w:val="0"/>
                <w:sz w:val="16"/>
              </w:rPr>
              <w:t>0</w:t>
            </w:r>
          </w:p>
        </w:tc>
        <w:tc>
          <w:tcPr>
            <w:tcW w:type="dxa" w:w="1134"/>
          </w:tcPr>
          <w:p>
            <w:pPr>
              <w:spacing w:line="240" w:lineRule="auto" w:after="0"/>
            </w:pPr>
            <w:r/>
            <w:r>
              <w:rPr>
                <w:rFonts w:ascii="Times New Roman" w:hAnsi="Times New Roman"/>
                <w:b w:val="0"/>
                <w:sz w:val="16"/>
              </w:rPr>
              <w:t>1.36</w:t>
            </w:r>
          </w:p>
        </w:tc>
        <w:tc>
          <w:tcPr>
            <w:tcW w:type="dxa" w:w="1134"/>
          </w:tcPr>
          <w:p>
            <w:pPr>
              <w:spacing w:line="240" w:lineRule="auto" w:after="0"/>
            </w:pPr>
            <w:r/>
            <w:r>
              <w:rPr>
                <w:rFonts w:ascii="Times New Roman" w:hAnsi="Times New Roman"/>
                <w:b w:val="0"/>
                <w:sz w:val="16"/>
              </w:rPr>
              <w:t>14.29</w:t>
            </w:r>
          </w:p>
        </w:tc>
      </w:tr>
    </w:tbl>
    <w:p>
      <w:pPr>
        <w:keepNext/>
        <w:jc w:val="center"/>
      </w:pPr>
      <w:r>
        <w:drawing>
          <wp:inline xmlns:a="http://schemas.openxmlformats.org/drawingml/2006/main" xmlns:pic="http://schemas.openxmlformats.org/drawingml/2006/picture">
            <wp:extent cx="5760000" cy="2221062"/>
            <wp:docPr id="11" name="Picture 11"/>
            <wp:cNvGraphicFramePr>
              <a:graphicFrameLocks noChangeAspect="1"/>
            </wp:cNvGraphicFramePr>
            <a:graphic>
              <a:graphicData uri="http://schemas.openxmlformats.org/drawingml/2006/picture">
                <pic:pic>
                  <pic:nvPicPr>
                    <pic:cNvPr id="0" name="fig4_ablation.png"/>
                    <pic:cNvPicPr/>
                  </pic:nvPicPr>
                  <pic:blipFill>
                    <a:blip r:embed="rId20"/>
                    <a:stretch>
                      <a:fillRect/>
                    </a:stretch>
                  </pic:blipFill>
                  <pic:spPr>
                    <a:xfrm>
                      <a:off x="0" y="0"/>
                      <a:ext cx="5760000" cy="2221062"/>
                    </a:xfrm>
                    <a:prstGeom prst="rect"/>
                  </pic:spPr>
                </pic:pic>
              </a:graphicData>
            </a:graphic>
          </wp:inline>
        </w:drawing>
      </w:r>
    </w:p>
    <w:p>
      <w:pPr>
        <w:spacing w:line="276" w:lineRule="auto"/>
        <w:jc w:val="both"/>
      </w:pPr>
      <w:r>
        <w:rPr>
          <w:rFonts w:ascii="Times New Roman" w:hAnsi="Times New Roman"/>
          <w:b/>
          <w:sz w:val="20"/>
        </w:rPr>
        <w:t>Fig. 4.</w:t>
      </w:r>
      <w:r>
        <w:rPr>
          <w:rFonts w:ascii="Times New Roman" w:hAnsi="Times New Roman"/>
          <w:b w:val="0"/>
          <w:sz w:val="20"/>
        </w:rPr>
        <w:t xml:space="preserve"> Ablation: coverage gap (left) and interval score (right) per scenario, PDS and DS pooled.</w:t>
      </w:r>
    </w:p>
    <w:p>
      <w:pPr>
        <w:keepNext/>
        <w:spacing w:before="160"/>
      </w:pPr>
      <w:r>
        <w:rPr>
          <w:rFonts w:ascii="Times New Roman" w:hAnsi="Times New Roman"/>
          <w:b/>
          <w:sz w:val="24"/>
        </w:rPr>
        <w:t>4.5. Number of transfer standards</w:t>
      </w:r>
    </w:p>
    <w:p>
      <w:pPr>
        <w:jc w:val="both"/>
      </w:pPr>
      <w:r>
        <w:rPr>
          <w:rFonts w:ascii="Times New Roman" w:hAnsi="Times New Roman"/>
          <w:b w:val="0"/>
        </w:rPr>
        <w:t xml:space="preserve">With </w:t>
      </w:r>
      <w:r>
        <w:rPr>
          <w:rFonts w:ascii="Times New Roman" w:hAnsi="Times New Roman"/>
          <w:b w:val="0"/>
          <w:i/>
        </w:rPr>
        <w:t>k</w:t>
      </w:r>
      <w:r>
        <w:rPr>
          <w:rFonts w:ascii="Times New Roman" w:hAnsi="Times New Roman"/>
          <w:b w:val="0"/>
        </w:rPr>
        <w:t xml:space="preserve"> = 5 and 8 labelled standards, target CP cannot produce finite 90% intervals (Fig. 5), because ⌈0.9(</w:t>
      </w:r>
      <w:r>
        <w:rPr>
          <w:rFonts w:ascii="Times New Roman" w:hAnsi="Times New Roman"/>
          <w:b w:val="0"/>
          <w:i/>
        </w:rPr>
        <w:t>k</w:t>
      </w:r>
      <w:r>
        <w:rPr>
          <w:rFonts w:ascii="Times New Roman" w:hAnsi="Times New Roman"/>
          <w:b w:val="0"/>
        </w:rPr>
        <w:t xml:space="preserve"> + 1)⌉ &gt; </w:t>
      </w:r>
      <w:r>
        <w:rPr>
          <w:rFonts w:ascii="Times New Roman" w:hAnsi="Times New Roman"/>
          <w:b w:val="0"/>
          <w:i/>
        </w:rPr>
        <w:t>k</w:t>
      </w:r>
      <w:r>
        <w:rPr>
          <w:rFonts w:ascii="Times New Roman" w:hAnsi="Times New Roman"/>
          <w:b w:val="0"/>
        </w:rPr>
        <w:t xml:space="preserve">; the classical </w:t>
      </w:r>
      <w:r>
        <w:rPr>
          <w:rFonts w:ascii="Times New Roman" w:hAnsi="Times New Roman"/>
          <w:b w:val="0"/>
          <w:i/>
        </w:rPr>
        <w:t>t</w:t>
      </w:r>
      <w:r>
        <w:rPr>
          <w:rFonts w:ascii="Times New Roman" w:hAnsi="Times New Roman"/>
          <w:b w:val="0"/>
        </w:rPr>
        <w:t xml:space="preserve">-interval remains finite but was valid in only 80% (PDS) and 40% (DS) of scenarios at </w:t>
      </w:r>
      <w:r>
        <w:rPr>
          <w:rFonts w:ascii="Times New Roman" w:hAnsi="Times New Roman"/>
          <w:b w:val="0"/>
          <w:i/>
        </w:rPr>
        <w:t>k</w:t>
      </w:r>
      <w:r>
        <w:rPr>
          <w:rFonts w:ascii="Times New Roman" w:hAnsi="Times New Roman"/>
          <w:b w:val="0"/>
        </w:rPr>
        <w:t xml:space="preserve"> = 5. TD-CP+ remained finite for every </w:t>
      </w:r>
      <w:r>
        <w:rPr>
          <w:rFonts w:ascii="Times New Roman" w:hAnsi="Times New Roman"/>
          <w:b w:val="0"/>
          <w:i/>
        </w:rPr>
        <w:t>k</w:t>
      </w:r>
      <w:r>
        <w:rPr>
          <w:rFonts w:ascii="Times New Roman" w:hAnsi="Times New Roman"/>
          <w:b w:val="0"/>
        </w:rPr>
        <w:t xml:space="preserve"> because it borrows the </w:t>
      </w:r>
      <w:r>
        <w:rPr>
          <w:rFonts w:ascii="Times New Roman" w:hAnsi="Times New Roman"/>
          <w:b w:val="0"/>
          <w:i/>
        </w:rPr>
        <w:t>n</w:t>
      </w:r>
      <w:r>
        <w:rPr>
          <w:rFonts w:ascii="Times New Roman" w:hAnsi="Times New Roman"/>
          <w:b w:val="0"/>
        </w:rPr>
        <w:t xml:space="preserve"> primary residuals. It was valid in all scenarios from </w:t>
      </w:r>
      <w:r>
        <w:rPr>
          <w:rFonts w:ascii="Times New Roman" w:hAnsi="Times New Roman"/>
          <w:b w:val="0"/>
          <w:i/>
        </w:rPr>
        <w:t>k</w:t>
      </w:r>
      <w:r>
        <w:rPr>
          <w:rFonts w:ascii="Times New Roman" w:hAnsi="Times New Roman"/>
          <w:b w:val="0"/>
        </w:rPr>
        <w:t xml:space="preserve"> = 8 onwards for both transfer methods, and at </w:t>
      </w:r>
      <w:r>
        <w:rPr>
          <w:rFonts w:ascii="Times New Roman" w:hAnsi="Times New Roman"/>
          <w:b w:val="0"/>
          <w:i/>
        </w:rPr>
        <w:t>k</w:t>
      </w:r>
      <w:r>
        <w:rPr>
          <w:rFonts w:ascii="Times New Roman" w:hAnsi="Times New Roman"/>
          <w:b w:val="0"/>
        </w:rPr>
        <w:t xml:space="preserve"> = 5 in 100% (PDS) and 47% (DS) of scenarios (coverage 0.950 and 0.875). Its interval score decreased with </w:t>
      </w:r>
      <w:r>
        <w:rPr>
          <w:rFonts w:ascii="Times New Roman" w:hAnsi="Times New Roman"/>
          <w:b w:val="0"/>
          <w:i/>
        </w:rPr>
        <w:t>k</w:t>
      </w:r>
      <w:r>
        <w:rPr>
          <w:rFonts w:ascii="Times New Roman" w:hAnsi="Times New Roman"/>
          <w:b w:val="0"/>
        </w:rPr>
        <w:t xml:space="preserve"> (PDS: 13.81 at </w:t>
      </w:r>
      <w:r>
        <w:rPr>
          <w:rFonts w:ascii="Times New Roman" w:hAnsi="Times New Roman"/>
          <w:b w:val="0"/>
          <w:i/>
        </w:rPr>
        <w:t>k</w:t>
      </w:r>
      <w:r>
        <w:rPr>
          <w:rFonts w:ascii="Times New Roman" w:hAnsi="Times New Roman"/>
          <w:b w:val="0"/>
        </w:rPr>
        <w:t xml:space="preserve"> = 5 to 4.23 at </w:t>
      </w:r>
      <w:r>
        <w:rPr>
          <w:rFonts w:ascii="Times New Roman" w:hAnsi="Times New Roman"/>
          <w:b w:val="0"/>
          <w:i/>
        </w:rPr>
        <w:t>k</w:t>
      </w:r>
      <w:r>
        <w:rPr>
          <w:rFonts w:ascii="Times New Roman" w:hAnsi="Times New Roman"/>
          <w:b w:val="0"/>
        </w:rPr>
        <w:t xml:space="preserve"> = 30), reflecting the improved transfer itself. For DS with </w:t>
      </w:r>
      <w:r>
        <w:rPr>
          <w:rFonts w:ascii="Times New Roman" w:hAnsi="Times New Roman"/>
          <w:b w:val="0"/>
          <w:i/>
        </w:rPr>
        <w:t>k</w:t>
      </w:r>
      <w:r>
        <w:rPr>
          <w:rFonts w:ascii="Times New Roman" w:hAnsi="Times New Roman"/>
          <w:b w:val="0"/>
        </w:rPr>
        <w:t xml:space="preserve"> = 5, the instability of a 5-spectrum pseudo-inverse is the limiting factor; we recommend </w:t>
      </w:r>
      <w:r>
        <w:rPr>
          <w:rFonts w:ascii="Times New Roman" w:hAnsi="Times New Roman"/>
          <w:b w:val="0"/>
          <w:i/>
        </w:rPr>
        <w:t>k</w:t>
      </w:r>
      <w:r>
        <w:rPr>
          <w:rFonts w:ascii="Times New Roman" w:hAnsi="Times New Roman"/>
          <w:b w:val="0"/>
        </w:rPr>
        <w:t xml:space="preserve"> ≥ 8 standards.</w:t>
      </w:r>
    </w:p>
    <w:p>
      <w:pPr>
        <w:keepNext/>
        <w:jc w:val="center"/>
      </w:pPr>
      <w:r>
        <w:drawing>
          <wp:inline xmlns:a="http://schemas.openxmlformats.org/drawingml/2006/main" xmlns:pic="http://schemas.openxmlformats.org/drawingml/2006/picture">
            <wp:extent cx="5760000" cy="3813838"/>
            <wp:docPr id="12" name="Picture 12"/>
            <wp:cNvGraphicFramePr>
              <a:graphicFrameLocks noChangeAspect="1"/>
            </wp:cNvGraphicFramePr>
            <a:graphic>
              <a:graphicData uri="http://schemas.openxmlformats.org/drawingml/2006/picture">
                <pic:pic>
                  <pic:nvPicPr>
                    <pic:cNvPr id="0" name="fig5_k_sensitivity.png"/>
                    <pic:cNvPicPr/>
                  </pic:nvPicPr>
                  <pic:blipFill>
                    <a:blip r:embed="rId21"/>
                    <a:stretch>
                      <a:fillRect/>
                    </a:stretch>
                  </pic:blipFill>
                  <pic:spPr>
                    <a:xfrm>
                      <a:off x="0" y="0"/>
                      <a:ext cx="5760000" cy="3813838"/>
                    </a:xfrm>
                    <a:prstGeom prst="rect"/>
                  </pic:spPr>
                </pic:pic>
              </a:graphicData>
            </a:graphic>
          </wp:inline>
        </w:drawing>
      </w:r>
    </w:p>
    <w:p>
      <w:pPr>
        <w:spacing w:line="276" w:lineRule="auto"/>
        <w:jc w:val="both"/>
      </w:pPr>
      <w:r>
        <w:rPr>
          <w:rFonts w:ascii="Times New Roman" w:hAnsi="Times New Roman"/>
          <w:b/>
          <w:sz w:val="20"/>
        </w:rPr>
        <w:t>Fig. 5.</w:t>
      </w:r>
      <w:r>
        <w:rPr>
          <w:rFonts w:ascii="Times New Roman" w:hAnsi="Times New Roman"/>
          <w:b w:val="0"/>
          <w:sz w:val="20"/>
        </w:rPr>
        <w:t xml:space="preserve"> Mean coverage (top) and interval score (bottom) versus the number of transfer standards k; error bars: 95% CI over scenarios. Target CP and Target CP+ are infinite (not shown) for k &lt; 9.</w:t>
      </w:r>
    </w:p>
    <w:p>
      <w:pPr>
        <w:keepNext/>
        <w:spacing w:before="160"/>
      </w:pPr>
      <w:r>
        <w:rPr>
          <w:rFonts w:ascii="Times New Roman" w:hAnsi="Times New Roman"/>
          <w:b/>
          <w:sz w:val="24"/>
        </w:rPr>
        <w:t>4.6. Robustness and generalisation</w:t>
      </w:r>
    </w:p>
    <w:p>
      <w:pPr>
        <w:jc w:val="both"/>
      </w:pPr>
      <w:r>
        <w:rPr>
          <w:rFonts w:ascii="Times New Roman" w:hAnsi="Times New Roman"/>
          <w:b w:val="0"/>
        </w:rPr>
        <w:t>Table 6 and Fig. 6 summarise the confirmatory experiments; none of them had been inspected when TD-CP+ was introduced, and three (unrepresentative standards, one-standard-error PLS, PDS window) were added during internal review. With Kennard–Stone selection of the standards, which violates the exchangeability between standards and test samples, TD-CP+ covered 0.962 (PDS) and 0.950 (DS). A harsher violation, drawing all standards from samples with reference values below the median, degraded the transfer itself (naive coverage 0.461 and 0.529); TD-CP+ covered 0.939 (PDS, valid in 100% of scenarios) and 0.876 (DS, 60%), against 0.942 and 0.880 for the labelled target CP+. With DS and unrepresentative standards, therefore, neither TD-CP+ nor the method using reference values for all standards was reliably valid: the discrepancies of standards from one part of the calibration range do not describe the transfer error elsewhere. Representative standards are a precondition for TD-CP+, as they are for the transfer itself. With SNV + first-derivative preprocessing it covered 0.936 and 0.925; with a ridge-regression calibration 0.945 (PDS). Because the corn models selected by minimum RMSECV were complex (median 10 latent variables for 45 samples) and complex models can be fragile to instrument differences, we repeated the study with the more parsimonious one-standard-error rule (median 8 latent variables for corn): naive CP still covered only 0.576 (PDS) and 0.621 (DS), while TD-CP+ covered 0.937 and 0.927. Varying the PDS window from 3 to 11 channels changed the transfer quality (naive coverage from 0.536 with 3 channels to 0.404 with 11) but not the validity of TD-CP+ (coverage 0.942 and 0.946). Added secondary-instrument noise (2% of the channel SD) gave 0.953, versus 0.339 for naive CP. Without any standardisation, the transfer discrepancy dominates the error, and TD-CP+ still covered 0.921 (naive CP: 0.283). Here, however, the symmetric TD-CP+ interval was much less efficient (IS/SD 5.61) than the signed TD-CP (2.35, coverage 0.917) or the Gaussian combination (2.28), because an uncorrected instrument difference produces a large systematic bias that only the signed constructions can shift the interval to absorb. When the discrepancies are strongly one-sided, the signed TD-CP is preferable. On the official IDRC partition of the tablets it covered 0.924 (PDS) and 0.916 (DS). For virtual secondary instruments of increasing severity, naive coverage fell from 0.895 to 0.741 (PDS), while TD-CP+ covered 0.918–0.924.</w:t>
      </w:r>
    </w:p>
    <w:p>
      <w:pPr>
        <w:keepNext/>
        <w:spacing w:line="276" w:lineRule="auto"/>
      </w:pPr>
      <w:r>
        <w:rPr>
          <w:rFonts w:ascii="Times New Roman" w:hAnsi="Times New Roman"/>
          <w:b/>
          <w:sz w:val="20"/>
        </w:rPr>
        <w:t>Table 6.</w:t>
      </w:r>
      <w:r>
        <w:rPr>
          <w:rFonts w:ascii="Times New Roman" w:hAnsi="Times New Roman"/>
          <w:b w:val="0"/>
          <w:sz w:val="20"/>
        </w:rPr>
        <w:t xml:space="preserve"> Robustness and generalisation at α = 0.10: mean coverage over scenarios (30 per condition and transfer method; 7 for each simulated severity, 6 for the IDRC partition) and percentage of scenarios in which TD-CP+ was valid. All methods and interval scores: Table S9.</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E8E8E8"/>
          </w:tcPr>
          <w:p>
            <w:pPr>
              <w:spacing w:line="240" w:lineRule="auto" w:after="0"/>
            </w:pPr>
            <w:r/>
            <w:r>
              <w:rPr>
                <w:rFonts w:ascii="Times New Roman" w:hAnsi="Times New Roman"/>
                <w:b/>
                <w:sz w:val="16"/>
              </w:rPr>
              <w:t>Condition</w:t>
            </w:r>
          </w:p>
        </w:tc>
        <w:tc>
          <w:tcPr>
            <w:tcW w:type="dxa" w:w="1134"/>
            <w:shd w:val="clear" w:color="auto" w:fill="E8E8E8"/>
          </w:tcPr>
          <w:p>
            <w:pPr>
              <w:spacing w:line="240" w:lineRule="auto" w:after="0"/>
            </w:pPr>
            <w:r/>
            <w:r>
              <w:rPr>
                <w:rFonts w:ascii="Times New Roman" w:hAnsi="Times New Roman"/>
                <w:b/>
                <w:sz w:val="16"/>
              </w:rPr>
              <w:t>Transfer</w:t>
            </w:r>
          </w:p>
        </w:tc>
        <w:tc>
          <w:tcPr>
            <w:tcW w:type="dxa" w:w="1134"/>
            <w:shd w:val="clear" w:color="auto" w:fill="E8E8E8"/>
          </w:tcPr>
          <w:p>
            <w:pPr>
              <w:spacing w:line="240" w:lineRule="auto" w:after="0"/>
            </w:pPr>
            <w:r/>
            <w:r>
              <w:rPr>
                <w:rFonts w:ascii="Times New Roman" w:hAnsi="Times New Roman"/>
                <w:b/>
                <w:sz w:val="16"/>
              </w:rPr>
              <w:t>Naive CP</w:t>
            </w:r>
          </w:p>
        </w:tc>
        <w:tc>
          <w:tcPr>
            <w:tcW w:type="dxa" w:w="1134"/>
            <w:shd w:val="clear" w:color="auto" w:fill="E8E8E8"/>
          </w:tcPr>
          <w:p>
            <w:pPr>
              <w:spacing w:line="240" w:lineRule="auto" w:after="0"/>
            </w:pPr>
            <w:r/>
            <w:r>
              <w:rPr>
                <w:rFonts w:ascii="Times New Roman" w:hAnsi="Times New Roman"/>
                <w:b/>
                <w:sz w:val="16"/>
              </w:rPr>
              <w:t>Gauss-TD</w:t>
            </w:r>
          </w:p>
        </w:tc>
        <w:tc>
          <w:tcPr>
            <w:tcW w:type="dxa" w:w="1134"/>
            <w:shd w:val="clear" w:color="auto" w:fill="E8E8E8"/>
          </w:tcPr>
          <w:p>
            <w:pPr>
              <w:spacing w:line="240" w:lineRule="auto" w:after="0"/>
            </w:pPr>
            <w:r/>
            <w:r>
              <w:rPr>
                <w:rFonts w:ascii="Times New Roman" w:hAnsi="Times New Roman"/>
                <w:b/>
                <w:sz w:val="16"/>
              </w:rPr>
              <w:t>TD-CP signed</w:t>
            </w:r>
          </w:p>
        </w:tc>
        <w:tc>
          <w:tcPr>
            <w:tcW w:type="dxa" w:w="1134"/>
            <w:shd w:val="clear" w:color="auto" w:fill="E8E8E8"/>
          </w:tcPr>
          <w:p>
            <w:pPr>
              <w:spacing w:line="240" w:lineRule="auto" w:after="0"/>
            </w:pPr>
            <w:r/>
            <w:r>
              <w:rPr>
                <w:rFonts w:ascii="Times New Roman" w:hAnsi="Times New Roman"/>
                <w:b/>
                <w:sz w:val="16"/>
              </w:rPr>
              <w:t>TD-CP+</w:t>
            </w:r>
          </w:p>
        </w:tc>
        <w:tc>
          <w:tcPr>
            <w:tcW w:type="dxa" w:w="1134"/>
            <w:shd w:val="clear" w:color="auto" w:fill="E8E8E8"/>
          </w:tcPr>
          <w:p>
            <w:pPr>
              <w:spacing w:line="240" w:lineRule="auto" w:after="0"/>
            </w:pPr>
            <w:r/>
            <w:r>
              <w:rPr>
                <w:rFonts w:ascii="Times New Roman" w:hAnsi="Times New Roman"/>
                <w:b/>
                <w:sz w:val="16"/>
              </w:rPr>
              <w:t>TD-CP+ valid (%)</w:t>
            </w:r>
          </w:p>
        </w:tc>
        <w:tc>
          <w:tcPr>
            <w:tcW w:type="dxa" w:w="1134"/>
            <w:shd w:val="clear" w:color="auto" w:fill="E8E8E8"/>
          </w:tcPr>
          <w:p>
            <w:pPr>
              <w:spacing w:line="240" w:lineRule="auto" w:after="0"/>
            </w:pPr>
            <w:r/>
            <w:r>
              <w:rPr>
                <w:rFonts w:ascii="Times New Roman" w:hAnsi="Times New Roman"/>
                <w:b/>
                <w:sz w:val="16"/>
              </w:rPr>
              <w:t>Target CP+ (labelled)</w:t>
            </w:r>
          </w:p>
        </w:tc>
      </w:tr>
      <w:tr>
        <w:tc>
          <w:tcPr>
            <w:tcW w:type="dxa" w:w="1134"/>
          </w:tcPr>
          <w:p>
            <w:pPr>
              <w:spacing w:line="240" w:lineRule="auto" w:after="0"/>
            </w:pPr>
            <w:r/>
            <w:r>
              <w:rPr>
                <w:rFonts w:ascii="Times New Roman" w:hAnsi="Times New Roman"/>
                <w:b w:val="0"/>
                <w:sz w:val="16"/>
              </w:rPr>
              <w:t>standards from lower half of y</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0.529</w:t>
            </w:r>
          </w:p>
        </w:tc>
        <w:tc>
          <w:tcPr>
            <w:tcW w:type="dxa" w:w="1134"/>
          </w:tcPr>
          <w:p>
            <w:pPr>
              <w:spacing w:line="240" w:lineRule="auto" w:after="0"/>
            </w:pPr>
            <w:r/>
            <w:r>
              <w:rPr>
                <w:rFonts w:ascii="Times New Roman" w:hAnsi="Times New Roman"/>
                <w:b w:val="0"/>
                <w:sz w:val="16"/>
              </w:rPr>
              <w:t>0.824</w:t>
            </w:r>
          </w:p>
        </w:tc>
        <w:tc>
          <w:tcPr>
            <w:tcW w:type="dxa" w:w="1134"/>
          </w:tcPr>
          <w:p>
            <w:pPr>
              <w:spacing w:line="240" w:lineRule="auto" w:after="0"/>
            </w:pPr>
            <w:r/>
            <w:r>
              <w:rPr>
                <w:rFonts w:ascii="Times New Roman" w:hAnsi="Times New Roman"/>
                <w:b w:val="0"/>
                <w:sz w:val="16"/>
              </w:rPr>
              <w:t>0.825</w:t>
            </w:r>
          </w:p>
        </w:tc>
        <w:tc>
          <w:tcPr>
            <w:tcW w:type="dxa" w:w="1134"/>
          </w:tcPr>
          <w:p>
            <w:pPr>
              <w:spacing w:line="240" w:lineRule="auto" w:after="0"/>
            </w:pPr>
            <w:r/>
            <w:r>
              <w:rPr>
                <w:rFonts w:ascii="Times New Roman" w:hAnsi="Times New Roman"/>
                <w:b w:val="0"/>
                <w:sz w:val="16"/>
              </w:rPr>
              <w:t>0.876</w:t>
            </w:r>
          </w:p>
        </w:tc>
        <w:tc>
          <w:tcPr>
            <w:tcW w:type="dxa" w:w="1134"/>
          </w:tcPr>
          <w:p>
            <w:pPr>
              <w:spacing w:line="240" w:lineRule="auto" w:after="0"/>
            </w:pPr>
            <w:r/>
            <w:r>
              <w:rPr>
                <w:rFonts w:ascii="Times New Roman" w:hAnsi="Times New Roman"/>
                <w:b w:val="0"/>
                <w:sz w:val="16"/>
              </w:rPr>
              <w:t>60</w:t>
            </w:r>
          </w:p>
        </w:tc>
        <w:tc>
          <w:tcPr>
            <w:tcW w:type="dxa" w:w="1134"/>
          </w:tcPr>
          <w:p>
            <w:pPr>
              <w:spacing w:line="240" w:lineRule="auto" w:after="0"/>
            </w:pPr>
            <w:r/>
            <w:r>
              <w:rPr>
                <w:rFonts w:ascii="Times New Roman" w:hAnsi="Times New Roman"/>
                <w:b w:val="0"/>
                <w:sz w:val="16"/>
              </w:rPr>
              <w:t>0.880</w:t>
            </w:r>
          </w:p>
        </w:tc>
      </w:tr>
      <w:tr>
        <w:tc>
          <w:tcPr>
            <w:tcW w:type="dxa" w:w="1134"/>
          </w:tcPr>
          <w:p>
            <w:pPr>
              <w:spacing w:line="240" w:lineRule="auto" w:after="0"/>
            </w:pPr>
            <w:r/>
            <w:r>
              <w:rPr>
                <w:rFonts w:ascii="Times New Roman" w:hAnsi="Times New Roman"/>
                <w:b w:val="0"/>
                <w:sz w:val="16"/>
              </w:rPr>
              <w:t>standards from lower half of y</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0.461</w:t>
            </w:r>
          </w:p>
        </w:tc>
        <w:tc>
          <w:tcPr>
            <w:tcW w:type="dxa" w:w="1134"/>
          </w:tcPr>
          <w:p>
            <w:pPr>
              <w:spacing w:line="240" w:lineRule="auto" w:after="0"/>
            </w:pPr>
            <w:r/>
            <w:r>
              <w:rPr>
                <w:rFonts w:ascii="Times New Roman" w:hAnsi="Times New Roman"/>
                <w:b w:val="0"/>
                <w:sz w:val="16"/>
              </w:rPr>
              <w:t>0.894</w:t>
            </w:r>
          </w:p>
        </w:tc>
        <w:tc>
          <w:tcPr>
            <w:tcW w:type="dxa" w:w="1134"/>
          </w:tcPr>
          <w:p>
            <w:pPr>
              <w:spacing w:line="240" w:lineRule="auto" w:after="0"/>
            </w:pPr>
            <w:r/>
            <w:r>
              <w:rPr>
                <w:rFonts w:ascii="Times New Roman" w:hAnsi="Times New Roman"/>
                <w:b w:val="0"/>
                <w:sz w:val="16"/>
              </w:rPr>
              <w:t>0.887</w:t>
            </w:r>
          </w:p>
        </w:tc>
        <w:tc>
          <w:tcPr>
            <w:tcW w:type="dxa" w:w="1134"/>
          </w:tcPr>
          <w:p>
            <w:pPr>
              <w:spacing w:line="240" w:lineRule="auto" w:after="0"/>
            </w:pPr>
            <w:r/>
            <w:r>
              <w:rPr>
                <w:rFonts w:ascii="Times New Roman" w:hAnsi="Times New Roman"/>
                <w:b w:val="0"/>
                <w:sz w:val="16"/>
              </w:rPr>
              <w:t>0.939</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0.942</w:t>
            </w:r>
          </w:p>
        </w:tc>
      </w:tr>
      <w:tr>
        <w:tc>
          <w:tcPr>
            <w:tcW w:type="dxa" w:w="1134"/>
          </w:tcPr>
          <w:p>
            <w:pPr>
              <w:spacing w:line="240" w:lineRule="auto" w:after="0"/>
            </w:pPr>
            <w:r/>
            <w:r>
              <w:rPr>
                <w:rFonts w:ascii="Times New Roman" w:hAnsi="Times New Roman"/>
                <w:b w:val="0"/>
                <w:sz w:val="16"/>
              </w:rPr>
              <w:t>KS selection</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0.573</w:t>
            </w:r>
          </w:p>
        </w:tc>
        <w:tc>
          <w:tcPr>
            <w:tcW w:type="dxa" w:w="1134"/>
          </w:tcPr>
          <w:p>
            <w:pPr>
              <w:spacing w:line="240" w:lineRule="auto" w:after="0"/>
            </w:pPr>
            <w:r/>
            <w:r>
              <w:rPr>
                <w:rFonts w:ascii="Times New Roman" w:hAnsi="Times New Roman"/>
                <w:b w:val="0"/>
                <w:sz w:val="16"/>
              </w:rPr>
              <w:t>0.915</w:t>
            </w:r>
          </w:p>
        </w:tc>
        <w:tc>
          <w:tcPr>
            <w:tcW w:type="dxa" w:w="1134"/>
          </w:tcPr>
          <w:p>
            <w:pPr>
              <w:spacing w:line="240" w:lineRule="auto" w:after="0"/>
            </w:pPr>
            <w:r/>
            <w:r>
              <w:rPr>
                <w:rFonts w:ascii="Times New Roman" w:hAnsi="Times New Roman"/>
                <w:b w:val="0"/>
                <w:sz w:val="16"/>
              </w:rPr>
              <w:t>0.917</w:t>
            </w:r>
          </w:p>
        </w:tc>
        <w:tc>
          <w:tcPr>
            <w:tcW w:type="dxa" w:w="1134"/>
          </w:tcPr>
          <w:p>
            <w:pPr>
              <w:spacing w:line="240" w:lineRule="auto" w:after="0"/>
            </w:pPr>
            <w:r/>
            <w:r>
              <w:rPr>
                <w:rFonts w:ascii="Times New Roman" w:hAnsi="Times New Roman"/>
                <w:b w:val="0"/>
                <w:sz w:val="16"/>
              </w:rPr>
              <w:t>0.950</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0.958</w:t>
            </w:r>
          </w:p>
        </w:tc>
      </w:tr>
      <w:tr>
        <w:tc>
          <w:tcPr>
            <w:tcW w:type="dxa" w:w="1134"/>
          </w:tcPr>
          <w:p>
            <w:pPr>
              <w:spacing w:line="240" w:lineRule="auto" w:after="0"/>
            </w:pPr>
            <w:r/>
            <w:r>
              <w:rPr>
                <w:rFonts w:ascii="Times New Roman" w:hAnsi="Times New Roman"/>
                <w:b w:val="0"/>
                <w:sz w:val="16"/>
              </w:rPr>
              <w:t>KS selection</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0.482</w:t>
            </w:r>
          </w:p>
        </w:tc>
        <w:tc>
          <w:tcPr>
            <w:tcW w:type="dxa" w:w="1134"/>
          </w:tcPr>
          <w:p>
            <w:pPr>
              <w:spacing w:line="240" w:lineRule="auto" w:after="0"/>
            </w:pPr>
            <w:r/>
            <w:r>
              <w:rPr>
                <w:rFonts w:ascii="Times New Roman" w:hAnsi="Times New Roman"/>
                <w:b w:val="0"/>
                <w:sz w:val="16"/>
              </w:rPr>
              <w:t>0.941</w:t>
            </w:r>
          </w:p>
        </w:tc>
        <w:tc>
          <w:tcPr>
            <w:tcW w:type="dxa" w:w="1134"/>
          </w:tcPr>
          <w:p>
            <w:pPr>
              <w:spacing w:line="240" w:lineRule="auto" w:after="0"/>
            </w:pPr>
            <w:r/>
            <w:r>
              <w:rPr>
                <w:rFonts w:ascii="Times New Roman" w:hAnsi="Times New Roman"/>
                <w:b w:val="0"/>
                <w:sz w:val="16"/>
              </w:rPr>
              <w:t>0.936</w:t>
            </w:r>
          </w:p>
        </w:tc>
        <w:tc>
          <w:tcPr>
            <w:tcW w:type="dxa" w:w="1134"/>
          </w:tcPr>
          <w:p>
            <w:pPr>
              <w:spacing w:line="240" w:lineRule="auto" w:after="0"/>
            </w:pPr>
            <w:r/>
            <w:r>
              <w:rPr>
                <w:rFonts w:ascii="Times New Roman" w:hAnsi="Times New Roman"/>
                <w:b w:val="0"/>
                <w:sz w:val="16"/>
              </w:rPr>
              <w:t>0.962</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0.972</w:t>
            </w:r>
          </w:p>
        </w:tc>
      </w:tr>
      <w:tr>
        <w:tc>
          <w:tcPr>
            <w:tcW w:type="dxa" w:w="1134"/>
          </w:tcPr>
          <w:p>
            <w:pPr>
              <w:spacing w:line="240" w:lineRule="auto" w:after="0"/>
            </w:pPr>
            <w:r/>
            <w:r>
              <w:rPr>
                <w:rFonts w:ascii="Times New Roman" w:hAnsi="Times New Roman"/>
                <w:b w:val="0"/>
                <w:sz w:val="16"/>
              </w:rPr>
              <w:t>no transfer</w:t>
            </w:r>
          </w:p>
        </w:tc>
        <w:tc>
          <w:tcPr>
            <w:tcW w:type="dxa" w:w="1134"/>
          </w:tcPr>
          <w:p>
            <w:pPr>
              <w:spacing w:line="240" w:lineRule="auto" w:after="0"/>
            </w:pPr>
            <w:r/>
            <w:r>
              <w:rPr>
                <w:rFonts w:ascii="Times New Roman" w:hAnsi="Times New Roman"/>
                <w:b w:val="0"/>
                <w:sz w:val="16"/>
              </w:rPr>
              <w:t>NONE</w:t>
            </w:r>
          </w:p>
        </w:tc>
        <w:tc>
          <w:tcPr>
            <w:tcW w:type="dxa" w:w="1134"/>
          </w:tcPr>
          <w:p>
            <w:pPr>
              <w:spacing w:line="240" w:lineRule="auto" w:after="0"/>
            </w:pPr>
            <w:r/>
            <w:r>
              <w:rPr>
                <w:rFonts w:ascii="Times New Roman" w:hAnsi="Times New Roman"/>
                <w:b w:val="0"/>
                <w:sz w:val="16"/>
              </w:rPr>
              <w:t>0.283</w:t>
            </w:r>
          </w:p>
        </w:tc>
        <w:tc>
          <w:tcPr>
            <w:tcW w:type="dxa" w:w="1134"/>
          </w:tcPr>
          <w:p>
            <w:pPr>
              <w:spacing w:line="240" w:lineRule="auto" w:after="0"/>
            </w:pPr>
            <w:r/>
            <w:r>
              <w:rPr>
                <w:rFonts w:ascii="Times New Roman" w:hAnsi="Times New Roman"/>
                <w:b w:val="0"/>
                <w:sz w:val="16"/>
              </w:rPr>
              <w:t>0.903</w:t>
            </w:r>
          </w:p>
        </w:tc>
        <w:tc>
          <w:tcPr>
            <w:tcW w:type="dxa" w:w="1134"/>
          </w:tcPr>
          <w:p>
            <w:pPr>
              <w:spacing w:line="240" w:lineRule="auto" w:after="0"/>
            </w:pPr>
            <w:r/>
            <w:r>
              <w:rPr>
                <w:rFonts w:ascii="Times New Roman" w:hAnsi="Times New Roman"/>
                <w:b w:val="0"/>
                <w:sz w:val="16"/>
              </w:rPr>
              <w:t>0.917</w:t>
            </w:r>
          </w:p>
        </w:tc>
        <w:tc>
          <w:tcPr>
            <w:tcW w:type="dxa" w:w="1134"/>
          </w:tcPr>
          <w:p>
            <w:pPr>
              <w:spacing w:line="240" w:lineRule="auto" w:after="0"/>
            </w:pPr>
            <w:r/>
            <w:r>
              <w:rPr>
                <w:rFonts w:ascii="Times New Roman" w:hAnsi="Times New Roman"/>
                <w:b w:val="0"/>
                <w:sz w:val="16"/>
              </w:rPr>
              <w:t>0.921</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0.912</w:t>
            </w:r>
          </w:p>
        </w:tc>
      </w:tr>
      <w:tr>
        <w:tc>
          <w:tcPr>
            <w:tcW w:type="dxa" w:w="1134"/>
          </w:tcPr>
          <w:p>
            <w:pPr>
              <w:spacing w:line="240" w:lineRule="auto" w:after="0"/>
            </w:pPr>
            <w:r/>
            <w:r>
              <w:rPr>
                <w:rFonts w:ascii="Times New Roman" w:hAnsi="Times New Roman"/>
                <w:b w:val="0"/>
                <w:sz w:val="16"/>
              </w:rPr>
              <w:t>noise=0.005</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0.406</w:t>
            </w:r>
          </w:p>
        </w:tc>
        <w:tc>
          <w:tcPr>
            <w:tcW w:type="dxa" w:w="1134"/>
          </w:tcPr>
          <w:p>
            <w:pPr>
              <w:spacing w:line="240" w:lineRule="auto" w:after="0"/>
            </w:pPr>
            <w:r/>
            <w:r>
              <w:rPr>
                <w:rFonts w:ascii="Times New Roman" w:hAnsi="Times New Roman"/>
                <w:b w:val="0"/>
                <w:sz w:val="16"/>
              </w:rPr>
              <w:t>0.899</w:t>
            </w:r>
          </w:p>
        </w:tc>
        <w:tc>
          <w:tcPr>
            <w:tcW w:type="dxa" w:w="1134"/>
          </w:tcPr>
          <w:p>
            <w:pPr>
              <w:spacing w:line="240" w:lineRule="auto" w:after="0"/>
            </w:pPr>
            <w:r/>
            <w:r>
              <w:rPr>
                <w:rFonts w:ascii="Times New Roman" w:hAnsi="Times New Roman"/>
                <w:b w:val="0"/>
                <w:sz w:val="16"/>
              </w:rPr>
              <w:t>0.888</w:t>
            </w:r>
          </w:p>
        </w:tc>
        <w:tc>
          <w:tcPr>
            <w:tcW w:type="dxa" w:w="1134"/>
          </w:tcPr>
          <w:p>
            <w:pPr>
              <w:spacing w:line="240" w:lineRule="auto" w:after="0"/>
            </w:pPr>
            <w:r/>
            <w:r>
              <w:rPr>
                <w:rFonts w:ascii="Times New Roman" w:hAnsi="Times New Roman"/>
                <w:b w:val="0"/>
                <w:sz w:val="16"/>
              </w:rPr>
              <w:t>0.945</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0.948</w:t>
            </w:r>
          </w:p>
        </w:tc>
      </w:tr>
      <w:tr>
        <w:tc>
          <w:tcPr>
            <w:tcW w:type="dxa" w:w="1134"/>
          </w:tcPr>
          <w:p>
            <w:pPr>
              <w:spacing w:line="240" w:lineRule="auto" w:after="0"/>
            </w:pPr>
            <w:r/>
            <w:r>
              <w:rPr>
                <w:rFonts w:ascii="Times New Roman" w:hAnsi="Times New Roman"/>
                <w:b w:val="0"/>
                <w:sz w:val="16"/>
              </w:rPr>
              <w:t>noise=0.01</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0.365</w:t>
            </w:r>
          </w:p>
        </w:tc>
        <w:tc>
          <w:tcPr>
            <w:tcW w:type="dxa" w:w="1134"/>
          </w:tcPr>
          <w:p>
            <w:pPr>
              <w:spacing w:line="240" w:lineRule="auto" w:after="0"/>
            </w:pPr>
            <w:r/>
            <w:r>
              <w:rPr>
                <w:rFonts w:ascii="Times New Roman" w:hAnsi="Times New Roman"/>
                <w:b w:val="0"/>
                <w:sz w:val="16"/>
              </w:rPr>
              <w:t>0.899</w:t>
            </w:r>
          </w:p>
        </w:tc>
        <w:tc>
          <w:tcPr>
            <w:tcW w:type="dxa" w:w="1134"/>
          </w:tcPr>
          <w:p>
            <w:pPr>
              <w:spacing w:line="240" w:lineRule="auto" w:after="0"/>
            </w:pPr>
            <w:r/>
            <w:r>
              <w:rPr>
                <w:rFonts w:ascii="Times New Roman" w:hAnsi="Times New Roman"/>
                <w:b w:val="0"/>
                <w:sz w:val="16"/>
              </w:rPr>
              <w:t>0.888</w:t>
            </w:r>
          </w:p>
        </w:tc>
        <w:tc>
          <w:tcPr>
            <w:tcW w:type="dxa" w:w="1134"/>
          </w:tcPr>
          <w:p>
            <w:pPr>
              <w:spacing w:line="240" w:lineRule="auto" w:after="0"/>
            </w:pPr>
            <w:r/>
            <w:r>
              <w:rPr>
                <w:rFonts w:ascii="Times New Roman" w:hAnsi="Times New Roman"/>
                <w:b w:val="0"/>
                <w:sz w:val="16"/>
              </w:rPr>
              <w:t>0.948</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0.952</w:t>
            </w:r>
          </w:p>
        </w:tc>
      </w:tr>
      <w:tr>
        <w:tc>
          <w:tcPr>
            <w:tcW w:type="dxa" w:w="1134"/>
          </w:tcPr>
          <w:p>
            <w:pPr>
              <w:spacing w:line="240" w:lineRule="auto" w:after="0"/>
            </w:pPr>
            <w:r/>
            <w:r>
              <w:rPr>
                <w:rFonts w:ascii="Times New Roman" w:hAnsi="Times New Roman"/>
                <w:b w:val="0"/>
                <w:sz w:val="16"/>
              </w:rPr>
              <w:t>noise=0.02</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0.339</w:t>
            </w:r>
          </w:p>
        </w:tc>
        <w:tc>
          <w:tcPr>
            <w:tcW w:type="dxa" w:w="1134"/>
          </w:tcPr>
          <w:p>
            <w:pPr>
              <w:spacing w:line="240" w:lineRule="auto" w:after="0"/>
            </w:pPr>
            <w:r/>
            <w:r>
              <w:rPr>
                <w:rFonts w:ascii="Times New Roman" w:hAnsi="Times New Roman"/>
                <w:b w:val="0"/>
                <w:sz w:val="16"/>
              </w:rPr>
              <w:t>0.907</w:t>
            </w:r>
          </w:p>
        </w:tc>
        <w:tc>
          <w:tcPr>
            <w:tcW w:type="dxa" w:w="1134"/>
          </w:tcPr>
          <w:p>
            <w:pPr>
              <w:spacing w:line="240" w:lineRule="auto" w:after="0"/>
            </w:pPr>
            <w:r/>
            <w:r>
              <w:rPr>
                <w:rFonts w:ascii="Times New Roman" w:hAnsi="Times New Roman"/>
                <w:b w:val="0"/>
                <w:sz w:val="16"/>
              </w:rPr>
              <w:t>0.895</w:t>
            </w:r>
          </w:p>
        </w:tc>
        <w:tc>
          <w:tcPr>
            <w:tcW w:type="dxa" w:w="1134"/>
          </w:tcPr>
          <w:p>
            <w:pPr>
              <w:spacing w:line="240" w:lineRule="auto" w:after="0"/>
            </w:pPr>
            <w:r/>
            <w:r>
              <w:rPr>
                <w:rFonts w:ascii="Times New Roman" w:hAnsi="Times New Roman"/>
                <w:b w:val="0"/>
                <w:sz w:val="16"/>
              </w:rPr>
              <w:t>0.953</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0.957</w:t>
            </w:r>
          </w:p>
        </w:tc>
      </w:tr>
      <w:tr>
        <w:tc>
          <w:tcPr>
            <w:tcW w:type="dxa" w:w="1134"/>
          </w:tcPr>
          <w:p>
            <w:pPr>
              <w:spacing w:line="240" w:lineRule="auto" w:after="0"/>
            </w:pPr>
            <w:r/>
            <w:r>
              <w:rPr>
                <w:rFonts w:ascii="Times New Roman" w:hAnsi="Times New Roman"/>
                <w:b w:val="0"/>
                <w:sz w:val="16"/>
              </w:rPr>
              <w:t>IDRC official split</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0.780</w:t>
            </w:r>
          </w:p>
        </w:tc>
        <w:tc>
          <w:tcPr>
            <w:tcW w:type="dxa" w:w="1134"/>
          </w:tcPr>
          <w:p>
            <w:pPr>
              <w:spacing w:line="240" w:lineRule="auto" w:after="0"/>
            </w:pPr>
            <w:r/>
            <w:r>
              <w:rPr>
                <w:rFonts w:ascii="Times New Roman" w:hAnsi="Times New Roman"/>
                <w:b w:val="0"/>
                <w:sz w:val="16"/>
              </w:rPr>
              <w:t>0.918</w:t>
            </w:r>
          </w:p>
        </w:tc>
        <w:tc>
          <w:tcPr>
            <w:tcW w:type="dxa" w:w="1134"/>
          </w:tcPr>
          <w:p>
            <w:pPr>
              <w:spacing w:line="240" w:lineRule="auto" w:after="0"/>
            </w:pPr>
            <w:r/>
            <w:r>
              <w:rPr>
                <w:rFonts w:ascii="Times New Roman" w:hAnsi="Times New Roman"/>
                <w:b w:val="0"/>
                <w:sz w:val="16"/>
              </w:rPr>
              <w:t>0.907</w:t>
            </w:r>
          </w:p>
        </w:tc>
        <w:tc>
          <w:tcPr>
            <w:tcW w:type="dxa" w:w="1134"/>
          </w:tcPr>
          <w:p>
            <w:pPr>
              <w:spacing w:line="240" w:lineRule="auto" w:after="0"/>
            </w:pPr>
            <w:r/>
            <w:r>
              <w:rPr>
                <w:rFonts w:ascii="Times New Roman" w:hAnsi="Times New Roman"/>
                <w:b w:val="0"/>
                <w:sz w:val="16"/>
              </w:rPr>
              <w:t>0.915</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0.924</w:t>
            </w:r>
          </w:p>
        </w:tc>
      </w:tr>
      <w:tr>
        <w:tc>
          <w:tcPr>
            <w:tcW w:type="dxa" w:w="1134"/>
          </w:tcPr>
          <w:p>
            <w:pPr>
              <w:spacing w:line="240" w:lineRule="auto" w:after="0"/>
            </w:pPr>
            <w:r/>
            <w:r>
              <w:rPr>
                <w:rFonts w:ascii="Times New Roman" w:hAnsi="Times New Roman"/>
                <w:b w:val="0"/>
                <w:sz w:val="16"/>
              </w:rPr>
              <w:t>IDRC official split</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0.826</w:t>
            </w:r>
          </w:p>
        </w:tc>
        <w:tc>
          <w:tcPr>
            <w:tcW w:type="dxa" w:w="1134"/>
          </w:tcPr>
          <w:p>
            <w:pPr>
              <w:spacing w:line="240" w:lineRule="auto" w:after="0"/>
            </w:pPr>
            <w:r/>
            <w:r>
              <w:rPr>
                <w:rFonts w:ascii="Times New Roman" w:hAnsi="Times New Roman"/>
                <w:b w:val="0"/>
                <w:sz w:val="16"/>
              </w:rPr>
              <w:t>0.918</w:t>
            </w:r>
          </w:p>
        </w:tc>
        <w:tc>
          <w:tcPr>
            <w:tcW w:type="dxa" w:w="1134"/>
          </w:tcPr>
          <w:p>
            <w:pPr>
              <w:spacing w:line="240" w:lineRule="auto" w:after="0"/>
            </w:pPr>
            <w:r/>
            <w:r>
              <w:rPr>
                <w:rFonts w:ascii="Times New Roman" w:hAnsi="Times New Roman"/>
                <w:b w:val="0"/>
                <w:sz w:val="16"/>
              </w:rPr>
              <w:t>0.908</w:t>
            </w:r>
          </w:p>
        </w:tc>
        <w:tc>
          <w:tcPr>
            <w:tcW w:type="dxa" w:w="1134"/>
          </w:tcPr>
          <w:p>
            <w:pPr>
              <w:spacing w:line="240" w:lineRule="auto" w:after="0"/>
            </w:pPr>
            <w:r/>
            <w:r>
              <w:rPr>
                <w:rFonts w:ascii="Times New Roman" w:hAnsi="Times New Roman"/>
                <w:b w:val="0"/>
                <w:sz w:val="16"/>
              </w:rPr>
              <w:t>0.924</w:t>
            </w:r>
          </w:p>
        </w:tc>
        <w:tc>
          <w:tcPr>
            <w:tcW w:type="dxa" w:w="1134"/>
          </w:tcPr>
          <w:p>
            <w:pPr>
              <w:spacing w:line="240" w:lineRule="auto" w:after="0"/>
            </w:pPr>
            <w:r/>
            <w:r>
              <w:rPr>
                <w:rFonts w:ascii="Times New Roman" w:hAnsi="Times New Roman"/>
                <w:b w:val="0"/>
                <w:sz w:val="16"/>
              </w:rPr>
              <w:t>83</w:t>
            </w:r>
          </w:p>
        </w:tc>
        <w:tc>
          <w:tcPr>
            <w:tcW w:type="dxa" w:w="1134"/>
          </w:tcPr>
          <w:p>
            <w:pPr>
              <w:spacing w:line="240" w:lineRule="auto" w:after="0"/>
            </w:pPr>
            <w:r/>
            <w:r>
              <w:rPr>
                <w:rFonts w:ascii="Times New Roman" w:hAnsi="Times New Roman"/>
                <w:b w:val="0"/>
                <w:sz w:val="16"/>
              </w:rPr>
              <w:t>0.929</w:t>
            </w:r>
          </w:p>
        </w:tc>
      </w:tr>
      <w:tr>
        <w:tc>
          <w:tcPr>
            <w:tcW w:type="dxa" w:w="1134"/>
          </w:tcPr>
          <w:p>
            <w:pPr>
              <w:spacing w:line="240" w:lineRule="auto" w:after="0"/>
            </w:pPr>
            <w:r/>
            <w:r>
              <w:rPr>
                <w:rFonts w:ascii="Times New Roman" w:hAnsi="Times New Roman"/>
                <w:b w:val="0"/>
                <w:sz w:val="16"/>
              </w:rPr>
              <w:t>PLS, 1-SE rule</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0.621</w:t>
            </w:r>
          </w:p>
        </w:tc>
        <w:tc>
          <w:tcPr>
            <w:tcW w:type="dxa" w:w="1134"/>
          </w:tcPr>
          <w:p>
            <w:pPr>
              <w:spacing w:line="240" w:lineRule="auto" w:after="0"/>
            </w:pPr>
            <w:r/>
            <w:r>
              <w:rPr>
                <w:rFonts w:ascii="Times New Roman" w:hAnsi="Times New Roman"/>
                <w:b w:val="0"/>
                <w:sz w:val="16"/>
              </w:rPr>
              <w:t>0.888</w:t>
            </w:r>
          </w:p>
        </w:tc>
        <w:tc>
          <w:tcPr>
            <w:tcW w:type="dxa" w:w="1134"/>
          </w:tcPr>
          <w:p>
            <w:pPr>
              <w:spacing w:line="240" w:lineRule="auto" w:after="0"/>
            </w:pPr>
            <w:r/>
            <w:r>
              <w:rPr>
                <w:rFonts w:ascii="Times New Roman" w:hAnsi="Times New Roman"/>
                <w:b w:val="0"/>
                <w:sz w:val="16"/>
              </w:rPr>
              <w:t>0.892</w:t>
            </w:r>
          </w:p>
        </w:tc>
        <w:tc>
          <w:tcPr>
            <w:tcW w:type="dxa" w:w="1134"/>
          </w:tcPr>
          <w:p>
            <w:pPr>
              <w:spacing w:line="240" w:lineRule="auto" w:after="0"/>
            </w:pPr>
            <w:r/>
            <w:r>
              <w:rPr>
                <w:rFonts w:ascii="Times New Roman" w:hAnsi="Times New Roman"/>
                <w:b w:val="0"/>
                <w:sz w:val="16"/>
              </w:rPr>
              <w:t>0.927</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0.927</w:t>
            </w:r>
          </w:p>
        </w:tc>
      </w:tr>
      <w:tr>
        <w:tc>
          <w:tcPr>
            <w:tcW w:type="dxa" w:w="1134"/>
          </w:tcPr>
          <w:p>
            <w:pPr>
              <w:spacing w:line="240" w:lineRule="auto" w:after="0"/>
            </w:pPr>
            <w:r/>
            <w:r>
              <w:rPr>
                <w:rFonts w:ascii="Times New Roman" w:hAnsi="Times New Roman"/>
                <w:b w:val="0"/>
                <w:sz w:val="16"/>
              </w:rPr>
              <w:t>PLS, 1-SE rule</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0.576</w:t>
            </w:r>
          </w:p>
        </w:tc>
        <w:tc>
          <w:tcPr>
            <w:tcW w:type="dxa" w:w="1134"/>
          </w:tcPr>
          <w:p>
            <w:pPr>
              <w:spacing w:line="240" w:lineRule="auto" w:after="0"/>
            </w:pPr>
            <w:r/>
            <w:r>
              <w:rPr>
                <w:rFonts w:ascii="Times New Roman" w:hAnsi="Times New Roman"/>
                <w:b w:val="0"/>
                <w:sz w:val="16"/>
              </w:rPr>
              <w:t>0.907</w:t>
            </w:r>
          </w:p>
        </w:tc>
        <w:tc>
          <w:tcPr>
            <w:tcW w:type="dxa" w:w="1134"/>
          </w:tcPr>
          <w:p>
            <w:pPr>
              <w:spacing w:line="240" w:lineRule="auto" w:after="0"/>
            </w:pPr>
            <w:r/>
            <w:r>
              <w:rPr>
                <w:rFonts w:ascii="Times New Roman" w:hAnsi="Times New Roman"/>
                <w:b w:val="0"/>
                <w:sz w:val="16"/>
              </w:rPr>
              <w:t>0.905</w:t>
            </w:r>
          </w:p>
        </w:tc>
        <w:tc>
          <w:tcPr>
            <w:tcW w:type="dxa" w:w="1134"/>
          </w:tcPr>
          <w:p>
            <w:pPr>
              <w:spacing w:line="240" w:lineRule="auto" w:after="0"/>
            </w:pPr>
            <w:r/>
            <w:r>
              <w:rPr>
                <w:rFonts w:ascii="Times New Roman" w:hAnsi="Times New Roman"/>
                <w:b w:val="0"/>
                <w:sz w:val="16"/>
              </w:rPr>
              <w:t>0.937</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0.938</w:t>
            </w:r>
          </w:p>
        </w:tc>
      </w:tr>
      <w:tr>
        <w:tc>
          <w:tcPr>
            <w:tcW w:type="dxa" w:w="1134"/>
          </w:tcPr>
          <w:p>
            <w:pPr>
              <w:spacing w:line="240" w:lineRule="auto" w:after="0"/>
            </w:pPr>
            <w:r/>
            <w:r>
              <w:rPr>
                <w:rFonts w:ascii="Times New Roman" w:hAnsi="Times New Roman"/>
                <w:b w:val="0"/>
                <w:sz w:val="16"/>
              </w:rPr>
              <w:t>PDS window 11</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0.404</w:t>
            </w:r>
          </w:p>
        </w:tc>
        <w:tc>
          <w:tcPr>
            <w:tcW w:type="dxa" w:w="1134"/>
          </w:tcPr>
          <w:p>
            <w:pPr>
              <w:spacing w:line="240" w:lineRule="auto" w:after="0"/>
            </w:pPr>
            <w:r/>
            <w:r>
              <w:rPr>
                <w:rFonts w:ascii="Times New Roman" w:hAnsi="Times New Roman"/>
                <w:b w:val="0"/>
                <w:sz w:val="16"/>
              </w:rPr>
              <w:t>0.891</w:t>
            </w:r>
          </w:p>
        </w:tc>
        <w:tc>
          <w:tcPr>
            <w:tcW w:type="dxa" w:w="1134"/>
          </w:tcPr>
          <w:p>
            <w:pPr>
              <w:spacing w:line="240" w:lineRule="auto" w:after="0"/>
            </w:pPr>
            <w:r/>
            <w:r>
              <w:rPr>
                <w:rFonts w:ascii="Times New Roman" w:hAnsi="Times New Roman"/>
                <w:b w:val="0"/>
                <w:sz w:val="16"/>
              </w:rPr>
              <w:t>0.881</w:t>
            </w:r>
          </w:p>
        </w:tc>
        <w:tc>
          <w:tcPr>
            <w:tcW w:type="dxa" w:w="1134"/>
          </w:tcPr>
          <w:p>
            <w:pPr>
              <w:spacing w:line="240" w:lineRule="auto" w:after="0"/>
            </w:pPr>
            <w:r/>
            <w:r>
              <w:rPr>
                <w:rFonts w:ascii="Times New Roman" w:hAnsi="Times New Roman"/>
                <w:b w:val="0"/>
                <w:sz w:val="16"/>
              </w:rPr>
              <w:t>0.946</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0.950</w:t>
            </w:r>
          </w:p>
        </w:tc>
      </w:tr>
      <w:tr>
        <w:tc>
          <w:tcPr>
            <w:tcW w:type="dxa" w:w="1134"/>
          </w:tcPr>
          <w:p>
            <w:pPr>
              <w:spacing w:line="240" w:lineRule="auto" w:after="0"/>
            </w:pPr>
            <w:r/>
            <w:r>
              <w:rPr>
                <w:rFonts w:ascii="Times New Roman" w:hAnsi="Times New Roman"/>
                <w:b w:val="0"/>
                <w:sz w:val="16"/>
              </w:rPr>
              <w:t>PDS window 3</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0.536</w:t>
            </w:r>
          </w:p>
        </w:tc>
        <w:tc>
          <w:tcPr>
            <w:tcW w:type="dxa" w:w="1134"/>
          </w:tcPr>
          <w:p>
            <w:pPr>
              <w:spacing w:line="240" w:lineRule="auto" w:after="0"/>
            </w:pPr>
            <w:r/>
            <w:r>
              <w:rPr>
                <w:rFonts w:ascii="Times New Roman" w:hAnsi="Times New Roman"/>
                <w:b w:val="0"/>
                <w:sz w:val="16"/>
              </w:rPr>
              <w:t>0.906</w:t>
            </w:r>
          </w:p>
        </w:tc>
        <w:tc>
          <w:tcPr>
            <w:tcW w:type="dxa" w:w="1134"/>
          </w:tcPr>
          <w:p>
            <w:pPr>
              <w:spacing w:line="240" w:lineRule="auto" w:after="0"/>
            </w:pPr>
            <w:r/>
            <w:r>
              <w:rPr>
                <w:rFonts w:ascii="Times New Roman" w:hAnsi="Times New Roman"/>
                <w:b w:val="0"/>
                <w:sz w:val="16"/>
              </w:rPr>
              <w:t>0.903</w:t>
            </w:r>
          </w:p>
        </w:tc>
        <w:tc>
          <w:tcPr>
            <w:tcW w:type="dxa" w:w="1134"/>
          </w:tcPr>
          <w:p>
            <w:pPr>
              <w:spacing w:line="240" w:lineRule="auto" w:after="0"/>
            </w:pPr>
            <w:r/>
            <w:r>
              <w:rPr>
                <w:rFonts w:ascii="Times New Roman" w:hAnsi="Times New Roman"/>
                <w:b w:val="0"/>
                <w:sz w:val="16"/>
              </w:rPr>
              <w:t>0.942</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0.944</w:t>
            </w:r>
          </w:p>
        </w:tc>
      </w:tr>
      <w:tr>
        <w:tc>
          <w:tcPr>
            <w:tcW w:type="dxa" w:w="1134"/>
          </w:tcPr>
          <w:p>
            <w:pPr>
              <w:spacing w:line="240" w:lineRule="auto" w:after="0"/>
            </w:pPr>
            <w:r/>
            <w:r>
              <w:rPr>
                <w:rFonts w:ascii="Times New Roman" w:hAnsi="Times New Roman"/>
                <w:b w:val="0"/>
                <w:sz w:val="16"/>
              </w:rPr>
              <w:t>PDS window 7</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0.437</w:t>
            </w:r>
          </w:p>
        </w:tc>
        <w:tc>
          <w:tcPr>
            <w:tcW w:type="dxa" w:w="1134"/>
          </w:tcPr>
          <w:p>
            <w:pPr>
              <w:spacing w:line="240" w:lineRule="auto" w:after="0"/>
            </w:pPr>
            <w:r/>
            <w:r>
              <w:rPr>
                <w:rFonts w:ascii="Times New Roman" w:hAnsi="Times New Roman"/>
                <w:b w:val="0"/>
                <w:sz w:val="16"/>
              </w:rPr>
              <w:t>0.907</w:t>
            </w:r>
          </w:p>
        </w:tc>
        <w:tc>
          <w:tcPr>
            <w:tcW w:type="dxa" w:w="1134"/>
          </w:tcPr>
          <w:p>
            <w:pPr>
              <w:spacing w:line="240" w:lineRule="auto" w:after="0"/>
            </w:pPr>
            <w:r/>
            <w:r>
              <w:rPr>
                <w:rFonts w:ascii="Times New Roman" w:hAnsi="Times New Roman"/>
                <w:b w:val="0"/>
                <w:sz w:val="16"/>
              </w:rPr>
              <w:t>0.898</w:t>
            </w:r>
          </w:p>
        </w:tc>
        <w:tc>
          <w:tcPr>
            <w:tcW w:type="dxa" w:w="1134"/>
          </w:tcPr>
          <w:p>
            <w:pPr>
              <w:spacing w:line="240" w:lineRule="auto" w:after="0"/>
            </w:pPr>
            <w:r/>
            <w:r>
              <w:rPr>
                <w:rFonts w:ascii="Times New Roman" w:hAnsi="Times New Roman"/>
                <w:b w:val="0"/>
                <w:sz w:val="16"/>
              </w:rPr>
              <w:t>0.950</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0.952</w:t>
            </w:r>
          </w:p>
        </w:tc>
      </w:tr>
      <w:tr>
        <w:tc>
          <w:tcPr>
            <w:tcW w:type="dxa" w:w="1134"/>
          </w:tcPr>
          <w:p>
            <w:pPr>
              <w:spacing w:line="240" w:lineRule="auto" w:after="0"/>
            </w:pPr>
            <w:r/>
            <w:r>
              <w:rPr>
                <w:rFonts w:ascii="Times New Roman" w:hAnsi="Times New Roman"/>
                <w:b w:val="0"/>
                <w:sz w:val="16"/>
              </w:rPr>
              <w:t>snv_sg1</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0.684</w:t>
            </w:r>
          </w:p>
        </w:tc>
        <w:tc>
          <w:tcPr>
            <w:tcW w:type="dxa" w:w="1134"/>
          </w:tcPr>
          <w:p>
            <w:pPr>
              <w:spacing w:line="240" w:lineRule="auto" w:after="0"/>
            </w:pPr>
            <w:r/>
            <w:r>
              <w:rPr>
                <w:rFonts w:ascii="Times New Roman" w:hAnsi="Times New Roman"/>
                <w:b w:val="0"/>
                <w:sz w:val="16"/>
              </w:rPr>
              <w:t>0.894</w:t>
            </w:r>
          </w:p>
        </w:tc>
        <w:tc>
          <w:tcPr>
            <w:tcW w:type="dxa" w:w="1134"/>
          </w:tcPr>
          <w:p>
            <w:pPr>
              <w:spacing w:line="240" w:lineRule="auto" w:after="0"/>
            </w:pPr>
            <w:r/>
            <w:r>
              <w:rPr>
                <w:rFonts w:ascii="Times New Roman" w:hAnsi="Times New Roman"/>
                <w:b w:val="0"/>
                <w:sz w:val="16"/>
              </w:rPr>
              <w:t>0.902</w:t>
            </w:r>
          </w:p>
        </w:tc>
        <w:tc>
          <w:tcPr>
            <w:tcW w:type="dxa" w:w="1134"/>
          </w:tcPr>
          <w:p>
            <w:pPr>
              <w:spacing w:line="240" w:lineRule="auto" w:after="0"/>
            </w:pPr>
            <w:r/>
            <w:r>
              <w:rPr>
                <w:rFonts w:ascii="Times New Roman" w:hAnsi="Times New Roman"/>
                <w:b w:val="0"/>
                <w:sz w:val="16"/>
              </w:rPr>
              <w:t>0.925</w:t>
            </w:r>
          </w:p>
        </w:tc>
        <w:tc>
          <w:tcPr>
            <w:tcW w:type="dxa" w:w="1134"/>
          </w:tcPr>
          <w:p>
            <w:pPr>
              <w:spacing w:line="240" w:lineRule="auto" w:after="0"/>
            </w:pPr>
            <w:r/>
            <w:r>
              <w:rPr>
                <w:rFonts w:ascii="Times New Roman" w:hAnsi="Times New Roman"/>
                <w:b w:val="0"/>
                <w:sz w:val="16"/>
              </w:rPr>
              <w:t>97</w:t>
            </w:r>
          </w:p>
        </w:tc>
        <w:tc>
          <w:tcPr>
            <w:tcW w:type="dxa" w:w="1134"/>
          </w:tcPr>
          <w:p>
            <w:pPr>
              <w:spacing w:line="240" w:lineRule="auto" w:after="0"/>
            </w:pPr>
            <w:r/>
            <w:r>
              <w:rPr>
                <w:rFonts w:ascii="Times New Roman" w:hAnsi="Times New Roman"/>
                <w:b w:val="0"/>
                <w:sz w:val="16"/>
              </w:rPr>
              <w:t>0.923</w:t>
            </w:r>
          </w:p>
        </w:tc>
      </w:tr>
      <w:tr>
        <w:tc>
          <w:tcPr>
            <w:tcW w:type="dxa" w:w="1134"/>
          </w:tcPr>
          <w:p>
            <w:pPr>
              <w:spacing w:line="240" w:lineRule="auto" w:after="0"/>
            </w:pPr>
            <w:r/>
            <w:r>
              <w:rPr>
                <w:rFonts w:ascii="Times New Roman" w:hAnsi="Times New Roman"/>
                <w:b w:val="0"/>
                <w:sz w:val="16"/>
              </w:rPr>
              <w:t>snv_sg1</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0.762</w:t>
            </w:r>
          </w:p>
        </w:tc>
        <w:tc>
          <w:tcPr>
            <w:tcW w:type="dxa" w:w="1134"/>
          </w:tcPr>
          <w:p>
            <w:pPr>
              <w:spacing w:line="240" w:lineRule="auto" w:after="0"/>
            </w:pPr>
            <w:r/>
            <w:r>
              <w:rPr>
                <w:rFonts w:ascii="Times New Roman" w:hAnsi="Times New Roman"/>
                <w:b w:val="0"/>
                <w:sz w:val="16"/>
              </w:rPr>
              <w:t>0.918</w:t>
            </w:r>
          </w:p>
        </w:tc>
        <w:tc>
          <w:tcPr>
            <w:tcW w:type="dxa" w:w="1134"/>
          </w:tcPr>
          <w:p>
            <w:pPr>
              <w:spacing w:line="240" w:lineRule="auto" w:after="0"/>
            </w:pPr>
            <w:r/>
            <w:r>
              <w:rPr>
                <w:rFonts w:ascii="Times New Roman" w:hAnsi="Times New Roman"/>
                <w:b w:val="0"/>
                <w:sz w:val="16"/>
              </w:rPr>
              <w:t>0.930</w:t>
            </w:r>
          </w:p>
        </w:tc>
        <w:tc>
          <w:tcPr>
            <w:tcW w:type="dxa" w:w="1134"/>
          </w:tcPr>
          <w:p>
            <w:pPr>
              <w:spacing w:line="240" w:lineRule="auto" w:after="0"/>
            </w:pPr>
            <w:r/>
            <w:r>
              <w:rPr>
                <w:rFonts w:ascii="Times New Roman" w:hAnsi="Times New Roman"/>
                <w:b w:val="0"/>
                <w:sz w:val="16"/>
              </w:rPr>
              <w:t>0.936</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0.932</w:t>
            </w:r>
          </w:p>
        </w:tc>
      </w:tr>
      <w:tr>
        <w:tc>
          <w:tcPr>
            <w:tcW w:type="dxa" w:w="1134"/>
          </w:tcPr>
          <w:p>
            <w:pPr>
              <w:spacing w:line="240" w:lineRule="auto" w:after="0"/>
            </w:pPr>
            <w:r/>
            <w:r>
              <w:rPr>
                <w:rFonts w:ascii="Times New Roman" w:hAnsi="Times New Roman"/>
                <w:b w:val="0"/>
                <w:sz w:val="16"/>
              </w:rPr>
              <w:t>ridge</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0.438</w:t>
            </w:r>
          </w:p>
        </w:tc>
        <w:tc>
          <w:tcPr>
            <w:tcW w:type="dxa" w:w="1134"/>
          </w:tcPr>
          <w:p>
            <w:pPr>
              <w:spacing w:line="240" w:lineRule="auto" w:after="0"/>
            </w:pPr>
            <w:r/>
            <w:r>
              <w:rPr>
                <w:rFonts w:ascii="Times New Roman" w:hAnsi="Times New Roman"/>
                <w:b w:val="0"/>
                <w:sz w:val="16"/>
              </w:rPr>
              <w:t>0.905</w:t>
            </w:r>
          </w:p>
        </w:tc>
        <w:tc>
          <w:tcPr>
            <w:tcW w:type="dxa" w:w="1134"/>
          </w:tcPr>
          <w:p>
            <w:pPr>
              <w:spacing w:line="240" w:lineRule="auto" w:after="0"/>
            </w:pPr>
            <w:r/>
            <w:r>
              <w:rPr>
                <w:rFonts w:ascii="Times New Roman" w:hAnsi="Times New Roman"/>
                <w:b w:val="0"/>
                <w:sz w:val="16"/>
              </w:rPr>
              <w:t>0.896</w:t>
            </w:r>
          </w:p>
        </w:tc>
        <w:tc>
          <w:tcPr>
            <w:tcW w:type="dxa" w:w="1134"/>
          </w:tcPr>
          <w:p>
            <w:pPr>
              <w:spacing w:line="240" w:lineRule="auto" w:after="0"/>
            </w:pPr>
            <w:r/>
            <w:r>
              <w:rPr>
                <w:rFonts w:ascii="Times New Roman" w:hAnsi="Times New Roman"/>
                <w:b w:val="0"/>
                <w:sz w:val="16"/>
              </w:rPr>
              <w:t>0.945</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0.946</w:t>
            </w:r>
          </w:p>
        </w:tc>
      </w:tr>
      <w:tr>
        <w:tc>
          <w:tcPr>
            <w:tcW w:type="dxa" w:w="1134"/>
          </w:tcPr>
          <w:p>
            <w:pPr>
              <w:spacing w:line="240" w:lineRule="auto" w:after="0"/>
            </w:pPr>
            <w:r/>
            <w:r>
              <w:rPr>
                <w:rFonts w:ascii="Times New Roman" w:hAnsi="Times New Roman"/>
                <w:b w:val="0"/>
                <w:sz w:val="16"/>
              </w:rPr>
              <w:t>severity=1</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0.564</w:t>
            </w:r>
          </w:p>
        </w:tc>
        <w:tc>
          <w:tcPr>
            <w:tcW w:type="dxa" w:w="1134"/>
          </w:tcPr>
          <w:p>
            <w:pPr>
              <w:spacing w:line="240" w:lineRule="auto" w:after="0"/>
            </w:pPr>
            <w:r/>
            <w:r>
              <w:rPr>
                <w:rFonts w:ascii="Times New Roman" w:hAnsi="Times New Roman"/>
                <w:b w:val="0"/>
                <w:sz w:val="16"/>
              </w:rPr>
              <w:t>0.897</w:t>
            </w:r>
          </w:p>
        </w:tc>
        <w:tc>
          <w:tcPr>
            <w:tcW w:type="dxa" w:w="1134"/>
          </w:tcPr>
          <w:p>
            <w:pPr>
              <w:spacing w:line="240" w:lineRule="auto" w:after="0"/>
            </w:pPr>
            <w:r/>
            <w:r>
              <w:rPr>
                <w:rFonts w:ascii="Times New Roman" w:hAnsi="Times New Roman"/>
                <w:b w:val="0"/>
                <w:sz w:val="16"/>
              </w:rPr>
              <w:t>0.886</w:t>
            </w:r>
          </w:p>
        </w:tc>
        <w:tc>
          <w:tcPr>
            <w:tcW w:type="dxa" w:w="1134"/>
          </w:tcPr>
          <w:p>
            <w:pPr>
              <w:spacing w:line="240" w:lineRule="auto" w:after="0"/>
            </w:pPr>
            <w:r/>
            <w:r>
              <w:rPr>
                <w:rFonts w:ascii="Times New Roman" w:hAnsi="Times New Roman"/>
                <w:b w:val="0"/>
                <w:sz w:val="16"/>
              </w:rPr>
              <w:t>0.916</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0.922</w:t>
            </w:r>
          </w:p>
        </w:tc>
      </w:tr>
      <w:tr>
        <w:tc>
          <w:tcPr>
            <w:tcW w:type="dxa" w:w="1134"/>
          </w:tcPr>
          <w:p>
            <w:pPr>
              <w:spacing w:line="240" w:lineRule="auto" w:after="0"/>
            </w:pPr>
            <w:r/>
            <w:r>
              <w:rPr>
                <w:rFonts w:ascii="Times New Roman" w:hAnsi="Times New Roman"/>
                <w:b w:val="0"/>
                <w:sz w:val="16"/>
              </w:rPr>
              <w:t>severity=1</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0.895</w:t>
            </w:r>
          </w:p>
        </w:tc>
        <w:tc>
          <w:tcPr>
            <w:tcW w:type="dxa" w:w="1134"/>
          </w:tcPr>
          <w:p>
            <w:pPr>
              <w:spacing w:line="240" w:lineRule="auto" w:after="0"/>
            </w:pPr>
            <w:r/>
            <w:r>
              <w:rPr>
                <w:rFonts w:ascii="Times New Roman" w:hAnsi="Times New Roman"/>
                <w:b w:val="0"/>
                <w:sz w:val="16"/>
              </w:rPr>
              <w:t>0.911</w:t>
            </w:r>
          </w:p>
        </w:tc>
        <w:tc>
          <w:tcPr>
            <w:tcW w:type="dxa" w:w="1134"/>
          </w:tcPr>
          <w:p>
            <w:pPr>
              <w:spacing w:line="240" w:lineRule="auto" w:after="0"/>
            </w:pPr>
            <w:r/>
            <w:r>
              <w:rPr>
                <w:rFonts w:ascii="Times New Roman" w:hAnsi="Times New Roman"/>
                <w:b w:val="0"/>
                <w:sz w:val="16"/>
              </w:rPr>
              <w:t>0.922</w:t>
            </w:r>
          </w:p>
        </w:tc>
        <w:tc>
          <w:tcPr>
            <w:tcW w:type="dxa" w:w="1134"/>
          </w:tcPr>
          <w:p>
            <w:pPr>
              <w:spacing w:line="240" w:lineRule="auto" w:after="0"/>
            </w:pPr>
            <w:r/>
            <w:r>
              <w:rPr>
                <w:rFonts w:ascii="Times New Roman" w:hAnsi="Times New Roman"/>
                <w:b w:val="0"/>
                <w:sz w:val="16"/>
              </w:rPr>
              <w:t>0.918</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0.918</w:t>
            </w:r>
          </w:p>
        </w:tc>
      </w:tr>
      <w:tr>
        <w:tc>
          <w:tcPr>
            <w:tcW w:type="dxa" w:w="1134"/>
          </w:tcPr>
          <w:p>
            <w:pPr>
              <w:spacing w:line="240" w:lineRule="auto" w:after="0"/>
            </w:pPr>
            <w:r/>
            <w:r>
              <w:rPr>
                <w:rFonts w:ascii="Times New Roman" w:hAnsi="Times New Roman"/>
                <w:b w:val="0"/>
                <w:sz w:val="16"/>
              </w:rPr>
              <w:t>severity=2</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0.564</w:t>
            </w:r>
          </w:p>
        </w:tc>
        <w:tc>
          <w:tcPr>
            <w:tcW w:type="dxa" w:w="1134"/>
          </w:tcPr>
          <w:p>
            <w:pPr>
              <w:spacing w:line="240" w:lineRule="auto" w:after="0"/>
            </w:pPr>
            <w:r/>
            <w:r>
              <w:rPr>
                <w:rFonts w:ascii="Times New Roman" w:hAnsi="Times New Roman"/>
                <w:b w:val="0"/>
                <w:sz w:val="16"/>
              </w:rPr>
              <w:t>0.896</w:t>
            </w:r>
          </w:p>
        </w:tc>
        <w:tc>
          <w:tcPr>
            <w:tcW w:type="dxa" w:w="1134"/>
          </w:tcPr>
          <w:p>
            <w:pPr>
              <w:spacing w:line="240" w:lineRule="auto" w:after="0"/>
            </w:pPr>
            <w:r/>
            <w:r>
              <w:rPr>
                <w:rFonts w:ascii="Times New Roman" w:hAnsi="Times New Roman"/>
                <w:b w:val="0"/>
                <w:sz w:val="16"/>
              </w:rPr>
              <w:t>0.887</w:t>
            </w:r>
          </w:p>
        </w:tc>
        <w:tc>
          <w:tcPr>
            <w:tcW w:type="dxa" w:w="1134"/>
          </w:tcPr>
          <w:p>
            <w:pPr>
              <w:spacing w:line="240" w:lineRule="auto" w:after="0"/>
            </w:pPr>
            <w:r/>
            <w:r>
              <w:rPr>
                <w:rFonts w:ascii="Times New Roman" w:hAnsi="Times New Roman"/>
                <w:b w:val="0"/>
                <w:sz w:val="16"/>
              </w:rPr>
              <w:t>0.915</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0.919</w:t>
            </w:r>
          </w:p>
        </w:tc>
      </w:tr>
      <w:tr>
        <w:tc>
          <w:tcPr>
            <w:tcW w:type="dxa" w:w="1134"/>
          </w:tcPr>
          <w:p>
            <w:pPr>
              <w:spacing w:line="240" w:lineRule="auto" w:after="0"/>
            </w:pPr>
            <w:r/>
            <w:r>
              <w:rPr>
                <w:rFonts w:ascii="Times New Roman" w:hAnsi="Times New Roman"/>
                <w:b w:val="0"/>
                <w:sz w:val="16"/>
              </w:rPr>
              <w:t>severity=2</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0.856</w:t>
            </w:r>
          </w:p>
        </w:tc>
        <w:tc>
          <w:tcPr>
            <w:tcW w:type="dxa" w:w="1134"/>
          </w:tcPr>
          <w:p>
            <w:pPr>
              <w:spacing w:line="240" w:lineRule="auto" w:after="0"/>
            </w:pPr>
            <w:r/>
            <w:r>
              <w:rPr>
                <w:rFonts w:ascii="Times New Roman" w:hAnsi="Times New Roman"/>
                <w:b w:val="0"/>
                <w:sz w:val="16"/>
              </w:rPr>
              <w:t>0.914</w:t>
            </w:r>
          </w:p>
        </w:tc>
        <w:tc>
          <w:tcPr>
            <w:tcW w:type="dxa" w:w="1134"/>
          </w:tcPr>
          <w:p>
            <w:pPr>
              <w:spacing w:line="240" w:lineRule="auto" w:after="0"/>
            </w:pPr>
            <w:r/>
            <w:r>
              <w:rPr>
                <w:rFonts w:ascii="Times New Roman" w:hAnsi="Times New Roman"/>
                <w:b w:val="0"/>
                <w:sz w:val="16"/>
              </w:rPr>
              <w:t>0.925</w:t>
            </w:r>
          </w:p>
        </w:tc>
        <w:tc>
          <w:tcPr>
            <w:tcW w:type="dxa" w:w="1134"/>
          </w:tcPr>
          <w:p>
            <w:pPr>
              <w:spacing w:line="240" w:lineRule="auto" w:after="0"/>
            </w:pPr>
            <w:r/>
            <w:r>
              <w:rPr>
                <w:rFonts w:ascii="Times New Roman" w:hAnsi="Times New Roman"/>
                <w:b w:val="0"/>
                <w:sz w:val="16"/>
              </w:rPr>
              <w:t>0.921</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0.924</w:t>
            </w:r>
          </w:p>
        </w:tc>
      </w:tr>
      <w:tr>
        <w:tc>
          <w:tcPr>
            <w:tcW w:type="dxa" w:w="1134"/>
          </w:tcPr>
          <w:p>
            <w:pPr>
              <w:spacing w:line="240" w:lineRule="auto" w:after="0"/>
            </w:pPr>
            <w:r/>
            <w:r>
              <w:rPr>
                <w:rFonts w:ascii="Times New Roman" w:hAnsi="Times New Roman"/>
                <w:b w:val="0"/>
                <w:sz w:val="16"/>
              </w:rPr>
              <w:t>severity=3</w:t>
            </w:r>
          </w:p>
        </w:tc>
        <w:tc>
          <w:tcPr>
            <w:tcW w:type="dxa" w:w="1134"/>
          </w:tcPr>
          <w:p>
            <w:pPr>
              <w:spacing w:line="240" w:lineRule="auto" w:after="0"/>
            </w:pPr>
            <w:r/>
            <w:r>
              <w:rPr>
                <w:rFonts w:ascii="Times New Roman" w:hAnsi="Times New Roman"/>
                <w:b w:val="0"/>
                <w:sz w:val="16"/>
              </w:rPr>
              <w:t>DS</w:t>
            </w:r>
          </w:p>
        </w:tc>
        <w:tc>
          <w:tcPr>
            <w:tcW w:type="dxa" w:w="1134"/>
          </w:tcPr>
          <w:p>
            <w:pPr>
              <w:spacing w:line="240" w:lineRule="auto" w:after="0"/>
            </w:pPr>
            <w:r/>
            <w:r>
              <w:rPr>
                <w:rFonts w:ascii="Times New Roman" w:hAnsi="Times New Roman"/>
                <w:b w:val="0"/>
                <w:sz w:val="16"/>
              </w:rPr>
              <w:t>0.546</w:t>
            </w:r>
          </w:p>
        </w:tc>
        <w:tc>
          <w:tcPr>
            <w:tcW w:type="dxa" w:w="1134"/>
          </w:tcPr>
          <w:p>
            <w:pPr>
              <w:spacing w:line="240" w:lineRule="auto" w:after="0"/>
            </w:pPr>
            <w:r/>
            <w:r>
              <w:rPr>
                <w:rFonts w:ascii="Times New Roman" w:hAnsi="Times New Roman"/>
                <w:b w:val="0"/>
                <w:sz w:val="16"/>
              </w:rPr>
              <w:t>0.900</w:t>
            </w:r>
          </w:p>
        </w:tc>
        <w:tc>
          <w:tcPr>
            <w:tcW w:type="dxa" w:w="1134"/>
          </w:tcPr>
          <w:p>
            <w:pPr>
              <w:spacing w:line="240" w:lineRule="auto" w:after="0"/>
            </w:pPr>
            <w:r/>
            <w:r>
              <w:rPr>
                <w:rFonts w:ascii="Times New Roman" w:hAnsi="Times New Roman"/>
                <w:b w:val="0"/>
                <w:sz w:val="16"/>
              </w:rPr>
              <w:t>0.893</w:t>
            </w:r>
          </w:p>
        </w:tc>
        <w:tc>
          <w:tcPr>
            <w:tcW w:type="dxa" w:w="1134"/>
          </w:tcPr>
          <w:p>
            <w:pPr>
              <w:spacing w:line="240" w:lineRule="auto" w:after="0"/>
            </w:pPr>
            <w:r/>
            <w:r>
              <w:rPr>
                <w:rFonts w:ascii="Times New Roman" w:hAnsi="Times New Roman"/>
                <w:b w:val="0"/>
                <w:sz w:val="16"/>
              </w:rPr>
              <w:t>0.915</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0.923</w:t>
            </w:r>
          </w:p>
        </w:tc>
      </w:tr>
      <w:tr>
        <w:tc>
          <w:tcPr>
            <w:tcW w:type="dxa" w:w="1134"/>
          </w:tcPr>
          <w:p>
            <w:pPr>
              <w:spacing w:line="240" w:lineRule="auto" w:after="0"/>
            </w:pPr>
            <w:r/>
            <w:r>
              <w:rPr>
                <w:rFonts w:ascii="Times New Roman" w:hAnsi="Times New Roman"/>
                <w:b w:val="0"/>
                <w:sz w:val="16"/>
              </w:rPr>
              <w:t>severity=3</w:t>
            </w:r>
          </w:p>
        </w:tc>
        <w:tc>
          <w:tcPr>
            <w:tcW w:type="dxa" w:w="1134"/>
          </w:tcPr>
          <w:p>
            <w:pPr>
              <w:spacing w:line="240" w:lineRule="auto" w:after="0"/>
            </w:pPr>
            <w:r/>
            <w:r>
              <w:rPr>
                <w:rFonts w:ascii="Times New Roman" w:hAnsi="Times New Roman"/>
                <w:b w:val="0"/>
                <w:sz w:val="16"/>
              </w:rPr>
              <w:t>PDS</w:t>
            </w:r>
          </w:p>
        </w:tc>
        <w:tc>
          <w:tcPr>
            <w:tcW w:type="dxa" w:w="1134"/>
          </w:tcPr>
          <w:p>
            <w:pPr>
              <w:spacing w:line="240" w:lineRule="auto" w:after="0"/>
            </w:pPr>
            <w:r/>
            <w:r>
              <w:rPr>
                <w:rFonts w:ascii="Times New Roman" w:hAnsi="Times New Roman"/>
                <w:b w:val="0"/>
                <w:sz w:val="16"/>
              </w:rPr>
              <w:t>0.741</w:t>
            </w:r>
          </w:p>
        </w:tc>
        <w:tc>
          <w:tcPr>
            <w:tcW w:type="dxa" w:w="1134"/>
          </w:tcPr>
          <w:p>
            <w:pPr>
              <w:spacing w:line="240" w:lineRule="auto" w:after="0"/>
            </w:pPr>
            <w:r/>
            <w:r>
              <w:rPr>
                <w:rFonts w:ascii="Times New Roman" w:hAnsi="Times New Roman"/>
                <w:b w:val="0"/>
                <w:sz w:val="16"/>
              </w:rPr>
              <w:t>0.915</w:t>
            </w:r>
          </w:p>
        </w:tc>
        <w:tc>
          <w:tcPr>
            <w:tcW w:type="dxa" w:w="1134"/>
          </w:tcPr>
          <w:p>
            <w:pPr>
              <w:spacing w:line="240" w:lineRule="auto" w:after="0"/>
            </w:pPr>
            <w:r/>
            <w:r>
              <w:rPr>
                <w:rFonts w:ascii="Times New Roman" w:hAnsi="Times New Roman"/>
                <w:b w:val="0"/>
                <w:sz w:val="16"/>
              </w:rPr>
              <w:t>0.917</w:t>
            </w:r>
          </w:p>
        </w:tc>
        <w:tc>
          <w:tcPr>
            <w:tcW w:type="dxa" w:w="1134"/>
          </w:tcPr>
          <w:p>
            <w:pPr>
              <w:spacing w:line="240" w:lineRule="auto" w:after="0"/>
            </w:pPr>
            <w:r/>
            <w:r>
              <w:rPr>
                <w:rFonts w:ascii="Times New Roman" w:hAnsi="Times New Roman"/>
                <w:b w:val="0"/>
                <w:sz w:val="16"/>
              </w:rPr>
              <w:t>0.924</w:t>
            </w:r>
          </w:p>
        </w:tc>
        <w:tc>
          <w:tcPr>
            <w:tcW w:type="dxa" w:w="1134"/>
          </w:tcPr>
          <w:p>
            <w:pPr>
              <w:spacing w:line="240" w:lineRule="auto" w:after="0"/>
            </w:pPr>
            <w:r/>
            <w:r>
              <w:rPr>
                <w:rFonts w:ascii="Times New Roman" w:hAnsi="Times New Roman"/>
                <w:b w:val="0"/>
                <w:sz w:val="16"/>
              </w:rPr>
              <w:t>100</w:t>
            </w:r>
          </w:p>
        </w:tc>
        <w:tc>
          <w:tcPr>
            <w:tcW w:type="dxa" w:w="1134"/>
          </w:tcPr>
          <w:p>
            <w:pPr>
              <w:spacing w:line="240" w:lineRule="auto" w:after="0"/>
            </w:pPr>
            <w:r/>
            <w:r>
              <w:rPr>
                <w:rFonts w:ascii="Times New Roman" w:hAnsi="Times New Roman"/>
                <w:b w:val="0"/>
                <w:sz w:val="16"/>
              </w:rPr>
              <w:t>0.927</w:t>
            </w:r>
          </w:p>
        </w:tc>
      </w:tr>
    </w:tbl>
    <w:p>
      <w:pPr>
        <w:keepNext/>
        <w:jc w:val="center"/>
      </w:pPr>
      <w:r>
        <w:drawing>
          <wp:inline xmlns:a="http://schemas.openxmlformats.org/drawingml/2006/main" xmlns:pic="http://schemas.openxmlformats.org/drawingml/2006/picture">
            <wp:extent cx="5760000" cy="2382408"/>
            <wp:docPr id="13" name="Picture 13"/>
            <wp:cNvGraphicFramePr>
              <a:graphicFrameLocks noChangeAspect="1"/>
            </wp:cNvGraphicFramePr>
            <a:graphic>
              <a:graphicData uri="http://schemas.openxmlformats.org/drawingml/2006/picture">
                <pic:pic>
                  <pic:nvPicPr>
                    <pic:cNvPr id="0" name="fig6_robustness.png"/>
                    <pic:cNvPicPr/>
                  </pic:nvPicPr>
                  <pic:blipFill>
                    <a:blip r:embed="rId22"/>
                    <a:stretch>
                      <a:fillRect/>
                    </a:stretch>
                  </pic:blipFill>
                  <pic:spPr>
                    <a:xfrm>
                      <a:off x="0" y="0"/>
                      <a:ext cx="5760000" cy="2382408"/>
                    </a:xfrm>
                    <a:prstGeom prst="rect"/>
                  </pic:spPr>
                </pic:pic>
              </a:graphicData>
            </a:graphic>
          </wp:inline>
        </w:drawing>
      </w:r>
    </w:p>
    <w:p>
      <w:pPr>
        <w:spacing w:line="276" w:lineRule="auto"/>
        <w:jc w:val="both"/>
      </w:pPr>
      <w:r>
        <w:rPr>
          <w:rFonts w:ascii="Times New Roman" w:hAnsi="Times New Roman"/>
          <w:b/>
          <w:sz w:val="20"/>
        </w:rPr>
        <w:t>Fig. 6.</w:t>
      </w:r>
      <w:r>
        <w:rPr>
          <w:rFonts w:ascii="Times New Roman" w:hAnsi="Times New Roman"/>
          <w:b w:val="0"/>
          <w:sz w:val="20"/>
        </w:rPr>
        <w:t xml:space="preserve"> Mean coverage under simulated instrument shifts (left), added secondary-instrument noise (centre, PDS) and other protocol changes (right, PDS). Dashed line: nominal 0.90.</w:t>
      </w:r>
    </w:p>
    <w:p>
      <w:pPr>
        <w:keepNext/>
        <w:spacing w:before="160"/>
      </w:pPr>
      <w:r>
        <w:rPr>
          <w:rFonts w:ascii="Times New Roman" w:hAnsi="Times New Roman"/>
          <w:b/>
          <w:sz w:val="24"/>
        </w:rPr>
        <w:t>4.7. Other nominal levels</w:t>
      </w:r>
    </w:p>
    <w:p>
      <w:pPr>
        <w:jc w:val="both"/>
      </w:pPr>
      <w:r>
        <w:rPr>
          <w:rFonts w:ascii="Times New Roman" w:hAnsi="Times New Roman"/>
          <w:b w:val="0"/>
        </w:rPr>
        <w:t>At α = 0.05, target CP with ten standards is necessarily unbounded, whereas TD-CP+ covered 0.963 (PDS) and 0.956 (DS), valid in 100% and 93% of scenarios. At α = 0.20 it covered 0.849 and 0.845 (Fig. S2, Table S3). The conservativeness of TD-CP+ is therefore modest and roughly constant (≈ 0.03–0.05) across levels.</w:t>
      </w:r>
    </w:p>
    <w:p>
      <w:pPr>
        <w:keepNext/>
        <w:spacing w:before="160"/>
      </w:pPr>
      <w:r>
        <w:rPr>
          <w:rFonts w:ascii="Times New Roman" w:hAnsi="Times New Roman"/>
          <w:b/>
          <w:sz w:val="24"/>
        </w:rPr>
        <w:t>4.8. Error analysis</w:t>
      </w:r>
    </w:p>
    <w:p>
      <w:pPr>
        <w:jc w:val="both"/>
      </w:pPr>
      <w:r>
        <w:rPr>
          <w:rFonts w:ascii="Times New Roman" w:hAnsi="Times New Roman"/>
          <w:b w:val="0"/>
        </w:rPr>
        <w:t>Coverage is marginal, not conditional. Fig. 7 shows that all methods covered samples with extreme reference values or high leverage less often than central samples; TD-CP+ attenuates but does not remove this pattern. The cross-fitted discrepancy spread closely tracked the true held-out discrepancy spread (median ratio 1.11, range 0.97–1.33), which explains why the reference-free estimate is sufficient. Assumption (A2) is only approximately met: the held-out Spearman correlation between primary residual and discrepancy averaged −0.10 (scenario range −0.40 to 0.03). Correlated residuals and discrepancies would widen the true error distribution beyond the convolution and are a plausible contributor to the residual under-coverage of the signed TD-CP; the jackknife+ margin absorbs it in these data. Fig. 8 illustrates a single split.</w:t>
      </w:r>
    </w:p>
    <w:p>
      <w:pPr>
        <w:keepNext/>
        <w:jc w:val="center"/>
      </w:pPr>
      <w:r>
        <w:drawing>
          <wp:inline xmlns:a="http://schemas.openxmlformats.org/drawingml/2006/main" xmlns:pic="http://schemas.openxmlformats.org/drawingml/2006/picture">
            <wp:extent cx="5760000" cy="2236439"/>
            <wp:docPr id="14" name="Picture 14"/>
            <wp:cNvGraphicFramePr>
              <a:graphicFrameLocks noChangeAspect="1"/>
            </wp:cNvGraphicFramePr>
            <a:graphic>
              <a:graphicData uri="http://schemas.openxmlformats.org/drawingml/2006/picture">
                <pic:pic>
                  <pic:nvPicPr>
                    <pic:cNvPr id="0" name="fig8_error_analysis.png"/>
                    <pic:cNvPicPr/>
                  </pic:nvPicPr>
                  <pic:blipFill>
                    <a:blip r:embed="rId23"/>
                    <a:stretch>
                      <a:fillRect/>
                    </a:stretch>
                  </pic:blipFill>
                  <pic:spPr>
                    <a:xfrm>
                      <a:off x="0" y="0"/>
                      <a:ext cx="5760000" cy="2236439"/>
                    </a:xfrm>
                    <a:prstGeom prst="rect"/>
                  </pic:spPr>
                </pic:pic>
              </a:graphicData>
            </a:graphic>
          </wp:inline>
        </w:drawing>
      </w:r>
    </w:p>
    <w:p>
      <w:pPr>
        <w:spacing w:line="276" w:lineRule="auto"/>
        <w:jc w:val="both"/>
      </w:pPr>
      <w:r>
        <w:rPr>
          <w:rFonts w:ascii="Times New Roman" w:hAnsi="Times New Roman"/>
          <w:b/>
          <w:sz w:val="20"/>
        </w:rPr>
        <w:t>Fig. 7.</w:t>
      </w:r>
      <w:r>
        <w:rPr>
          <w:rFonts w:ascii="Times New Roman" w:hAnsi="Times New Roman"/>
          <w:b w:val="0"/>
          <w:sz w:val="20"/>
        </w:rPr>
        <w:t xml:space="preserve"> Error analysis at α = 0.10: coverage by tertile of the reference value (left) and of leverage (centre); cross-fitted versus held-out discrepancy SD, scaled by RMSECV (right).</w:t>
      </w:r>
    </w:p>
    <w:p>
      <w:pPr>
        <w:keepNext/>
        <w:jc w:val="center"/>
      </w:pPr>
      <w:r>
        <w:drawing>
          <wp:inline xmlns:a="http://schemas.openxmlformats.org/drawingml/2006/main" xmlns:pic="http://schemas.openxmlformats.org/drawingml/2006/picture">
            <wp:extent cx="5760000" cy="2272872"/>
            <wp:docPr id="15" name="Picture 15"/>
            <wp:cNvGraphicFramePr>
              <a:graphicFrameLocks noChangeAspect="1"/>
            </wp:cNvGraphicFramePr>
            <a:graphic>
              <a:graphicData uri="http://schemas.openxmlformats.org/drawingml/2006/picture">
                <pic:pic>
                  <pic:nvPicPr>
                    <pic:cNvPr id="0" name="fig9_example_intervals.png"/>
                    <pic:cNvPicPr/>
                  </pic:nvPicPr>
                  <pic:blipFill>
                    <a:blip r:embed="rId24"/>
                    <a:stretch>
                      <a:fillRect/>
                    </a:stretch>
                  </pic:blipFill>
                  <pic:spPr>
                    <a:xfrm>
                      <a:off x="0" y="0"/>
                      <a:ext cx="5760000" cy="2272872"/>
                    </a:xfrm>
                    <a:prstGeom prst="rect"/>
                  </pic:spPr>
                </pic:pic>
              </a:graphicData>
            </a:graphic>
          </wp:inline>
        </w:drawing>
      </w:r>
    </w:p>
    <w:p>
      <w:pPr>
        <w:spacing w:line="276" w:lineRule="auto"/>
        <w:jc w:val="both"/>
      </w:pPr>
      <w:r>
        <w:rPr>
          <w:rFonts w:ascii="Times New Roman" w:hAnsi="Times New Roman"/>
          <w:b/>
          <w:sz w:val="20"/>
        </w:rPr>
        <w:t>Fig. 8.</w:t>
      </w:r>
      <w:r>
        <w:rPr>
          <w:rFonts w:ascii="Times New Roman" w:hAnsi="Times New Roman"/>
          <w:b w:val="0"/>
          <w:sz w:val="20"/>
        </w:rPr>
        <w:t xml:space="preserve"> Example (corn moisture, m5 → mp6, PDS, k = 10, split seed 0): naive intervals (left) versus TD-CP+ (right) for the 25 secondary-instrument test samples.</w:t>
      </w:r>
    </w:p>
    <w:p>
      <w:pPr>
        <w:keepNext/>
        <w:spacing w:before="160"/>
      </w:pPr>
      <w:r>
        <w:rPr>
          <w:rFonts w:ascii="Times New Roman" w:hAnsi="Times New Roman"/>
          <w:b/>
          <w:sz w:val="24"/>
        </w:rPr>
        <w:t>4.9. Computational cost</w:t>
      </w:r>
    </w:p>
    <w:p>
      <w:pPr>
        <w:jc w:val="both"/>
      </w:pPr>
      <w:r>
        <w:rPr>
          <w:rFonts w:ascii="Times New Roman" w:hAnsi="Times New Roman"/>
          <w:b w:val="0"/>
        </w:rPr>
        <w:t xml:space="preserve">TD-CP+ needs </w:t>
      </w:r>
      <w:r>
        <w:rPr>
          <w:rFonts w:ascii="Times New Roman" w:hAnsi="Times New Roman"/>
          <w:b w:val="0"/>
          <w:i/>
        </w:rPr>
        <w:t>k</w:t>
      </w:r>
      <w:r>
        <w:rPr>
          <w:rFonts w:ascii="Times New Roman" w:hAnsi="Times New Roman"/>
          <w:b w:val="0"/>
        </w:rPr>
        <w:t xml:space="preserve"> additional transfer fits for cross-fitting, which took on average 13 ms (corn, PDS) and 56 ms (tablets, DS) per split on one CPU core, against 23–244 ms for fitting and cross-validating the PLS model (Table S8, Fig. S3). The interval step itself is O(</w:t>
      </w:r>
      <w:r>
        <w:rPr>
          <w:rFonts w:ascii="Times New Roman" w:hAnsi="Times New Roman"/>
          <w:b w:val="0"/>
          <w:i/>
        </w:rPr>
        <w:t>nk</w:t>
      </w:r>
      <w:r>
        <w:rPr>
          <w:rFonts w:ascii="Times New Roman" w:hAnsi="Times New Roman"/>
          <w:b w:val="0"/>
        </w:rPr>
        <w:t xml:space="preserve">) per test sample (a partial sort of </w:t>
      </w:r>
      <w:r>
        <w:rPr>
          <w:rFonts w:ascii="Times New Roman" w:hAnsi="Times New Roman"/>
          <w:b w:val="0"/>
          <w:i/>
        </w:rPr>
        <w:t>nk</w:t>
      </w:r>
      <w:r>
        <w:rPr>
          <w:rFonts w:ascii="Times New Roman" w:hAnsi="Times New Roman"/>
          <w:b w:val="0"/>
        </w:rPr>
        <w:t xml:space="preserve"> candidate bounds): in a synthetic benchmark with </w:t>
      </w:r>
      <w:r>
        <w:rPr>
          <w:rFonts w:ascii="Times New Roman" w:hAnsi="Times New Roman"/>
          <w:b w:val="0"/>
          <w:i/>
        </w:rPr>
        <w:t>n</w:t>
      </w:r>
      <w:r>
        <w:rPr>
          <w:rFonts w:ascii="Times New Roman" w:hAnsi="Times New Roman"/>
          <w:b w:val="0"/>
        </w:rPr>
        <w:t xml:space="preserve"> = 5000 primary residuals it took 0.21 ms per test sample for </w:t>
      </w:r>
      <w:r>
        <w:rPr>
          <w:rFonts w:ascii="Times New Roman" w:hAnsi="Times New Roman"/>
          <w:b w:val="0"/>
          <w:i/>
        </w:rPr>
        <w:t>k</w:t>
      </w:r>
      <w:r>
        <w:rPr>
          <w:rFonts w:ascii="Times New Roman" w:hAnsi="Times New Roman"/>
          <w:b w:val="0"/>
        </w:rPr>
        <w:t xml:space="preserve"> = 10 and 0.82 ms for </w:t>
      </w:r>
      <w:r>
        <w:rPr>
          <w:rFonts w:ascii="Times New Roman" w:hAnsi="Times New Roman"/>
          <w:b w:val="0"/>
          <w:i/>
        </w:rPr>
        <w:t>k</w:t>
      </w:r>
      <w:r>
        <w:rPr>
          <w:rFonts w:ascii="Times New Roman" w:hAnsi="Times New Roman"/>
          <w:b w:val="0"/>
        </w:rPr>
        <w:t xml:space="preserve"> = 30 on one core, against 0.0037 ms for the signed TD-CP (Fig. S1). The cost is negligible in practice.</w:t>
      </w:r>
    </w:p>
    <w:p>
      <w:pPr>
        <w:keepNext/>
        <w:spacing w:before="160"/>
      </w:pPr>
      <w:r>
        <w:rPr>
          <w:rFonts w:ascii="Times New Roman" w:hAnsi="Times New Roman"/>
          <w:b/>
          <w:sz w:val="24"/>
        </w:rPr>
        <w:t>4.10. Relation to existing approaches</w:t>
      </w:r>
    </w:p>
    <w:p>
      <w:pPr>
        <w:jc w:val="both"/>
      </w:pPr>
      <w:r>
        <w:rPr>
          <w:rFonts w:ascii="Times New Roman" w:hAnsi="Times New Roman"/>
          <w:b w:val="0"/>
        </w:rPr>
        <w:t>TD-CP+ is not a new conformal principle: it applies the split-conformal finite-sample correction [17,18] and the jackknife+ construction [28] to an error decomposition that is specific to standardisation-based calibration transfer. Its novelty lies in (i) recognising that the transfer component of the error can be observed without reference values on the standards that DS/PDS already use, (ii) showing that cross-fitting is necessary for this observation to be informative (in-sample DS discrepancies are identically zero), and (iii) establishing, on public data, that the resulting intervals are valid where established alternatives are not. The Gaussian combination (M4) uses the same two ingredients and was slightly more efficient when valid, which indicates that most of the benefit comes from the discrepancy information itself; its validity, however, depended on the transfer method. The concurrent transported conformal calibration of Doula [25] also exploits unlabelled paired observations, but transports the labelled calibration set itself for set-valued classification and corrects residual mismatch with unlabelled target inputs; it was evaluated on image benchmarks. Weighted CP [24] targets covariate shift and, as shown above, is impractical for transferred spectra.</w:t>
      </w:r>
    </w:p>
    <w:p>
      <w:pPr>
        <w:keepNext/>
        <w:spacing w:before="160"/>
      </w:pPr>
      <w:r>
        <w:rPr>
          <w:rFonts w:ascii="Times New Roman" w:hAnsi="Times New Roman"/>
          <w:b/>
          <w:sz w:val="24"/>
        </w:rPr>
        <w:t>4.11. Practical recommendations and limitations</w:t>
      </w:r>
    </w:p>
    <w:p>
      <w:pPr>
        <w:jc w:val="both"/>
      </w:pPr>
      <w:r>
        <w:rPr>
          <w:rFonts w:ascii="Times New Roman" w:hAnsi="Times New Roman"/>
          <w:b w:val="0"/>
        </w:rPr>
        <w:t xml:space="preserve">For a transferred calibration we recommend: (i) never reuse primary-instrument intervals; (ii) measure at least eight transfer standards and keep their primary spectra; (iii) compute cross-fitted discrepancies and report TD-CP+ intervals, which need no reference values for the standards; (iv) where reference values for the standards are known (e.g., re-measured calibration samples), TD-CP+ remains as efficient as the labelled alternatives or more so (Table 3; paired IS versus the </w:t>
      </w:r>
      <w:r>
        <w:rPr>
          <w:rFonts w:ascii="Times New Roman" w:hAnsi="Times New Roman"/>
          <w:b w:val="0"/>
          <w:i/>
        </w:rPr>
        <w:t>t</w:t>
      </w:r>
      <w:r>
        <w:rPr>
          <w:rFonts w:ascii="Times New Roman" w:hAnsi="Times New Roman"/>
          <w:b w:val="0"/>
        </w:rPr>
        <w:t>-interval: TD-CP+ lower in 50% of PDS and 87% of DS scenarios), and the labelled errors can additionally serve to verify coverage. Limitations: the evidence comes from two benchmark datasets (five instruments, seven properties) and from simulated instruments; coverage is marginal over samples and conditionally lower at the extremes; the discrepancies are informative only if the standards resemble routine samples, so spectrally dissimilar artefacts such as the glass standards supplied with the corn data cannot be used for δ (the model prediction for a glass spectrum is meaningless), and with DS, standards drawn from only half of the concentration range left 40% of scenarios invalid; the guarantee of Eq. (5) depends on assumptions (A1)–(A3), of which (A2) holds only approximately; TD-CP+ was introduced after the pre-specified main analysis, although its confirmatory evaluation used experiments that were not inspected beforehand; the protocol was fixed in a time-stamped version-control commit rather than in a public registry; and process or temporal drift on a single instrument was not studied because no suitable public paired data with continuous reference values were found.</w:t>
      </w:r>
    </w:p>
    <w:p>
      <w:pPr>
        <w:keepNext/>
        <w:spacing w:before="240"/>
      </w:pPr>
      <w:r>
        <w:rPr>
          <w:rFonts w:ascii="Times New Roman" w:hAnsi="Times New Roman"/>
          <w:b/>
          <w:sz w:val="26"/>
        </w:rPr>
        <w:t>5. Conclusions</w:t>
      </w:r>
    </w:p>
    <w:p>
      <w:pPr>
        <w:jc w:val="both"/>
      </w:pPr>
      <w:r>
        <w:rPr>
          <w:rFonts w:ascii="Times New Roman" w:hAnsi="Times New Roman"/>
          <w:b w:val="0"/>
        </w:rPr>
        <w:t>Prediction intervals calibrated on a primary spectrometer substantially under-cover after calibration transfer, even when PDS or DS give acceptable point predictions. Splitting the error of a transferred prediction into a calibration residual and a transfer discrepancy, and estimating the latter without reference values from cross-fitted maps on the transfer standards, yields intervals with near-nominal (slightly conservative) coverage across 30 public benchmark scenarios, two transfer methods, several nominal levels and a range of robustness conditions, provided that the transfer standards represent the routine samples (with DS and standards from only half of the concentration range, validity was lost in a substantial fraction of scenarios). The jackknife+ form, TD-CP+, was required for reliable validity with the unstable DS map. The approach adds negligible computation, is independent of the regression model, and turns transfer standards that laboratories already measure into a source of validated uncertainty. Future work should evaluate it on process and long-term drift data and on conditional (sample-adaptive) coverage.</w:t>
      </w:r>
    </w:p>
    <w:p>
      <w:pPr>
        <w:keepNext/>
        <w:spacing w:before="240"/>
      </w:pPr>
      <w:r>
        <w:rPr>
          <w:rFonts w:ascii="Times New Roman" w:hAnsi="Times New Roman"/>
          <w:b/>
          <w:sz w:val="26"/>
        </w:rPr>
        <w:t>CRediT authorship contribution statement</w:t>
      </w:r>
    </w:p>
    <w:p>
      <w:pPr>
        <w:jc w:val="both"/>
      </w:pPr>
      <w:r>
        <w:rPr>
          <w:rFonts w:ascii="Times New Roman" w:hAnsi="Times New Roman"/>
          <w:b w:val="0"/>
        </w:rPr>
        <w:t>[Placeholder — to be completed by the authors, e.g., Conceptualization; Methodology; Software; Formal analysis; Writing – original draft; Writing – review &amp; editing.]</w:t>
      </w:r>
    </w:p>
    <w:p>
      <w:pPr>
        <w:keepNext/>
        <w:spacing w:before="240"/>
      </w:pPr>
      <w:r>
        <w:rPr>
          <w:rFonts w:ascii="Times New Roman" w:hAnsi="Times New Roman"/>
          <w:b/>
          <w:sz w:val="26"/>
        </w:rPr>
        <w:t>Declaration of competing interest</w:t>
      </w:r>
    </w:p>
    <w:p>
      <w:pPr>
        <w:jc w:val="both"/>
      </w:pPr>
      <w:r>
        <w:rPr>
          <w:rFonts w:ascii="Times New Roman" w:hAnsi="Times New Roman"/>
          <w:b w:val="0"/>
        </w:rPr>
        <w:t>The authors declare that they have no known competing financial interests or personal relationships that could have appeared to influence the work reported in this paper.</w:t>
      </w:r>
    </w:p>
    <w:p>
      <w:pPr>
        <w:keepNext/>
        <w:spacing w:before="240"/>
      </w:pPr>
      <w:r>
        <w:rPr>
          <w:rFonts w:ascii="Times New Roman" w:hAnsi="Times New Roman"/>
          <w:b/>
          <w:sz w:val="26"/>
        </w:rPr>
        <w:t>Declaration of generative AI and AI-assisted technologies in the manuscript preparation process</w:t>
      </w:r>
    </w:p>
    <w:p>
      <w:pPr>
        <w:jc w:val="both"/>
      </w:pPr>
      <w:r>
        <w:rPr>
          <w:rFonts w:ascii="Times New Roman" w:hAnsi="Times New Roman"/>
          <w:b w:val="0"/>
        </w:rPr>
        <w:t>During the preparation of this work the authors used an AI system (Claude, Anthropic) to search the literature, write and run the analysis code, and draft the manuscript. After using this tool, the authors reviewed and edited the content as needed and take full responsibility for the content of the published article.</w:t>
      </w:r>
    </w:p>
    <w:p>
      <w:pPr>
        <w:keepNext/>
        <w:spacing w:before="240"/>
      </w:pPr>
      <w:r>
        <w:rPr>
          <w:rFonts w:ascii="Times New Roman" w:hAnsi="Times New Roman"/>
          <w:b/>
          <w:sz w:val="26"/>
        </w:rPr>
        <w:t>Data availability</w:t>
      </w:r>
    </w:p>
    <w:p>
      <w:pPr>
        <w:jc w:val="both"/>
      </w:pPr>
      <w:r>
        <w:rPr>
          <w:rFonts w:ascii="Times New Roman" w:hAnsi="Times New Roman"/>
          <w:b w:val="0"/>
        </w:rPr>
        <w:t>Both datasets are publicly available from Eigenvector Research (corn; NIR shootout 2002). The code, configuration, pre-specified protocol, raw per-split results (854,400 rows), statistical outputs, and scripts that regenerate every table, figure and number of this article are provided in the accompanying repository [link to be inserted upon acceptance].</w:t>
      </w:r>
    </w:p>
    <w:p>
      <w:pPr>
        <w:keepNext/>
        <w:spacing w:before="240"/>
      </w:pPr>
      <w:r>
        <w:rPr>
          <w:rFonts w:ascii="Times New Roman" w:hAnsi="Times New Roman"/>
          <w:b/>
          <w:sz w:val="26"/>
        </w:rPr>
        <w:t>Funding</w:t>
      </w:r>
    </w:p>
    <w:p>
      <w:pPr>
        <w:jc w:val="both"/>
      </w:pPr>
      <w:r>
        <w:rPr>
          <w:rFonts w:ascii="Times New Roman" w:hAnsi="Times New Roman"/>
          <w:b w:val="0"/>
        </w:rPr>
        <w:t>[Placeholder — funding sources or ‘This research did not receive any specific grant from funding agencies in the public, commercial, or not-for-profit sectors.’]</w:t>
      </w:r>
    </w:p>
    <w:p>
      <w:pPr>
        <w:keepNext/>
        <w:spacing w:before="240"/>
      </w:pPr>
      <w:r>
        <w:rPr>
          <w:rFonts w:ascii="Times New Roman" w:hAnsi="Times New Roman"/>
          <w:b/>
          <w:sz w:val="26"/>
        </w:rPr>
        <w:t>Appendix A. Supplementary data</w:t>
      </w:r>
    </w:p>
    <w:p>
      <w:pPr>
        <w:jc w:val="both"/>
      </w:pPr>
      <w:r>
        <w:rPr>
          <w:rFonts w:ascii="Times New Roman" w:hAnsi="Times New Roman"/>
          <w:b w:val="0"/>
        </w:rPr>
        <w:t>Supplementary material (Supplementary_Material.docx): Section S4 proof of Eq. (5); Table S1 per-scenario results; Table S2 main results by dataset; Table S3 coverage at all nominal levels; Table S4 split-level coverage; Table S5 stratum consistency; Table S6 tolerance sensitivity; Table S7 full statistical tests; Table S8 computation times; Table S9 all robustness results; Figs. S1–S3 scaling, nominal levels and computation time. Repository documents: S1 topic selection and pre-specified protocol; S2 iteration log; S3 literature matrix.</w:t>
      </w:r>
    </w:p>
    <w:p>
      <w:pPr>
        <w:keepNext/>
        <w:spacing w:before="240"/>
      </w:pPr>
      <w:r>
        <w:rPr>
          <w:rFonts w:ascii="Times New Roman" w:hAnsi="Times New Roman"/>
          <w:b/>
          <w:sz w:val="26"/>
        </w:rPr>
        <w:t>References</w:t>
      </w:r>
    </w:p>
    <w:p>
      <w:pPr>
        <w:spacing w:line="276" w:lineRule="auto"/>
        <w:ind w:left="510" w:hanging="510"/>
      </w:pPr>
      <w:r>
        <w:rPr>
          <w:rFonts w:ascii="Times New Roman" w:hAnsi="Times New Roman"/>
          <w:b w:val="0"/>
          <w:sz w:val="20"/>
        </w:rPr>
        <w:t>[1]</w:t>
        <w:tab/>
        <w:t>S. Wold, M. Sjöström, L. Eriksson, PLS-regression: a basic tool of chemometrics, Chemometr. Intell. Lab. Syst. 58 (2001) 109–130. https://doi.org/10.1016/S0169-7439(01)00155-1.</w:t>
      </w:r>
    </w:p>
    <w:p>
      <w:pPr>
        <w:spacing w:line="276" w:lineRule="auto"/>
        <w:ind w:left="510" w:hanging="510"/>
      </w:pPr>
      <w:r>
        <w:rPr>
          <w:rFonts w:ascii="Times New Roman" w:hAnsi="Times New Roman"/>
          <w:b w:val="0"/>
          <w:sz w:val="20"/>
        </w:rPr>
        <w:t>[2]</w:t>
        <w:tab/>
        <w:t>J.J. Workman, A Review of Calibration Transfer Practices and Instrument Differences in Spectroscopy, Appl. Spectrosc. 72 (2018) 340–365. https://doi.org/10.1177/0003702817736064.</w:t>
      </w:r>
    </w:p>
    <w:p>
      <w:pPr>
        <w:spacing w:line="276" w:lineRule="auto"/>
        <w:ind w:left="510" w:hanging="510"/>
      </w:pPr>
      <w:r>
        <w:rPr>
          <w:rFonts w:ascii="Times New Roman" w:hAnsi="Times New Roman"/>
          <w:b w:val="0"/>
          <w:sz w:val="20"/>
        </w:rPr>
        <w:t>[3]</w:t>
        <w:tab/>
        <w:t>R.N. Feudale, N.A. Woody, H. Tan, A.J. Myles, S.D. Brown, J. Ferré, Transfer of multivariate calibration models: a review, Chemometr. Intell. Lab. Syst. 64 (2002) 181–192. https://doi.org/10.1016/S0169-7439(02)00085-0.</w:t>
      </w:r>
    </w:p>
    <w:p>
      <w:pPr>
        <w:spacing w:line="276" w:lineRule="auto"/>
        <w:ind w:left="510" w:hanging="510"/>
      </w:pPr>
      <w:r>
        <w:rPr>
          <w:rFonts w:ascii="Times New Roman" w:hAnsi="Times New Roman"/>
          <w:b w:val="0"/>
          <w:sz w:val="20"/>
        </w:rPr>
        <w:t>[4]</w:t>
        <w:tab/>
        <w:t>T. Fearn, Standardisation and Calibration Transfer for near Infrared Instruments: A Review, J. Near Infrared Spectrosc. 9 (2001) 229–244. https://doi.org/10.1255/jnirs.309.</w:t>
      </w:r>
    </w:p>
    <w:p>
      <w:pPr>
        <w:spacing w:line="276" w:lineRule="auto"/>
        <w:ind w:left="510" w:hanging="510"/>
      </w:pPr>
      <w:r>
        <w:rPr>
          <w:rFonts w:ascii="Times New Roman" w:hAnsi="Times New Roman"/>
          <w:b w:val="0"/>
          <w:sz w:val="20"/>
        </w:rPr>
        <w:t>[5]</w:t>
        <w:tab/>
        <w:t>Y. Wang, D.J. Veltkamp, B.R. Kowalski, Multivariate instrument standardization, Anal. Chem. 63 (1991) 2750–2756. https://doi.org/10.1021/ac00023a016.</w:t>
      </w:r>
    </w:p>
    <w:p>
      <w:pPr>
        <w:spacing w:line="276" w:lineRule="auto"/>
        <w:ind w:left="510" w:hanging="510"/>
      </w:pPr>
      <w:r>
        <w:rPr>
          <w:rFonts w:ascii="Times New Roman" w:hAnsi="Times New Roman"/>
          <w:b w:val="0"/>
          <w:sz w:val="20"/>
        </w:rPr>
        <w:t>[6]</w:t>
        <w:tab/>
        <w:t>E. Bouveresse, D. Massart, Improvement of the piecewise direct standardisation procedure for the transfer of NIR spectra for multivariate calibration, Chemometr. Intell. Lab. Syst. 32 (1996) 201–213. https://doi.org/10.1016/0169-7439(95)00074-7.</w:t>
      </w:r>
    </w:p>
    <w:p>
      <w:pPr>
        <w:spacing w:line="276" w:lineRule="auto"/>
        <w:ind w:left="510" w:hanging="510"/>
      </w:pPr>
      <w:r>
        <w:rPr>
          <w:rFonts w:ascii="Times New Roman" w:hAnsi="Times New Roman"/>
          <w:b w:val="0"/>
          <w:sz w:val="20"/>
        </w:rPr>
        <w:t>[7]</w:t>
        <w:tab/>
        <w:t>B. Malli, A. Birlutiu, T. Natschläger, Standard-free calibration transfer - An evaluation of different techniques, Chemometr. Intell. Lab. Syst. 161 (2017) 49–60. https://doi.org/10.1016/j.chemolab.2016.12.008.</w:t>
      </w:r>
    </w:p>
    <w:p>
      <w:pPr>
        <w:spacing w:line="276" w:lineRule="auto"/>
        <w:ind w:left="510" w:hanging="510"/>
      </w:pPr>
      <w:r>
        <w:rPr>
          <w:rFonts w:ascii="Times New Roman" w:hAnsi="Times New Roman"/>
          <w:b w:val="0"/>
          <w:sz w:val="20"/>
        </w:rPr>
        <w:t>[8]</w:t>
        <w:tab/>
        <w:t>Z. Xie, X. Chen, J.-M. Roger, S. Ali, G. Huang, W. Shi, Calibration transfer via filter learning, Anal. Chim. Acta 1298 (2024) 342404. https://doi.org/10.1016/j.aca.2024.342404.</w:t>
      </w:r>
    </w:p>
    <w:p>
      <w:pPr>
        <w:spacing w:line="276" w:lineRule="auto"/>
        <w:ind w:left="510" w:hanging="510"/>
      </w:pPr>
      <w:r>
        <w:rPr>
          <w:rFonts w:ascii="Times New Roman" w:hAnsi="Times New Roman"/>
          <w:b w:val="0"/>
          <w:sz w:val="20"/>
        </w:rPr>
        <w:t>[9]</w:t>
        <w:tab/>
        <w:t>X. Huang, X. Chen, G. Huang, Z. Xie, W. Shi, X. Chen et al., UCT-LMIR: A standard-free unsupervised calibration transfer method without model recalibration, Anal. Chim. Acta 1423 (2026) 346104. https://doi.org/10.1016/j.aca.2026.346104.</w:t>
      </w:r>
    </w:p>
    <w:p>
      <w:pPr>
        <w:spacing w:line="276" w:lineRule="auto"/>
        <w:ind w:left="510" w:hanging="510"/>
      </w:pPr>
      <w:r>
        <w:rPr>
          <w:rFonts w:ascii="Times New Roman" w:hAnsi="Times New Roman"/>
          <w:b w:val="0"/>
          <w:sz w:val="20"/>
        </w:rPr>
        <w:t>[10]</w:t>
        <w:tab/>
        <w:t>J. Gao, J. Li, J. Yin, R. Gao, Z. Tian, Y. Zhao et al., Cross-instrument coal quality spectral analysis via a PDS-assisted fine-tuning calibration transfer method, Anal. Chim. Acta 1405 (2026) 345485. https://doi.org/10.1016/j.aca.2026.345485.</w:t>
      </w:r>
    </w:p>
    <w:p>
      <w:pPr>
        <w:spacing w:line="276" w:lineRule="auto"/>
        <w:ind w:left="510" w:hanging="510"/>
      </w:pPr>
      <w:r>
        <w:rPr>
          <w:rFonts w:ascii="Times New Roman" w:hAnsi="Times New Roman"/>
          <w:b w:val="0"/>
          <w:sz w:val="20"/>
        </w:rPr>
        <w:t>[11]</w:t>
        <w:tab/>
        <w:t>X. Fan, L. Shang, S. Zhao, J. Fan, S. Zhang, Q. Yang et al., PLSELM: A lightweight modeling approach for low-data calibration in near-infrared spectroscopy, Anal. Chim. Acta 1379 (2025) 344728. https://doi.org/10.1016/j.aca.2025.344728.</w:t>
      </w:r>
    </w:p>
    <w:p>
      <w:pPr>
        <w:spacing w:line="276" w:lineRule="auto"/>
        <w:ind w:left="510" w:hanging="510"/>
      </w:pPr>
      <w:r>
        <w:rPr>
          <w:rFonts w:ascii="Times New Roman" w:hAnsi="Times New Roman"/>
          <w:b w:val="0"/>
          <w:sz w:val="20"/>
        </w:rPr>
        <w:t>[12]</w:t>
        <w:tab/>
        <w:t>ASTM E1655-17, Standard Practices for Infrared Multivariate Quantitative Analysis, ASTM International, West Conshohocken, PA, 2017.</w:t>
      </w:r>
    </w:p>
    <w:p>
      <w:pPr>
        <w:spacing w:line="276" w:lineRule="auto"/>
        <w:ind w:left="510" w:hanging="510"/>
      </w:pPr>
      <w:r>
        <w:rPr>
          <w:rFonts w:ascii="Times New Roman" w:hAnsi="Times New Roman"/>
          <w:b w:val="0"/>
          <w:sz w:val="20"/>
        </w:rPr>
        <w:t>[13]</w:t>
        <w:tab/>
        <w:t>International Council for Harmonisation, ICH Q2(R2) Guideline: Validation of Analytical Procedures, 2023.</w:t>
      </w:r>
    </w:p>
    <w:p>
      <w:pPr>
        <w:spacing w:line="276" w:lineRule="auto"/>
        <w:ind w:left="510" w:hanging="510"/>
      </w:pPr>
      <w:r>
        <w:rPr>
          <w:rFonts w:ascii="Times New Roman" w:hAnsi="Times New Roman"/>
          <w:b w:val="0"/>
          <w:sz w:val="20"/>
        </w:rPr>
        <w:t>[14]</w:t>
        <w:tab/>
        <w:t>K. Faber, B.R. Kowalski, Propagation of measurement errors for the validation of predictions obtained by principal component regression and partial least squares, J. Chemom. 11 (1997) 181–238. https://doi.org/10.1002/(SICI)1099-128X(199705)11:3&lt;181::AID-CEM459&gt;3.0.CO;2-7.</w:t>
      </w:r>
    </w:p>
    <w:p>
      <w:pPr>
        <w:spacing w:line="276" w:lineRule="auto"/>
        <w:ind w:left="510" w:hanging="510"/>
      </w:pPr>
      <w:r>
        <w:rPr>
          <w:rFonts w:ascii="Times New Roman" w:hAnsi="Times New Roman"/>
          <w:b w:val="0"/>
          <w:sz w:val="20"/>
        </w:rPr>
        <w:t>[15]</w:t>
        <w:tab/>
        <w:t>N. Faber, X.-H. Song, P. Hopke, Sample-specific standard error of prediction for partial least squares regression, TrAC Trends Anal. Chem. 22 (2003) 330–334. https://doi.org/10.1016/s0165-9936(03)00503-x.</w:t>
      </w:r>
    </w:p>
    <w:p>
      <w:pPr>
        <w:spacing w:line="276" w:lineRule="auto"/>
        <w:ind w:left="510" w:hanging="510"/>
      </w:pPr>
      <w:r>
        <w:rPr>
          <w:rFonts w:ascii="Times New Roman" w:hAnsi="Times New Roman"/>
          <w:b w:val="0"/>
          <w:sz w:val="20"/>
        </w:rPr>
        <w:t>[16]</w:t>
        <w:tab/>
        <w:t>V. Vovk, A. Gammerman, G. Shafer, Algorithmic Learning in a Random World, Springer, New York, 2005. https://doi.org/10.1007/b106715.</w:t>
      </w:r>
    </w:p>
    <w:p>
      <w:pPr>
        <w:spacing w:line="276" w:lineRule="auto"/>
        <w:ind w:left="510" w:hanging="510"/>
      </w:pPr>
      <w:r>
        <w:rPr>
          <w:rFonts w:ascii="Times New Roman" w:hAnsi="Times New Roman"/>
          <w:b w:val="0"/>
          <w:sz w:val="20"/>
        </w:rPr>
        <w:t>[17]</w:t>
        <w:tab/>
        <w:t>H. Papadopoulos, K. Proedrou, V. Vovk, A. Gammerman, Inductive Confidence Machines for Regression, in: Machine Learning: ECML 2002, Lect. Notes Comput. Sci. 2430 (2002) 345–356. https://doi.org/10.1007/3-540-36755-1_29.</w:t>
      </w:r>
    </w:p>
    <w:p>
      <w:pPr>
        <w:spacing w:line="276" w:lineRule="auto"/>
        <w:ind w:left="510" w:hanging="510"/>
      </w:pPr>
      <w:r>
        <w:rPr>
          <w:rFonts w:ascii="Times New Roman" w:hAnsi="Times New Roman"/>
          <w:b w:val="0"/>
          <w:sz w:val="20"/>
        </w:rPr>
        <w:t>[18]</w:t>
        <w:tab/>
        <w:t>J. Lei, M. G’Sell, A. Rinaldo, R.J. Tibshirani, L. Wasserman, Distribution-Free Predictive Inference for Regression, J. Am. Stat. Assoc. 113 (2018) 1094–1111. https://doi.org/10.1080/01621459.2017.1307116.</w:t>
      </w:r>
    </w:p>
    <w:p>
      <w:pPr>
        <w:spacing w:line="276" w:lineRule="auto"/>
        <w:ind w:left="510" w:hanging="510"/>
      </w:pPr>
      <w:r>
        <w:rPr>
          <w:rFonts w:ascii="Times New Roman" w:hAnsi="Times New Roman"/>
          <w:b w:val="0"/>
          <w:sz w:val="20"/>
        </w:rPr>
        <w:t>[19]</w:t>
        <w:tab/>
        <w:t>A.N. Angelopoulos, S. Bates, Conformal Prediction: A Gentle Introduction, Found. Trends Mach. Learn. 16 (2023) 494–591. https://doi.org/10.1561/2200000101.</w:t>
      </w:r>
    </w:p>
    <w:p>
      <w:pPr>
        <w:spacing w:line="276" w:lineRule="auto"/>
        <w:ind w:left="510" w:hanging="510"/>
      </w:pPr>
      <w:r>
        <w:rPr>
          <w:rFonts w:ascii="Times New Roman" w:hAnsi="Times New Roman"/>
          <w:b w:val="0"/>
          <w:sz w:val="20"/>
        </w:rPr>
        <w:t>[20]</w:t>
        <w:tab/>
        <w:t>O. Jovic, Conformal predictors in chemometric study of mid-infrared food adulteration: quantification of prediction uncertainty, Food Chem. 492 (2025) 145387. https://doi.org/10.1016/j.foodchem.2025.145387.</w:t>
      </w:r>
    </w:p>
    <w:p>
      <w:pPr>
        <w:spacing w:line="276" w:lineRule="auto"/>
        <w:ind w:left="510" w:hanging="510"/>
      </w:pPr>
      <w:r>
        <w:rPr>
          <w:rFonts w:ascii="Times New Roman" w:hAnsi="Times New Roman"/>
          <w:b w:val="0"/>
          <w:sz w:val="20"/>
        </w:rPr>
        <w:t>[21]</w:t>
        <w:tab/>
        <w:t>J.K. Wiens, N. Solomatova, S. Shokatian, Calibrated Uncertainty Estimation for Soil Organic Carbon from Raman Spectra, Anal. Chem. 98 (2026) 309–316. https://doi.org/10.1021/acs.analchem.5c04616.</w:t>
      </w:r>
    </w:p>
    <w:p>
      <w:pPr>
        <w:spacing w:line="276" w:lineRule="auto"/>
        <w:ind w:left="510" w:hanging="510"/>
      </w:pPr>
      <w:r>
        <w:rPr>
          <w:rFonts w:ascii="Times New Roman" w:hAnsi="Times New Roman"/>
          <w:b w:val="0"/>
          <w:sz w:val="20"/>
        </w:rPr>
        <w:t>[22]</w:t>
        <w:tab/>
        <w:t>Z.-S. Duma, O. Lamminpää, J. Susiluoto, H. Haario, T. Zheng, T. Sihvonen et al., Uncertainty calibration for latent-variable regression models, arXiv preprint arXiv:2512.23444 (2025).</w:t>
      </w:r>
    </w:p>
    <w:p>
      <w:pPr>
        <w:spacing w:line="276" w:lineRule="auto"/>
        <w:ind w:left="510" w:hanging="510"/>
      </w:pPr>
      <w:r>
        <w:rPr>
          <w:rFonts w:ascii="Times New Roman" w:hAnsi="Times New Roman"/>
          <w:b w:val="0"/>
          <w:sz w:val="20"/>
        </w:rPr>
        <w:t>[23]</w:t>
        <w:tab/>
        <w:t>R.A. Haggam, R. Jayabal, K. Mehar, S.K. Jangid, J. Nanda, S.H. M et al., Chemometric and machine-learning strategies for calibration transfer and uncertainty quantification in portable optical analytical systems, Chemometr. Intell. Lab. Syst. 278 (2026) 105848. https://doi.org/10.1016/j.chemolab.2026.105848.</w:t>
      </w:r>
    </w:p>
    <w:p>
      <w:pPr>
        <w:spacing w:line="276" w:lineRule="auto"/>
        <w:ind w:left="510" w:hanging="510"/>
      </w:pPr>
      <w:r>
        <w:rPr>
          <w:rFonts w:ascii="Times New Roman" w:hAnsi="Times New Roman"/>
          <w:b w:val="0"/>
          <w:sz w:val="20"/>
        </w:rPr>
        <w:t>[24]</w:t>
        <w:tab/>
        <w:t>R.J. Tibshirani, R.F. Barber, E.J. Candes, A. Ramdas, Conformal Prediction Under Covariate Shift, arXiv preprint arXiv:1904.06019 (2019).</w:t>
      </w:r>
    </w:p>
    <w:p>
      <w:pPr>
        <w:spacing w:line="276" w:lineRule="auto"/>
        <w:ind w:left="510" w:hanging="510"/>
      </w:pPr>
      <w:r>
        <w:rPr>
          <w:rFonts w:ascii="Times New Roman" w:hAnsi="Times New Roman"/>
          <w:b w:val="0"/>
          <w:sz w:val="20"/>
        </w:rPr>
        <w:t>[25]</w:t>
        <w:tab/>
        <w:t>A. Doula, Conformal Calibration Transfer, arXiv preprint arXiv:2609.10737 (2026).</w:t>
      </w:r>
    </w:p>
    <w:p>
      <w:pPr>
        <w:spacing w:line="276" w:lineRule="auto"/>
        <w:ind w:left="510" w:hanging="510"/>
      </w:pPr>
      <w:r>
        <w:rPr>
          <w:rFonts w:ascii="Times New Roman" w:hAnsi="Times New Roman"/>
          <w:b w:val="0"/>
          <w:sz w:val="20"/>
        </w:rPr>
        <w:t>[26]</w:t>
        <w:tab/>
        <w:t>A. Dvoretzky, J. Kiefer, J. Wolfowitz, Asymptotic Minimax Character of the Sample Distribution Function and of the Classical Multinomial Estimator, Ann. Math. Stat. 27 (1956) 642–669. https://doi.org/10.1214/aoms/1177728174.</w:t>
      </w:r>
    </w:p>
    <w:p>
      <w:pPr>
        <w:spacing w:line="276" w:lineRule="auto"/>
        <w:ind w:left="510" w:hanging="510"/>
      </w:pPr>
      <w:r>
        <w:rPr>
          <w:rFonts w:ascii="Times New Roman" w:hAnsi="Times New Roman"/>
          <w:b w:val="0"/>
          <w:sz w:val="20"/>
        </w:rPr>
        <w:t>[27]</w:t>
        <w:tab/>
        <w:t>P. Massart, The Tight Constant in the Dvoretzky-Kiefer-Wolfowitz Inequality, Ann. Probab. 18 (1990) 1269–1283. https://doi.org/10.1214/aop/1176990746.</w:t>
      </w:r>
    </w:p>
    <w:p>
      <w:pPr>
        <w:spacing w:line="276" w:lineRule="auto"/>
        <w:ind w:left="510" w:hanging="510"/>
      </w:pPr>
      <w:r>
        <w:rPr>
          <w:rFonts w:ascii="Times New Roman" w:hAnsi="Times New Roman"/>
          <w:b w:val="0"/>
          <w:sz w:val="20"/>
        </w:rPr>
        <w:t>[28]</w:t>
        <w:tab/>
        <w:t>R.F. Barber, E.J. Candès, A. Ramdas, R.J. Tibshirani, Predictive inference with the jackknife+, Ann. Stat. 49 (2021) 486–507. https://doi.org/10.1214/20-AOS1965.</w:t>
      </w:r>
    </w:p>
    <w:p>
      <w:pPr>
        <w:spacing w:line="276" w:lineRule="auto"/>
        <w:ind w:left="510" w:hanging="510"/>
      </w:pPr>
      <w:r>
        <w:rPr>
          <w:rFonts w:ascii="Times New Roman" w:hAnsi="Times New Roman"/>
          <w:b w:val="0"/>
          <w:sz w:val="20"/>
        </w:rPr>
        <w:t>[29]</w:t>
        <w:tab/>
        <w:t>Eigenvector Research Inc., Data sets: NIR spectra of corn samples; NIR shootout 2002 pharmaceutical tablets. https://eigenvector.com/resources/data-sets/ (accessed 13 October 2026).</w:t>
      </w:r>
    </w:p>
    <w:p>
      <w:pPr>
        <w:spacing w:line="276" w:lineRule="auto"/>
        <w:ind w:left="510" w:hanging="510"/>
      </w:pPr>
      <w:r>
        <w:rPr>
          <w:rFonts w:ascii="Times New Roman" w:hAnsi="Times New Roman"/>
          <w:b w:val="0"/>
          <w:sz w:val="20"/>
        </w:rPr>
        <w:t>[30]</w:t>
        <w:tab/>
        <w:t>T. Gneiting, A.E. Raftery, Strictly Proper Scoring Rules, Prediction, and Estimation, J. Am. Stat. Assoc. 102 (2007) 359–378. https://doi.org/10.1198/016214506000001437.</w:t>
      </w:r>
    </w:p>
    <w:p>
      <w:pPr>
        <w:spacing w:line="276" w:lineRule="auto"/>
        <w:ind w:left="510" w:hanging="510"/>
      </w:pPr>
      <w:r>
        <w:rPr>
          <w:rFonts w:ascii="Times New Roman" w:hAnsi="Times New Roman"/>
          <w:b w:val="0"/>
          <w:sz w:val="20"/>
        </w:rPr>
        <w:t>[31]</w:t>
        <w:tab/>
        <w:t>F. Wilcoxon, Individual Comparisons by Ranking Methods, Biometrics Bull. 1 (1945) 80–83. https://doi.org/10.2307/3001968.</w:t>
      </w:r>
    </w:p>
    <w:p>
      <w:pPr>
        <w:spacing w:line="276" w:lineRule="auto"/>
        <w:ind w:left="510" w:hanging="510"/>
      </w:pPr>
      <w:r>
        <w:rPr>
          <w:rFonts w:ascii="Times New Roman" w:hAnsi="Times New Roman"/>
          <w:b w:val="0"/>
          <w:sz w:val="20"/>
        </w:rPr>
        <w:t>[32]</w:t>
        <w:tab/>
        <w:t>S. Holm, A simple sequentially rejective multiple test procedure, Scand. J. Stat. 6 (1979) 65–70.</w:t>
      </w:r>
    </w:p>
    <w:p>
      <w:pPr>
        <w:spacing w:line="276" w:lineRule="auto"/>
        <w:ind w:left="510" w:hanging="510"/>
      </w:pPr>
      <w:r>
        <w:rPr>
          <w:rFonts w:ascii="Times New Roman" w:hAnsi="Times New Roman"/>
          <w:b w:val="0"/>
          <w:sz w:val="20"/>
        </w:rPr>
        <w:t>[33]</w:t>
        <w:tab/>
        <w:t>D.S. Kerby, The Simple Difference Formula: An Approach to Teaching Nonparametric Correlation, Compr. Psychol. 3 (2014). https://doi.org/10.2466/11.IT.3.1.</w:t>
      </w:r>
    </w:p>
    <w:p>
      <w:pPr>
        <w:spacing w:line="276" w:lineRule="auto"/>
        <w:ind w:left="510" w:hanging="510"/>
      </w:pPr>
      <w:r>
        <w:rPr>
          <w:rFonts w:ascii="Times New Roman" w:hAnsi="Times New Roman"/>
          <w:b w:val="0"/>
          <w:sz w:val="20"/>
        </w:rPr>
        <w:t>[34]</w:t>
        <w:tab/>
        <w:t>R.W. Kennard, L.A. Stone, Computer Aided Design of Experiments, Technometrics 11 (1969) 137–148. https://doi.org/10.1080/00401706.1969.10490666.</w:t>
      </w:r>
    </w:p>
    <w:p>
      <w:pPr>
        <w:spacing w:line="276" w:lineRule="auto"/>
        <w:ind w:left="510" w:hanging="510"/>
      </w:pPr>
      <w:r>
        <w:rPr>
          <w:rFonts w:ascii="Times New Roman" w:hAnsi="Times New Roman"/>
          <w:b w:val="0"/>
          <w:sz w:val="20"/>
        </w:rPr>
        <w:t>[35]</w:t>
        <w:tab/>
        <w:t>R.J. Barnes, M.S. Dhanoa, S.J. Lister, Standard Normal Variate Transformation and De-Trending of Near-Infrared Diffuse Reflectance Spectra, Appl. Spectrosc. 43 (1989) 772–777. https://doi.org/10.1366/0003702894202201.</w:t>
      </w:r>
    </w:p>
    <w:p>
      <w:pPr>
        <w:spacing w:line="276" w:lineRule="auto"/>
        <w:ind w:left="510" w:hanging="510"/>
      </w:pPr>
      <w:r>
        <w:rPr>
          <w:rFonts w:ascii="Times New Roman" w:hAnsi="Times New Roman"/>
          <w:b w:val="0"/>
          <w:sz w:val="20"/>
        </w:rPr>
        <w:t>[36]</w:t>
        <w:tab/>
        <w:t>A. Savitzky, M.J.E. Golay, Smoothing and Differentiation of Data by Simplified Least Squares Procedures, Anal. Chem. 36 (1964) 1627–1639. https://doi.org/10.1021/ac60214a047.</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