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[Corresponding author name, affiliation, address, e-mail — placeholder]</w:t>
      </w:r>
    </w:p>
    <w:p>
      <w:r>
        <w:t>[Date]</w:t>
      </w:r>
    </w:p>
    <w:p>
      <w:r>
        <w:t>The Editors</w:t>
        <w:br/>
        <w:t>Analytica Chimica Acta</w:t>
      </w:r>
    </w:p>
    <w:p>
      <w:r>
        <w:t>Dear Editors,</w:t>
      </w:r>
    </w:p>
    <w:p>
      <w:r>
        <w:t>We submit the research article “Distribution-free prediction intervals for multivariate calibrations transferred between spectrometers using unlabelled transfer standards” for consideration in Analytica Chimica Acta.</w:t>
      </w:r>
    </w:p>
    <w:p>
      <w:r>
        <w:t>Calibration transfer between spectrometers is a long-standing topic in this journal, but transferred calibrations are still validated almost exclusively by point accuracy. We show that prediction intervals calibrated on the primary instrument become strongly over-confident after transfer: at a nominal 90% level they covered only 0.483 (PDS) and 0.587 (DS) of secondary-instrument samples across 30 public benchmark scenarios. We introduce transfer-discrepancy conformal prediction, which uses the transfer standards that PDS/DS already require — without any additional reference analyses — to produce sample-wise intervals. Its jackknife+ form (TD-CP+) reached 0.939 and 0.927 coverage, being valid in 100% and 100% of scenarios.</w:t>
      </w:r>
    </w:p>
    <w:p>
      <w:r>
        <w:t>We believe the work fits the journal's scope in chemometrics and data treatment: it introduces a new principle for quantifying uncertainty of transferred multivariate calibrations, with a quantifiable analytical benefit (valid uncertainty statements for method validation and release decisions on secondary instruments).</w:t>
      </w:r>
    </w:p>
    <w:p>
      <w:r>
        <w:t>We have tried to make the evidence easy to scrutinise. The analysis protocol was fixed before the experiments; one method variant (TD-CP+) was added after the pre-registered main experiment and is reported as such, together with the pre-registered method's shortfall. All code, configuration and result files are openly available, and a single command regenerates every number, table and figure. Both datasets are public.</w:t>
      </w:r>
    </w:p>
    <w:p>
      <w:r>
        <w:t>Related work: we cite a concurrent machine-learning preprint (arXiv:2609.10737) that transports conformal calibration through unlabelled paired data for classification; our construction, target task (regression intervals after chemometric standardisation) and evaluation differ, as discussed in the manuscript.</w:t>
      </w:r>
    </w:p>
    <w:p>
      <w:r>
        <w:t>The manuscript is original, has not been published previously and is not under consideration elsewhere. All authors have approved the submission. There are no competing interests. No human or animal subjects were involved. Generative AI was used extensively in preparing this work; this is disclosed in the manuscript's declaration, and the authors take full responsibility for the content.</w:t>
      </w:r>
    </w:p>
    <w:p>
      <w:r>
        <w:t>Suggested reviewers: [to be provided by the authors].</w:t>
      </w:r>
    </w:p>
    <w:p>
      <w:r>
        <w:t>Sincerely,</w:t>
        <w:br/>
        <w:t>[Corresponding author, on behalf of all authors]</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