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Material</w:t>
      </w:r>
    </w:p>
    <w:p>
      <w:pPr>
        <w:jc w:val="center"/>
      </w:pPr>
      <w:r>
        <w:rPr>
          <w:rFonts w:ascii="Times New Roman" w:hAnsi="Times New Roman"/>
          <w:b w:val="0"/>
        </w:rPr>
        <w:t>Distribution-free prediction intervals for multivariate calibrations transferred between spectrometers using unlabelled transfer standards</w:t>
      </w:r>
    </w:p>
    <w:p>
      <w:pPr>
        <w:keepNext/>
        <w:spacing w:before="240"/>
      </w:pPr>
      <w:r>
        <w:rPr>
          <w:rFonts w:ascii="Times New Roman" w:hAnsi="Times New Roman"/>
          <w:b/>
          <w:sz w:val="26"/>
        </w:rPr>
        <w:t>S4 — Coverage statement for TD-CP and its assumptions</w:t>
      </w:r>
    </w:p>
    <w:p>
      <w:pPr>
        <w:keepNext/>
        <w:spacing w:before="160"/>
      </w:pPr>
      <w:r>
        <w:rPr>
          <w:rFonts w:ascii="Times New Roman" w:hAnsi="Times New Roman"/>
          <w:b/>
          <w:sz w:val="24"/>
        </w:rPr>
        <w:t>Setting</w:t>
      </w:r>
    </w:p>
    <w:p>
      <w:pPr>
        <w:pStyle w:val="ListBullet"/>
      </w:pPr>
      <w:r>
        <w:rPr>
          <w:rFonts w:ascii="Times New Roman" w:hAnsi="Times New Roman"/>
          <w:b w:val="0"/>
        </w:rPr>
        <w:t>f: a calibration fitted on primary-instrument spectra of the master set.</w:t>
      </w:r>
    </w:p>
    <w:p>
      <w:pPr>
        <w:pStyle w:val="ListBullet"/>
      </w:pPr>
      <w:r>
        <w:rPr>
          <w:rFonts w:ascii="Times New Roman" w:hAnsi="Times New Roman"/>
          <w:b w:val="0"/>
        </w:rPr>
        <w:t>r_1,…,r_n: calibration residuals of the primary instrument. In practice these are out-of-fold residuals.</w:t>
      </w:r>
    </w:p>
    <w:p>
      <w:pPr>
        <w:pStyle w:val="ListBullet"/>
      </w:pPr>
      <w:r>
        <w:rPr>
          <w:rFonts w:ascii="Times New Roman" w:hAnsi="Times New Roman"/>
          <w:b w:val="0"/>
        </w:rPr>
        <w:t>T: a transfer map fitted on k transfer pairs. δ_j = f(x_j^P) − f(T</w:t>
      </w:r>
      <w:r>
        <w:rPr>
          <w:rFonts w:ascii="Times New Roman" w:hAnsi="Times New Roman"/>
          <w:b w:val="0"/>
          <w:vertAlign w:val="subscript"/>
        </w:rPr>
        <w:t>−j</w:t>
      </w:r>
      <w:r>
        <w:rPr>
          <w:rFonts w:ascii="Times New Roman" w:hAnsi="Times New Roman"/>
          <w:b w:val="0"/>
        </w:rPr>
        <w:t>(x_j^S)), j = 1,…,k, are the cross-fitted transfer discrepancies.</w:t>
      </w:r>
    </w:p>
    <w:p>
      <w:pPr>
        <w:pStyle w:val="ListBullet"/>
      </w:pPr>
      <w:r>
        <w:rPr>
          <w:rFonts w:ascii="Times New Roman" w:hAnsi="Times New Roman"/>
          <w:b w:val="0"/>
        </w:rPr>
        <w:t>For a new sample with unknown y and secondary spectrum x^S, write ŷ = f(T(x^S)) and decompose its error exactly:</w:t>
      </w:r>
    </w:p>
    <w:p>
      <w:pPr>
        <w:jc w:val="both"/>
      </w:pPr>
      <w:r>
        <w:rPr>
          <w:rFonts w:ascii="Times New Roman" w:hAnsi="Times New Roman"/>
          <w:b w:val="0"/>
        </w:rPr>
        <w:t>y − ŷ = r + δ,  with r = y − f(x^P) and δ = f(x^P) − f(T(x^S)).</w:t>
      </w:r>
    </w:p>
    <w:p>
      <w:pPr>
        <w:jc w:val="both"/>
      </w:pPr>
      <w:r>
        <w:rPr>
          <w:rFonts w:ascii="Times New Roman" w:hAnsi="Times New Roman"/>
          <w:b w:val="0"/>
        </w:rPr>
        <w:t>Neither r nor δ is observed for the new sample, because its primary spectrum x^P is never measured.</w:t>
      </w:r>
    </w:p>
    <w:p>
      <w:pPr>
        <w:pStyle w:val="ListBullet"/>
      </w:pPr>
      <w:r>
        <w:rPr>
          <w:rFonts w:ascii="Times New Roman" w:hAnsi="Times New Roman"/>
          <w:b w:val="0"/>
        </w:rPr>
        <w:t>Let S = {r_i + δ_j : i ≤ n, j ≤ k} (size nk), and m = ⌈(1 − α/2)(n + 1)k⌉. TD-CP sets U to the m-th smallest element of S and L to the m-th largest. If m &gt; nk, then U = +∞ and L = −∞.</w:t>
      </w:r>
    </w:p>
    <w:p>
      <w:pPr>
        <w:keepNext/>
        <w:spacing w:before="160"/>
      </w:pPr>
      <w:r>
        <w:rPr>
          <w:rFonts w:ascii="Times New Roman" w:hAnsi="Times New Roman"/>
          <w:b/>
          <w:sz w:val="24"/>
        </w:rPr>
        <w:t>Assumptions</w:t>
      </w:r>
    </w:p>
    <w:p>
      <w:pPr>
        <w:pStyle w:val="ListBullet"/>
      </w:pPr>
      <w:r>
        <w:rPr>
          <w:rFonts w:ascii="Times New Roman" w:hAnsi="Times New Roman"/>
          <w:b w:val="0"/>
        </w:rPr>
        <w:t>(A1) r_1,…,r_n, r are exchangeable.</w:t>
      </w:r>
    </w:p>
    <w:p>
      <w:pPr>
        <w:pStyle w:val="ListBullet"/>
      </w:pPr>
      <w:r>
        <w:rPr>
          <w:rFonts w:ascii="Times New Roman" w:hAnsi="Times New Roman"/>
          <w:b w:val="0"/>
        </w:rPr>
        <w:t>(A2) The discrepancies are independent of the residuals: (δ_1,…,δ_k, δ) ⟂ (r_1,…,r_n, r).</w:t>
      </w:r>
    </w:p>
    <w:p>
      <w:pPr>
        <w:pStyle w:val="ListBullet"/>
      </w:pPr>
      <w:r>
        <w:rPr>
          <w:rFonts w:ascii="Times New Roman" w:hAnsi="Times New Roman"/>
          <w:b w:val="0"/>
        </w:rPr>
        <w:t>(A3) δ_1,…,δ_k, δ are i.i.d. with continuous cdf F_δ.</w:t>
      </w:r>
    </w:p>
    <w:p>
      <w:pPr>
        <w:keepNext/>
        <w:spacing w:before="160"/>
      </w:pPr>
      <w:r>
        <w:rPr>
          <w:rFonts w:ascii="Times New Roman" w:hAnsi="Times New Roman"/>
          <w:b/>
          <w:sz w:val="24"/>
        </w:rPr>
        <w:t>Proposition 1</w:t>
      </w:r>
    </w:p>
    <w:p>
      <w:pPr>
        <w:jc w:val="both"/>
      </w:pPr>
      <w:r>
        <w:rPr>
          <w:rFonts w:ascii="Times New Roman" w:hAnsi="Times New Roman"/>
          <w:b w:val="0"/>
        </w:rPr>
        <w:t xml:space="preserve">(a) </w:t>
      </w:r>
      <w:r>
        <w:rPr>
          <w:rFonts w:ascii="Times New Roman" w:hAnsi="Times New Roman"/>
          <w:b w:val="0"/>
          <w:i/>
        </w:rPr>
        <w:t>Empirical-discrepancy coverage.</w:t>
      </w:r>
      <w:r>
        <w:rPr>
          <w:rFonts w:ascii="Times New Roman" w:hAnsi="Times New Roman"/>
          <w:b w:val="0"/>
        </w:rPr>
        <w:t xml:space="preserve"> Let J be uniform on {1,…,k}, independent of everything else. Under (A1)–(A2),</w:t>
      </w:r>
    </w:p>
    <w:p>
      <w:pPr>
        <w:jc w:val="both"/>
      </w:pPr>
      <w:r>
        <w:rPr>
          <w:rFonts w:ascii="Times New Roman" w:hAnsi="Times New Roman"/>
          <w:b w:val="0"/>
        </w:rPr>
        <w:t>P(L ≤ r + δ_J ≤ U) ≥ 1 − α.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(b) </w:t>
      </w:r>
      <w:r>
        <w:rPr>
          <w:rFonts w:ascii="Times New Roman" w:hAnsi="Times New Roman"/>
          <w:b w:val="0"/>
          <w:i/>
        </w:rPr>
        <w:t>Coverage for a new sample.</w:t>
      </w:r>
      <w:r>
        <w:rPr>
          <w:rFonts w:ascii="Times New Roman" w:hAnsi="Times New Roman"/>
          <w:b w:val="0"/>
        </w:rPr>
        <w:t xml:space="preserve"> Under (A1)–(A3), conditionally on δ_1,…,δ_k,</w:t>
      </w:r>
    </w:p>
    <w:p>
      <w:pPr>
        <w:jc w:val="both"/>
      </w:pPr>
      <w:r>
        <w:rPr>
          <w:rFonts w:ascii="Times New Roman" w:hAnsi="Times New Roman"/>
          <w:b w:val="0"/>
        </w:rPr>
        <w:t>P(L ≤ y − ŷ ≤ U | δ</w:t>
      </w:r>
      <w:r>
        <w:rPr>
          <w:rFonts w:ascii="Times New Roman" w:hAnsi="Times New Roman"/>
          <w:b w:val="0"/>
          <w:vertAlign w:val="subscript"/>
        </w:rPr>
        <w:t>1:k</w:t>
      </w:r>
      <w:r>
        <w:rPr>
          <w:rFonts w:ascii="Times New Roman" w:hAnsi="Times New Roman"/>
          <w:b w:val="0"/>
        </w:rPr>
        <w:t>) ≥ 1 − α − 2 D_k,  where D_k = sup_t |F̂_k(t) − F_δ(t)|.</w:t>
      </w:r>
    </w:p>
    <w:p>
      <w:pPr>
        <w:jc w:val="both"/>
      </w:pPr>
      <w:r>
        <w:rPr>
          <w:rFonts w:ascii="Times New Roman" w:hAnsi="Times New Roman"/>
          <w:b w:val="0"/>
        </w:rPr>
        <w:t>By the Dvoretzky–Kiefer–Wolfowitz inequality with Massart's constant, P(D_k &gt; ε) ≤ 2 exp(−2kε²).</w:t>
      </w:r>
    </w:p>
    <w:p>
      <w:pPr>
        <w:keepNext/>
        <w:spacing w:before="160"/>
      </w:pPr>
      <w:r>
        <w:rPr>
          <w:rFonts w:ascii="Times New Roman" w:hAnsi="Times New Roman"/>
          <w:b w:val="0"/>
          <w:i/>
          <w:sz w:val="24"/>
        </w:rPr>
        <w:t>Proof</w:t>
      </w:r>
    </w:p>
    <w:p>
      <w:pPr>
        <w:jc w:val="both"/>
      </w:pPr>
      <w:r>
        <w:rPr>
          <w:rFonts w:ascii="Times New Roman" w:hAnsi="Times New Roman"/>
          <w:b w:val="0"/>
        </w:rPr>
        <w:t>(a) Write r_0 = r, and let S⁺ = {r_i + δ_j : 0 ≤ i ≤ n, 1 ≤ j ≤ k} (size (n+1)k). Adding elements to a multiset can only lower its m-th smallest element, so the m-th smallest element of S⁺ is ≤ U. Hence the event {r_0 + δ_J &gt; U} implies that r_0 + δ_J has rank &gt; m in S⁺.</w:t>
      </w:r>
    </w:p>
    <w:p>
      <w:pPr>
        <w:jc w:val="both"/>
      </w:pPr>
      <w:r>
        <w:rPr>
          <w:rFonts w:ascii="Times New Roman" w:hAnsi="Times New Roman"/>
          <w:b w:val="0"/>
        </w:rPr>
        <w:t>Condition on the δ's. By (A1)–(A2), the vector (r_0,…,r_n) is exchangeable and independent of (δ, J). So the rank of r_0 + δ_J in S⁺ has the same distribution as the rank of r_I + δ_J, where I is uniform on {0,…,n} and independent of J. The cell (I, J) is then uniform over all (n+1)k cells, and so (breaking ties at random) the rank is uniform on {1,…,(n+1)k}. Therefore</w:t>
      </w:r>
    </w:p>
    <w:p>
      <w:pPr>
        <w:jc w:val="both"/>
      </w:pPr>
      <w:r>
        <w:rPr>
          <w:rFonts w:ascii="Times New Roman" w:hAnsi="Times New Roman"/>
          <w:b w:val="0"/>
        </w:rPr>
        <w:t>P(rank &gt; m) ≤ ((n+1)k − m)/((n+1)k) ≤ α/2.</w:t>
      </w:r>
    </w:p>
    <w:p>
      <w:pPr>
        <w:jc w:val="both"/>
      </w:pPr>
      <w:r>
        <w:rPr>
          <w:rFonts w:ascii="Times New Roman" w:hAnsi="Times New Roman"/>
          <w:b w:val="0"/>
        </w:rPr>
        <w:t>The lower tail is symmetric. A union bound over the two tails completes (a). The same argument applied to the single upper tail of |r_i + δ_j| at level α, with m = ⌈(1 − α)(n + 1)k⌉, proves (a) for the absolute-score interval of Eq. (4) in the main text. Part (b) carries over with one D_k term in place of two.</w:t>
      </w:r>
    </w:p>
    <w:p>
      <w:pPr>
        <w:jc w:val="both"/>
      </w:pPr>
      <w:r>
        <w:rPr>
          <w:rFonts w:ascii="Times New Roman" w:hAnsi="Times New Roman"/>
          <w:b w:val="0"/>
        </w:rPr>
        <w:t>(b) Condition on δ</w:t>
      </w:r>
      <w:r>
        <w:rPr>
          <w:rFonts w:ascii="Times New Roman" w:hAnsi="Times New Roman"/>
          <w:b w:val="0"/>
          <w:vertAlign w:val="subscript"/>
        </w:rPr>
        <w:t>1:k</w:t>
      </w:r>
      <w:r>
        <w:rPr>
          <w:rFonts w:ascii="Times New Roman" w:hAnsi="Times New Roman"/>
          <w:b w:val="0"/>
        </w:rPr>
        <w:t xml:space="preserve"> and on the r's. The probability that r + δ &gt; U is 1 − F_δ(U − r). The corresponding probability for δ_J is 1 − F̂_k(U − r). These differ by at most D_k. Taking expectations over r and applying (a) to each tail gives miscoverage ≤ α + 2D_k. ∎</w:t>
      </w:r>
    </w:p>
    <w:p>
      <w:pPr>
        <w:keepNext/>
        <w:spacing w:before="160"/>
      </w:pPr>
      <w:r>
        <w:rPr>
          <w:rFonts w:ascii="Times New Roman" w:hAnsi="Times New Roman"/>
          <w:b/>
          <w:sz w:val="24"/>
        </w:rPr>
        <w:t>Remarks (stated honestly in the manuscript)</w:t>
      </w:r>
    </w:p>
    <w:p>
      <w:pPr>
        <w:jc w:val="both"/>
      </w:pPr>
      <w:r>
        <w:rPr>
          <w:rFonts w:ascii="Times New Roman" w:hAnsi="Times New Roman"/>
          <w:b w:val="0"/>
        </w:rPr>
        <w:t>0. TD-CP+ (Eq. 6) is not covered by Proposition 1. Its validity is established empirically. The jackknife+ worst-case bound of 1 − 2α (Barber et al., 2021) would require exchangeable leave-one-out scores, and these hold for our combined radii only under (A1)–(A3).</w:t>
      </w:r>
    </w:p>
    <w:p>
      <w:pPr>
        <w:jc w:val="both"/>
      </w:pPr>
      <w:r>
        <w:rPr>
          <w:rFonts w:ascii="Times New Roman" w:hAnsi="Times New Roman"/>
          <w:b w:val="0"/>
        </w:rPr>
        <w:t>1. (A2) is an assumption, not a theorem. It can fail when large residuals and large discrepancies occur in the same samples, for example at extreme compositions. The benchmark reports the held-out Spearman correlation between r and δ as a diagnostic (Table S1, Fig. 7 of the main text). This diagnostic uses reference values of test samples. It is not available in deployment and is never used by the method.</w:t>
      </w:r>
    </w:p>
    <w:p>
      <w:pPr>
        <w:jc w:val="both"/>
      </w:pPr>
      <w:r>
        <w:rPr>
          <w:rFonts w:ascii="Times New Roman" w:hAnsi="Times New Roman"/>
          <w:b w:val="0"/>
        </w:rPr>
        <w:t>2. Cross-fitting. δ_j uses T</w:t>
      </w:r>
      <w:r>
        <w:rPr>
          <w:rFonts w:ascii="Times New Roman" w:hAnsi="Times New Roman"/>
          <w:b w:val="0"/>
          <w:vertAlign w:val="subscript"/>
        </w:rPr>
        <w:t>−j</w:t>
      </w:r>
      <w:r>
        <w:rPr>
          <w:rFonts w:ascii="Times New Roman" w:hAnsi="Times New Roman"/>
          <w:b w:val="0"/>
        </w:rPr>
        <w:t>, which is fitted on k − 1 pairs, while the deployed map uses all k pairs. The cross-fitted discrepancies are therefore slightly pessimistic. This is the same price the jackknife+ pays (Barber et al., 2021). In-sample discrepancies are optimistic. For DS with k &lt; p, the pseudo-inverse reproduces the transfer spectra exactly, so in-sample δ ≡ 0 and TD-CP would collapse to the naive interval. Ablation A1 tests this.</w:t>
      </w:r>
    </w:p>
    <w:p>
      <w:pPr>
        <w:jc w:val="both"/>
      </w:pPr>
      <w:r>
        <w:rPr>
          <w:rFonts w:ascii="Times New Roman" w:hAnsi="Times New Roman"/>
          <w:b w:val="0"/>
        </w:rPr>
        <w:t>3. Out-of-fold residuals. (A1) holds exactly for split-conformal residuals. The study uses 10-fold out-of-fold residuals so that no calibration sample is lost. The naive interval evaluated on primary-instrument test spectra checks empirically that this choice is close to valid (method `naive_cp_primary_test`).</w:t>
      </w:r>
    </w:p>
    <w:p>
      <w:pPr>
        <w:jc w:val="both"/>
      </w:pPr>
      <w:r>
        <w:rPr>
          <w:rFonts w:ascii="Times New Roman" w:hAnsi="Times New Roman"/>
          <w:b w:val="0"/>
        </w:rPr>
        <w:t>4. Small k. The bound in (b) becomes loose as k gets small: E[D_k] ≈ 0.87/√k. The k-sensitivity experiment shows how much of this gap appears in practice.</w:t>
      </w:r>
    </w:p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S1. Per-scenario results at α = 0.10 (main experiment; coverage_se = standard error over splits).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dataset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primary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secondary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prop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coverage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coverage_se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width_norm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is_norm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rmsep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rmsep_primary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delta_cf_sd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delta_test_sd</w:t>
            </w:r>
          </w:p>
        </w:tc>
        <w:tc>
          <w:tcPr>
            <w:tcW w:type="dxa" w:w="605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spearman_r_delta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13.098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13.513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20.404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21.901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11.095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6.444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11.125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16.381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36.966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14.137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15.980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17.953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17.585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15.556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17.705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7.072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24.045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13.773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11.105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9.652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10.480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10.903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21.224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31.061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17.826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11.948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10.080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12.701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8.727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12.948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11.497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12.826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13.282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13.722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22.605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11.432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7.499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8.782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8.803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7.444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8.760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7.700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11.665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17.065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27.804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39.031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22.492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15.050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19.153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16.846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13.548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17.788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18.605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14.591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18.953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16.352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18.100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10.395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18.270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26.303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8.995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11.367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10.988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8.746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10.759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32.712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13.471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12.033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13.301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10.350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8.836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13.279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13.350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11.609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13.047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-0.379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10.903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16.388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21.801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15.216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8.827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12.451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9.787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11.516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11.152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11.560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7.468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12.745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7.670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7.799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-0.171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14.660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13.629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7.072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8.975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6.441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9.517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9.723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14.423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10.366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11.476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16.371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24.068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15.665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9.778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12.657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10.948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12.547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11.873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12.184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9.560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-0.217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11.885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15.676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22.957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16.822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9.654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12.855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10.457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12.752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11.983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12.724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10.032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12.454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11.107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6.489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7.499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7.067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14.158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7.608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1.268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-0.060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3.465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3.467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mp5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0.674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6.285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10.426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11.505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7.116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-0.076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-0.081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4.456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1.196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2.082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2.358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2.166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-0.092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3.646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3.553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7.311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4.698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3.795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-0.203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10.494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2.786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14.590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16.299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16.000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9.755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11.636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11.049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11.879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10.957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9.584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10.897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9.088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4.632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4.600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4.333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2.976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2.977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1.094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-0.128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5.436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4.160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5.227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4.470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-0.074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2.144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3.555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4.330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0.673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2.601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2.797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2.924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2.093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2.923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2.239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10.162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-0.049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1.912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2.702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2.091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2.564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1.834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2.561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1.989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2.490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2.225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2.559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  <w:tr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inst1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0.683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8.578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4.284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8.557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7.222</w:t>
            </w:r>
          </w:p>
        </w:tc>
        <w:tc>
          <w:tcPr>
            <w:tcW w:type="dxa" w:w="60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S2. Main results at α = 0.10 by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dataset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scenarios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mean_coverage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min_coverage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pct_valid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median_width_sd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median_IS_sd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pct_infinite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1.304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6.614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0.071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1.660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5.437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13.733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33.333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3.226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4.726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3.347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4.807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58.333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3.512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4.843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4.048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4.736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75.000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3.714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4.935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4.293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4.990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75.000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3.554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4.843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1.768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5.253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0.445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1.304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18.756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2.087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12.838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19.510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5.419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7.897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70.833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5.751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8.435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6.577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8.527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7.245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8.370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6.752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8.585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7.401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8.472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6.140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8.056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2.567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11.101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33.333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2.372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33.333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2.493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3.847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16.667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1.368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2.959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3.879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2.922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3.874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2.913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3.881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2.958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3.620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4.598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3.665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3.234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4.346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16.667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2.389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4.184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2.372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5.438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2.602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5.169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10.383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3.780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4.790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3.747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4.856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3.865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4.893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4.096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4.981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4.750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5.745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5.016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5.879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4.318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5.357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 CP (k labelled)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0.499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2.445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5.381</w:t>
            </w:r>
          </w:p>
        </w:tc>
        <w:tc>
          <w:tcPr>
            <w:tcW w:type="dxa" w:w="90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S3. Mean coverage and validity at nominal levels 0.80, 0.90 and 0.95.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alpha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nominal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mean_coverage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pct_valid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median_IS_sd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5.694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6.088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7.906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5.719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5.602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5.432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0.938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9.371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15.586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24.033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9.856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9.695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9.248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4.613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4.706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5.547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4.922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4.972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4.687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4.658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4.621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7.654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10.594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14.290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8.362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8.291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8.137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8.010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7.974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3.653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0.552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3.666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0.472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3.971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3.692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3.628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3.762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3.617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3.510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6.052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0.478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7.237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0.386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8.735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6.105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0.853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5.901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6.572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6.015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5.840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0.498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S4. Split-level (training-conditional) coverage at α = 0.10.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dataset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splits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median_cov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p10_cov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p05_cov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frac_below_080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0.226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on primary test spectra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0.188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0.131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on primary test spectra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on primary test spectra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0.494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on primary test spectra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0.970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0.073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S5. Fraction of scenarios in which TD-CP+ beats each comparator, by dataset × transfer stratum.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dataset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comparator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scenarios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frac_smaller_gap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frac_lower_IS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0.792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 PI (classical)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0.833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 CP (covariate shift)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0.458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0.083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0.792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0.042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0.625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0.208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0.375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t-interval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S6. Fraction of valid scenarios for tolerances 0–0.03 (α = 0.10).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valid_tol_0.0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valid_tol_0.01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valid_tol_0.02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valid_tol_0.03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0.633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0.933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0.967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S7. All paired Wilcoxon signed-rank tests (scenario level, α = 0.10), Holm-adjusted over all 46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reference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metric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comparator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n_scenarios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median_ref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median_comp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median_diff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ci95_low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ci95_high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rank_biserial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p_value</w:t>
            </w:r>
          </w:p>
        </w:tc>
        <w:tc>
          <w:tcPr>
            <w:tcW w:type="dxa" w:w="756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p_holm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0.332775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-0.30185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-0.3651999999999999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-0.2302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-0.2336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-0.2692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-0.1592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0.26865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-0.2345999999999999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-0.2804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gauss_td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0.0149999999999999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0.0091999999999999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0.0223999999999998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0.587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0.0153999999999999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0.00795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td_cp_abs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0.0163999999999999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0.0177999999999999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0.0143999999999999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0.779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td_cp_insample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-0.1916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-0.0872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-0.983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td_sum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0.0685999999999999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-0.0349999999999999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-0.0299999999999999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-0.951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0.0185749999999998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0.01175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0.0215999999999999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0.723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0.0315999999999999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-0.0018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-0.196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0.188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target_t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0.0177999999999999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0.019625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0.2346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-0.2023999999999999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-0.2228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-0.1464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6.613749945895624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-1.7114420180931793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-2.9945210027718074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-1.186615674518043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5.586034291570215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-0.5118036626391365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-1.2643331770803536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-0.2798907014288061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-0.804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−∞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−∞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−∞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gauss_td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4.772601125586355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0.0940496073757335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0.0241129225141767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0.1482567933333816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0.395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0.063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4.964932011257591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-0.1248870749866881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-0.1983152329227679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-0.0335423163397592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-0.626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td_cp_abs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5.026796895363262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-0.1142770112737312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-0.2132877929373879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-0.0728910252901213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-0.718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td_cp_insample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6.515851963583847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-0.5608462731379498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-0.8659524099121336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-0.3533189269472685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-0.804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td_sum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5.911463093302297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-1.026425352176494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-1.1134043381863266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-0.9529544776405708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5.301601944730405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-0.3822978674271984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-0.481654911340784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-0.3093013098019843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5.069492806527791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-0.252063017192341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-0.2803547038217235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-0.2335837114765695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target_t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5.072733029072341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-0.1214965057197305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-0.2353388290588816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-0.027005576245257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-0.417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0.044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5.4125763005996586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-1.0133513326024204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-1.2988957624764756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-0.5450948860253044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0.332775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-0.3194749999999999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-0.3925249999999999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-0.2513850000000002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0.254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-0.2257999999999999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-0.2910750000000001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-0.1851999999999999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0.26865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-0.256475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-0.2799999999999999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-0.2244000000000001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gauss_td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-0.0005999999999999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-0.0048999999999999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0.071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td_cp_abs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0.0163999999999999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0.0024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-0.0019999999999998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0.0064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0.225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0.130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td_cp_insample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0.1612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-0.1327999999999999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-0.2071999999999999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-0.1099999999999999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td_sum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0.0685999999999999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-0.0563999999999998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-0.0634499999999999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-0.0504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-0.857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0.0161999999999999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0.0016000000000001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-0.0051999999999998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0.116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0.0315999999999999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-0.013575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-0.0191999999999999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-0.0056499999999999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-0.666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target_t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0.0177999999999999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-0.0011999999999999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0.0074499999999999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0.202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0.174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abs_gap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0.2346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-0.1970000000000001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-0.2272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-0.1604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6.613749945895624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-1.587597949802647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-2.52224866827929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-1.2118329163938513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leverage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5.586034291570215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-0.497895425128573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-1.08285841956353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-0.1908994896631428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-0.754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weighted_cp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−∞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−∞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−∞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-1.000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gauss_td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4.772601125586355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0.1318142697774633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0.1018063436135757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0.1931921253865161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0.970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td_cp_abs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5.026796895363262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-0.0004773289296895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-0.0409886102324987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0.0284324354724931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-0.121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td_cp_insample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6.515851963583847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-0.4022810674080723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-0.7742786186290247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-0.2107175575074861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-0.714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td_sum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5.911463093302297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-0.937318957978901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-1.081916435539731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-0.6916894637678339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5.301601944730405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-0.2181316010502918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-0.2800940966972076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-0.1643195963429595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-0.973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target_cp_plus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5.069492806527791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-0.1856828527577332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-0.2690812251609582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-0.0421872070311857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-0.544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0.002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target_t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5.072733029072341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-0.0278988555783319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-0.0712903467571148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0.0225026375912251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is_norm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pooled_cp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4.965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5.4125763005996586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-0.7755751675167848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-1.1600617740862846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-0.4651938009866025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-0.993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  <w:tc>
          <w:tcPr>
            <w:tcW w:type="dxa" w:w="75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&lt;0.001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S9. Robustness and generalisation experiments, all reported methods (α = 0.10; valid in %, IS/SD median).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experiment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condition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scenarios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mean_coverage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pct_valid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median_IS_sd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5.154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6.873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5.201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5.156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5.252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0.839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5.155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5.003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7.791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0.461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14.127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8.161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8.133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8.379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8.027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biased_standards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standards from lower half of 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7.773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3.741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0.655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4.283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4.100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4.050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3.762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3.457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6.108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10.711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7.013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6.946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6.585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6.106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5.927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3.281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0.712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3.773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3.212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3.503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3.238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6.767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4.942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4.936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5.355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4.901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4.889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3.062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0.752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3.462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2.977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2.910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3.175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3.125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4.055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0.672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6.366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4.145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4.141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4.250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4.231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8.385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0.419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13.891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8.318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8.119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7.431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0.846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14.994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0.357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28.823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17.459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0.868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14.953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13.813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5.440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6.840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0.875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5.536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5.622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5.631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8.832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15.971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∞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9.253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9.847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k_sensitivity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k=8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4.379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5.515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5.075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4.539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6.516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0.482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11.080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8.163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0.972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8.423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6.879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7.228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kennard_stone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KS selection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0.962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7.582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2.284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0.283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26.110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5.685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5.685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2.351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5.606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no_standardisation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 transfer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5.606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9.427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22.157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10.114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9.928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9.875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10.031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9.517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10.183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0.365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26.642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10.552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10.503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10.467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10.235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9.851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10.307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0.339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28.515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10.692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10.969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10.539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10.206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noise=0.02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10.141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0.780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3.855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4.989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4.856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3.590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3.558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3.686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0.826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5.124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5.130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3.587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3.577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official_split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IDRC official split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3.582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4.701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4.589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4.268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4.260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4.270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6.027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0.576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9.916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6.752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6.640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6.265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6.188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parsimonious_pls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PLS, 1-SE rule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6.302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10.566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0.404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24.508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11.451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11.219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11.253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11.215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10.519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6.135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0.536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9.824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6.723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6.708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6.444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6.463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6.429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9.370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18.937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10.180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9.934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9.997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10.007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pds_window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 window 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0.950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9.647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3.704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0.684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4.209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3.926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3.848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3.832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3.709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3.674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2.758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0.762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13.333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2.967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3.062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3.078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2.877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preprocessing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snv_sg1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0.936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8.606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0.438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21.259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9.461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9.204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76.667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9.120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9.444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ridge_model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ridge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0.945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9.163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4.017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14.286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5.047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4.614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4.620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71.429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4.074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4.214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4.395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1.347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1.353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1.432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1.426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1.361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3.938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0.564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14.286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5.350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4.688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4.691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0.887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71.429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3.998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4.115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4.330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1.581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0.856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42.857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1.627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1.681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1.711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1.656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1.593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severity=2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1.591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3.982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0.546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14.286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5.884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4.692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4.685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0.893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4.064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0.904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85.714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4.139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4.371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Gaussian TD (parametric)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0.915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2.333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Naive CP (primary residuals)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0.741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28.571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2.884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2.501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CP+ (k labelled)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2.593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signed (pre-specified)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0.917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2.449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 absolute scores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2.344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severity=3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TD-CP+ (jackknife+)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0.924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2.391</w:t>
            </w:r>
          </w:p>
        </w:tc>
      </w:tr>
    </w:tbl>
    <w:p>
      <w:r>
        <w:br w:type="page"/>
      </w:r>
    </w:p>
    <w:p>
      <w:pPr>
        <w:keepNext/>
        <w:spacing w:line="276" w:lineRule="auto"/>
      </w:pPr>
      <w:r>
        <w:rPr>
          <w:rFonts w:ascii="Times New Roman" w:hAnsi="Times New Roman"/>
          <w:b w:val="0"/>
          <w:sz w:val="20"/>
        </w:rPr>
        <w:t>Table S8. Mean wall-clock time per split (s), single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dataset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transfer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t_calibration_s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t_transfer_s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t_crossfit_s</w:t>
            </w:r>
          </w:p>
        </w:tc>
        <w:tc>
          <w:tcPr>
            <w:tcW w:type="dxa" w:w="1512"/>
            <w:shd w:val="clear" w:color="auto" w:fill="E8E8E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6"/>
              </w:rPr>
              <w:t>t_interval_s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0.0039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0.0268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0.0011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corn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0.0233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0.0014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0.0131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0.0011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0.2451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0.0073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0.0556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0.0017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tablets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pds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0.2439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0.0053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0.0303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0.0017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2858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lpha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5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0"/>
        </w:rPr>
        <w:t>Fig. S2.</w:t>
      </w:r>
      <w:r>
        <w:rPr>
          <w:rFonts w:ascii="Times New Roman" w:hAnsi="Times New Roman"/>
          <w:b w:val="0"/>
          <w:sz w:val="20"/>
        </w:rPr>
        <w:t xml:space="preserve"> Mean empirical versus nominal coverage (PDS and DS pooled); diagonal = perfect calibration.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2331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mp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3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0"/>
        </w:rPr>
        <w:t>Fig. S3.</w:t>
      </w:r>
      <w:r>
        <w:rPr>
          <w:rFonts w:ascii="Times New Roman" w:hAnsi="Times New Roman"/>
          <w:b w:val="0"/>
          <w:sz w:val="20"/>
        </w:rPr>
        <w:t xml:space="preserve"> Computation time per split by stage (main experiment).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0"/>
        </w:rPr>
        <w:t>Fig. S1.</w:t>
      </w:r>
      <w:r>
        <w:rPr>
          <w:rFonts w:ascii="Times New Roman" w:hAnsi="Times New Roman"/>
          <w:b w:val="0"/>
          <w:sz w:val="20"/>
        </w:rPr>
        <w:t xml:space="preserve"> Time per test sample of the interval step versus master-set size n for k = 5, 10, 30 (synthetic scores, single core; results/scaling.csv).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