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Highlights</w:t>
      </w:r>
    </w:p>
    <w:p>
      <w:pPr>
        <w:pStyle w:val="ListBullet"/>
      </w:pPr>
      <w:r>
        <w:t>Intervals calibrated on the primary NIR instrument under-cover after transfer</w:t>
      </w:r>
    </w:p>
    <w:p>
      <w:pPr>
        <w:pStyle w:val="ListBullet"/>
      </w:pPr>
      <w:r>
        <w:t>Cross-fitted discrepancies on transfer standards need no reference values</w:t>
      </w:r>
    </w:p>
    <w:p>
      <w:pPr>
        <w:pStyle w:val="ListBullet"/>
      </w:pPr>
      <w:r>
        <w:t>TD-CP+ restores near-nominal coverage across 30 instrument-pair scenarios</w:t>
      </w:r>
    </w:p>
    <w:p>
      <w:pPr>
        <w:pStyle w:val="ListBullet"/>
      </w:pPr>
      <w:r>
        <w:t>Benchmark: 2 public datasets, PDS and DS, 100 splits per scenario</w:t>
      </w:r>
    </w:p>
    <w:p>
      <w:pPr>
        <w:pStyle w:val="ListBullet"/>
      </w:pPr>
      <w:r>
        <w:t>Open code regenerates every number, table and figure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