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>
      <w:r>
        <w:t>The Editors-in-Chief</w:t>
        <w:br/>
        <w:t>Pattern Recognition (Elsevier)</w:t>
      </w:r>
    </w:p>
    <w:p>
      <w:r>
        <w:t>Dear Editors,</w:t>
      </w:r>
    </w:p>
    <w:p>
      <w:r>
        <w:t>We submit the manuscript “Seen or new? Duplicate records, conformal coverage on novel inputs, and a novelty-conditional remedy for tabular benchmarks” for consideration as a regular research article in Pattern Recognition.</w:t>
      </w:r>
    </w:p>
    <w:p>
      <w:r>
        <w:t>Conformal prediction has become a standard tool for distribution-free uncertainty quantification, and Pattern Recognition has published a substantial body of conformal methodology, including recent Mondrian approaches. Conformal guarantees are usually checked on random row splits of benchmark data. Our manuscript shows what such a guarantee means when records are duplicated: the coverage of genuinely new records is (c − πc_S)/(1 − π), where π is the share of test rows with a training copy and c_S is the coverage of those rows, falling to 1 − α/(1 − π) in the memorization limit. We give a label-free formula for π and show that a novelty-conditional Mondrian calibration is exactly valid for any mix of seen and new records.</w:t>
      </w:r>
    </w:p>
    <w:p>
      <w:r>
        <w:t>The study follows a protocol fixed in version control before the full runs and covers 103 OpenML-CC18/CTR23 datasets, five learners, four nonconformity scores and three miscoverage levels, plus controlled duplicate-injection experiments and an external validation on software-defect and intrusion-detection data with documented duplication. The exposure formula is almost exact (mean absolute error 0.0012). We report openly that the pre-specified primary hypothesis was not supported for the typical benchmark dataset (median gaps −0.8 to +0.5 percentage points). Shortfalls are concentrated in a predictable minority of datasets, reaching −16.9 points in the benchmark suites and −27.5 points in the external data. The proposed calibration restores nominal coverage at negligible cost.</w:t>
      </w:r>
    </w:p>
    <w:p>
      <w:r>
        <w:t>We believe the paper will interest the journal's readers who develop or evaluate conformal and other uncertainty-quantification methods, because it identifies a common evaluation artefact, explains it exactly, and provides a practical remedy and audit. All code, raw results and the analysis pipeline will be released.</w:t>
      </w:r>
    </w:p>
    <w:p>
      <w:r>
        <w:t>[AUTHOR TO CONFIRM: The manuscript is original, has not been published, and is not under consideration elsewhere; all authors approve the submission; no competing interests.] [AUTHOR TO COMPLETE: suggested or excluded reviewers, if desired.]</w:t>
      </w:r>
    </w:p>
    <w:p>
      <w:r>
        <w:t>The manuscript was prepared with substantial assistance from an AI system, as declared in the manuscript.</w:t>
      </w:r>
    </w:p>
    <w:p>
      <w:r>
        <w:t>Sincerely,</w:t>
        <w:br/>
        <w:t>[CORRESPONDING AUTHOR NAME, AFFILIATION, E-MAIL]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