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Duplicate records split a conformal guarantee between seen and genuinely new rows</w:t>
      </w:r>
    </w:p>
    <w:p>
      <w:pPr>
        <w:pStyle w:val="ListBullet"/>
      </w:pPr>
      <w:r>
        <w:t>Coverage on new records equals (c − πc_S)/(1 − π); worst case 1 − α/(1 − π)</w:t>
      </w:r>
    </w:p>
    <w:p>
      <w:pPr>
        <w:pStyle w:val="ListBullet"/>
      </w:pPr>
      <w:r>
        <w:t>A label-free audit of duplicate groups predicts exposure π before any training</w:t>
      </w:r>
    </w:p>
    <w:p>
      <w:pPr>
        <w:pStyle w:val="ListBullet"/>
      </w:pPr>
      <w:r>
        <w:t>New-record coverage fell up to 27.5 points short on duplicated defect data</w:t>
      </w:r>
    </w:p>
    <w:p>
      <w:pPr>
        <w:pStyle w:val="ListBullet"/>
      </w:pPr>
      <w:r>
        <w:t>Novelty-Mondrian calibration restores coverage for any mix of seen and new rows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