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r>
        <w:t>Editor-in-Chief</w:t>
        <w:br/>
        <w:t>Journal of King Saud University – Computer and Information Sciences</w:t>
      </w:r>
    </w:p>
    <w:p>
      <w:r>
        <w:t>Dear Editor,</w:t>
      </w:r>
    </w:p>
    <w:p>
      <w:r>
        <w:t>We submit the manuscript “Seen or new? Duplicate records, conformal coverage on novel inputs, and a novelty-conditional remedy for tabular benchmarks” for consideration as a research article in the Journal of King Saud University – Computer and Information Sciences.</w:t>
      </w:r>
    </w:p>
    <w:p>
      <w:r>
        <w:t>Conformal prediction is increasingly used to attach guaranteed uncertainty to machine-learning predictions, and its guarantee is usually checked on random row splits of benchmark data. The manuscript asks what this guarantee means when a dataset contains duplicated records, so that some test rows have exact copies in the training data. We derive an exact expression for coverage on genuinely new records, a label-free formula that predicts exposure from duplicate-group sizes, and a novelty-conditional (Mondrian) remedy that is valid for any mix of seen and new records.</w:t>
      </w:r>
    </w:p>
    <w:p>
      <w:r>
        <w:t>A pre-registered evaluation on 103 OpenML-CC18 and OpenML-CTR23 datasets, with five learners and four nonconformity scores, shows that the exposure formula is almost exact (mean absolute error 0.0012). It also shows that the primary hypothesis of a typical shortfall was not supported: median gaps were −0.8 to +0.5 percentage points. Shortfalls are concentrated in a predictable minority of datasets, reaching −16.9 points, and controlled duplicate-injection experiments reproduce the predicted dose–response. We report this negative primary result openly, together with the mechanism that explains it. All code, raw results and the analysis pipeline will be released.</w:t>
      </w:r>
    </w:p>
    <w:p>
      <w:r>
        <w:t>We believe the work suits the journal's readership because it addresses the foundations of reliable machine-learning evaluation and has direct consequences for practitioners who deploy uncertainty-aware models on tabular data.</w:t>
      </w:r>
    </w:p>
    <w:p>
      <w:r>
        <w:t>[AUTHOR TO CONFIRM: This manuscript is original, has not been published, and is not under consideration elsewhere. All authors have approved the submission. We declare no competing interests.] [AUTHOR TO COMPLETE: re-used or unpublished material, if any; suggested reviewers, if desired.]</w:t>
      </w:r>
    </w:p>
    <w:p>
      <w:r>
        <w:t>The manuscript was prepared with substantial assistance from an AI system, as described in its “Use of AI tools” statement.</w:t>
      </w:r>
    </w:p>
    <w:p>
      <w:r>
        <w:t>Sincerely,</w:t>
        <w:br/>
        <w:t>[CORRESPONDING AUTHOR NAME, AFFILIATION,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