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The Editors, Research Integrity and Peer Review</w:t>
      </w:r>
    </w:p>
    <w:p/>
    <w:p>
      <w:r>
        <w:t>Dear Editors,</w:t>
      </w:r>
    </w:p>
    <w:p/>
    <w:p>
      <w:r>
        <w:t>We submit “How well do a journal's recent acceptance times predict the next paper's? An out-of-time evaluation of 781 journals from three publishers” as a Research article.</w:t>
      </w:r>
    </w:p>
    <w:p/>
    <w:p>
      <w:r>
        <w:t>Question. Statistics about how long journals take to accept papers (medians, “accepted within X days”) are used by authors, funders and evaluators, but are rarely checked and have not been tested as forecasts. We ask how well a journal's visible past predicts its next papers and how far “within X days” claims can be trusted.</w:t>
      </w:r>
    </w:p>
    <w:p/>
    <w:p>
      <w:r>
        <w:t>Evidence. Using publisher-deposited dates for 1,737,272 articles in 800 journals, we scored forecasts built only from information visible at the time against 298,469 later submissions. Journal history reduces forecast loss by 16% relative to publisher-pooled forecasts, but intervals are wide and over-confident by two to three coverage points; the shortfall vanishes under random splitting and in a stationary simulation but is of the order produced by random cohort-to-cohort shifts of the size of the estimated journal × year variance; simple recalibration learned strictly from earlier cohorts over-corrects; and only 1.6% of journal-origins accepted at least 80% of papers within 72 days. We tested the validity of the received date against preprint posting dates for Springer Nature journals and could not do so for the others. Most pre-specified hypotheses were not supported or were inconclusive and we report this. The work was done and reviewed entirely by AI instances without human review, which we disclose.</w:t>
      </w:r>
    </w:p>
    <w:p/>
    <w:p>
      <w:r>
        <w:t>Relevance. The paper concerns the reporting of editorial-process statistics, a question of integrity in publication reporting. It does not study individual journals' decisions or the content of peer review. We would welcome the editors' guidance on scope.</w:t>
      </w:r>
    </w:p>
    <w:p/>
    <w:p>
      <w:r>
        <w:t>Declarations. [Authors to confirm: originality, no concurrent submission, approval by all authors, competing interests, funding.] The repository will be archived with a persistent identifier before submission. An AI system produced the analysis code and drafts and separate AI instances reviewed the work; this is documented in the Methods. We make no statement about the journal's impact factor or quartile.</w:t>
      </w:r>
    </w:p>
    <w:p/>
    <w:p>
      <w:r>
        <w:t>Sincerely,</w:t>
      </w:r>
    </w:p>
    <w:p>
      <w:r>
        <w:t>[Corresponding author name, affiliation, e-mail]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