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88B" w:rsidRPr="00EF588B" w:rsidRDefault="00EF588B" w:rsidP="00EF588B">
      <w:pPr>
        <w:pStyle w:val="Heading2"/>
        <w:ind w:left="3600"/>
        <w:rPr>
          <w:color w:val="000000" w:themeColor="text1"/>
        </w:rPr>
      </w:pPr>
      <w:r>
        <w:rPr>
          <w:color w:val="000000" w:themeColor="text1"/>
        </w:rPr>
        <w:t xml:space="preserve">         </w:t>
      </w:r>
      <w:bookmarkStart w:id="0" w:name="_GoBack"/>
      <w:bookmarkEnd w:id="0"/>
      <w:r w:rsidRPr="00EF588B">
        <w:rPr>
          <w:color w:val="000000" w:themeColor="text1"/>
        </w:rPr>
        <w:t>DAY_2 ASSIGNMENT</w:t>
      </w:r>
    </w:p>
    <w:p w:rsidR="00854BE7" w:rsidRPr="00EF588B" w:rsidRDefault="00875254">
      <w:pPr>
        <w:pStyle w:val="Heading1"/>
        <w:jc w:val="center"/>
      </w:pPr>
      <w:r w:rsidRPr="00EF588B">
        <w:rPr>
          <w:rFonts w:ascii="Calibri" w:hAnsi="Calibri"/>
          <w:sz w:val="22"/>
        </w:rPr>
        <w:t>Software Testing Life Cycle (STLC)</w:t>
      </w:r>
    </w:p>
    <w:p w:rsidR="00854BE7" w:rsidRPr="00EF588B" w:rsidRDefault="00875254">
      <w:pPr>
        <w:jc w:val="center"/>
      </w:pPr>
      <w:r w:rsidRPr="00EF588B">
        <w:rPr>
          <w:rFonts w:ascii="Calibri" w:hAnsi="Calibri"/>
        </w:rPr>
        <w:t>Phases, Activities and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9"/>
        <w:gridCol w:w="3229"/>
        <w:gridCol w:w="3694"/>
      </w:tblGrid>
      <w:tr w:rsidR="00854BE7" w:rsidRPr="00EF588B" w:rsidTr="00EF588B">
        <w:trPr>
          <w:jc w:val="center"/>
        </w:trPr>
        <w:tc>
          <w:tcPr>
            <w:tcW w:w="3149" w:type="dxa"/>
            <w:shd w:val="clear" w:color="auto" w:fill="17365D" w:themeFill="text2" w:themeFillShade="BF"/>
          </w:tcPr>
          <w:p w:rsidR="00854BE7" w:rsidRPr="00EF588B" w:rsidRDefault="00875254">
            <w:r w:rsidRPr="00EF588B">
              <w:rPr>
                <w:rFonts w:ascii="Calibri" w:hAnsi="Calibri"/>
                <w:b/>
                <w:sz w:val="20"/>
              </w:rPr>
              <w:t>STLC Phase</w:t>
            </w:r>
          </w:p>
        </w:tc>
        <w:tc>
          <w:tcPr>
            <w:tcW w:w="3229" w:type="dxa"/>
            <w:shd w:val="clear" w:color="auto" w:fill="17365D" w:themeFill="text2" w:themeFillShade="BF"/>
          </w:tcPr>
          <w:p w:rsidR="00854BE7" w:rsidRPr="00EF588B" w:rsidRDefault="00875254">
            <w:r w:rsidRPr="00EF588B">
              <w:rPr>
                <w:rFonts w:ascii="Calibri" w:hAnsi="Calibri"/>
                <w:b/>
                <w:sz w:val="20"/>
              </w:rPr>
              <w:t>QA Activities</w:t>
            </w:r>
          </w:p>
        </w:tc>
        <w:tc>
          <w:tcPr>
            <w:tcW w:w="3694" w:type="dxa"/>
            <w:shd w:val="clear" w:color="auto" w:fill="17365D" w:themeFill="text2" w:themeFillShade="BF"/>
          </w:tcPr>
          <w:p w:rsidR="00854BE7" w:rsidRPr="00EF588B" w:rsidRDefault="00875254">
            <w:r w:rsidRPr="00EF588B">
              <w:rPr>
                <w:rFonts w:ascii="Calibri" w:hAnsi="Calibri"/>
                <w:b/>
                <w:sz w:val="20"/>
              </w:rPr>
              <w:t>Deliverables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1. Requirement Analysis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Study and analyze requirement specifications (SRS/BRS)</w:t>
            </w:r>
            <w:r w:rsidRPr="00EF588B">
              <w:rPr>
                <w:rFonts w:ascii="Calibri" w:hAnsi="Calibri"/>
                <w:sz w:val="20"/>
              </w:rPr>
              <w:br/>
              <w:t>• Identify testable requirements</w:t>
            </w:r>
            <w:r w:rsidRPr="00EF588B">
              <w:rPr>
                <w:rFonts w:ascii="Calibri" w:hAnsi="Calibri"/>
                <w:sz w:val="20"/>
              </w:rPr>
              <w:br/>
              <w:t>• Interact with stakeholders to</w:t>
            </w:r>
            <w:r w:rsidRPr="00EF588B">
              <w:rPr>
                <w:rFonts w:ascii="Calibri" w:hAnsi="Calibri"/>
                <w:sz w:val="20"/>
              </w:rPr>
              <w:t xml:space="preserve"> clarify doubts</w:t>
            </w:r>
            <w:r w:rsidRPr="00EF588B">
              <w:rPr>
                <w:rFonts w:ascii="Calibri" w:hAnsi="Calibri"/>
                <w:sz w:val="20"/>
              </w:rPr>
              <w:br/>
              <w:t>• Assess test automation feasibility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Requirement Traceability Matrix (RTM)</w:t>
            </w:r>
            <w:r w:rsidRPr="00EF588B">
              <w:rPr>
                <w:rFonts w:ascii="Calibri" w:hAnsi="Calibri"/>
                <w:sz w:val="20"/>
              </w:rPr>
              <w:br/>
              <w:t>• Automation feasibility report</w:t>
            </w:r>
            <w:r w:rsidRPr="00EF588B">
              <w:rPr>
                <w:rFonts w:ascii="Calibri" w:hAnsi="Calibri"/>
                <w:sz w:val="20"/>
              </w:rPr>
              <w:br/>
              <w:t>• List of clarified queries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2. Test Planning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Define test strategy and scope</w:t>
            </w:r>
            <w:r w:rsidRPr="00EF588B">
              <w:rPr>
                <w:rFonts w:ascii="Calibri" w:hAnsi="Calibri"/>
                <w:sz w:val="20"/>
              </w:rPr>
              <w:br/>
              <w:t>• Estimate effort, cost, and timelines</w:t>
            </w:r>
            <w:r w:rsidRPr="00EF588B">
              <w:rPr>
                <w:rFonts w:ascii="Calibri" w:hAnsi="Calibri"/>
                <w:sz w:val="20"/>
              </w:rPr>
              <w:br/>
              <w:t>• Identify ro</w:t>
            </w:r>
            <w:r w:rsidRPr="00EF588B">
              <w:rPr>
                <w:rFonts w:ascii="Calibri" w:hAnsi="Calibri"/>
                <w:sz w:val="20"/>
              </w:rPr>
              <w:t>les, responsibilities, and tools</w:t>
            </w:r>
            <w:r w:rsidRPr="00EF588B">
              <w:rPr>
                <w:rFonts w:ascii="Calibri" w:hAnsi="Calibri"/>
                <w:sz w:val="20"/>
              </w:rPr>
              <w:br/>
              <w:t>• Plan resource allocation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Test Plan document</w:t>
            </w:r>
            <w:r w:rsidRPr="00EF588B">
              <w:rPr>
                <w:rFonts w:ascii="Calibri" w:hAnsi="Calibri"/>
                <w:sz w:val="20"/>
              </w:rPr>
              <w:br/>
              <w:t>• Effort estimation report</w:t>
            </w:r>
            <w:r w:rsidRPr="00EF588B">
              <w:rPr>
                <w:rFonts w:ascii="Calibri" w:hAnsi="Calibri"/>
                <w:sz w:val="20"/>
              </w:rPr>
              <w:br/>
              <w:t>• Tool selection document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3. Test Case Development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Design detailed test cases and scripts</w:t>
            </w:r>
            <w:r w:rsidRPr="00EF588B">
              <w:rPr>
                <w:rFonts w:ascii="Calibri" w:hAnsi="Calibri"/>
                <w:sz w:val="20"/>
              </w:rPr>
              <w:br/>
              <w:t>• Prepare required test data</w:t>
            </w:r>
            <w:r w:rsidRPr="00EF588B">
              <w:rPr>
                <w:rFonts w:ascii="Calibri" w:hAnsi="Calibri"/>
                <w:sz w:val="20"/>
              </w:rPr>
              <w:br/>
              <w:t>• Review and baseline test</w:t>
            </w:r>
            <w:r w:rsidRPr="00EF588B">
              <w:rPr>
                <w:rFonts w:ascii="Calibri" w:hAnsi="Calibri"/>
                <w:sz w:val="20"/>
              </w:rPr>
              <w:t xml:space="preserve"> cases</w:t>
            </w:r>
            <w:r w:rsidRPr="00EF588B">
              <w:rPr>
                <w:rFonts w:ascii="Calibri" w:hAnsi="Calibri"/>
                <w:sz w:val="20"/>
              </w:rPr>
              <w:br/>
              <w:t>• Map test cases to requirements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Test Cases and Test Scripts</w:t>
            </w:r>
            <w:r w:rsidRPr="00EF588B">
              <w:rPr>
                <w:rFonts w:ascii="Calibri" w:hAnsi="Calibri"/>
                <w:sz w:val="20"/>
              </w:rPr>
              <w:br/>
              <w:t>• Test Data</w:t>
            </w:r>
            <w:r w:rsidRPr="00EF588B">
              <w:rPr>
                <w:rFonts w:ascii="Calibri" w:hAnsi="Calibri"/>
                <w:sz w:val="20"/>
              </w:rPr>
              <w:br/>
              <w:t>• Updated Requirement Traceability Matrix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4. Environment Setup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Set up hardware and software test environment</w:t>
            </w:r>
            <w:r w:rsidRPr="00EF588B">
              <w:rPr>
                <w:rFonts w:ascii="Calibri" w:hAnsi="Calibri"/>
                <w:sz w:val="20"/>
              </w:rPr>
              <w:br/>
              <w:t>• Configure test bed and test data</w:t>
            </w:r>
            <w:r w:rsidRPr="00EF588B">
              <w:rPr>
                <w:rFonts w:ascii="Calibri" w:hAnsi="Calibri"/>
                <w:sz w:val="20"/>
              </w:rPr>
              <w:br/>
              <w:t xml:space="preserve">• Perform smoke testing of </w:t>
            </w:r>
            <w:r w:rsidRPr="00EF588B">
              <w:rPr>
                <w:rFonts w:ascii="Calibri" w:hAnsi="Calibri"/>
                <w:sz w:val="20"/>
              </w:rPr>
              <w:t>the environment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Test environment ready for execution</w:t>
            </w:r>
            <w:r w:rsidRPr="00EF588B">
              <w:rPr>
                <w:rFonts w:ascii="Calibri" w:hAnsi="Calibri"/>
                <w:sz w:val="20"/>
              </w:rPr>
              <w:br/>
              <w:t>• Smoke test results</w:t>
            </w:r>
            <w:r w:rsidRPr="00EF588B">
              <w:rPr>
                <w:rFonts w:ascii="Calibri" w:hAnsi="Calibri"/>
                <w:sz w:val="20"/>
              </w:rPr>
              <w:br/>
              <w:t>• Environment setup checklist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5. Test Execution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Execute test cases as per the test plan</w:t>
            </w:r>
            <w:r w:rsidRPr="00EF588B">
              <w:rPr>
                <w:rFonts w:ascii="Calibri" w:hAnsi="Calibri"/>
                <w:sz w:val="20"/>
              </w:rPr>
              <w:br/>
              <w:t>• Log actual vs expected results</w:t>
            </w:r>
            <w:r w:rsidRPr="00EF588B">
              <w:rPr>
                <w:rFonts w:ascii="Calibri" w:hAnsi="Calibri"/>
                <w:sz w:val="20"/>
              </w:rPr>
              <w:br/>
              <w:t>• Re-test after defect fixes</w:t>
            </w:r>
            <w:r w:rsidRPr="00EF588B">
              <w:rPr>
                <w:rFonts w:ascii="Calibri" w:hAnsi="Calibri"/>
                <w:sz w:val="20"/>
              </w:rPr>
              <w:br/>
              <w:t xml:space="preserve">• Update test case </w:t>
            </w:r>
            <w:r w:rsidRPr="00EF588B">
              <w:rPr>
                <w:rFonts w:ascii="Calibri" w:hAnsi="Calibri"/>
                <w:sz w:val="20"/>
              </w:rPr>
              <w:t>execution status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Test execution / status report</w:t>
            </w:r>
            <w:r w:rsidRPr="00EF588B">
              <w:rPr>
                <w:rFonts w:ascii="Calibri" w:hAnsi="Calibri"/>
                <w:sz w:val="20"/>
              </w:rPr>
              <w:br/>
              <w:t>• Updated test case results</w:t>
            </w:r>
            <w:r w:rsidRPr="00EF588B">
              <w:rPr>
                <w:rFonts w:ascii="Calibri" w:hAnsi="Calibri"/>
                <w:sz w:val="20"/>
              </w:rPr>
              <w:br/>
              <w:t>• Updated Traceability Matrix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6. Defect Reporting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Log defects with steps to reproduce, severity, and priority</w:t>
            </w:r>
            <w:r w:rsidRPr="00EF588B">
              <w:rPr>
                <w:rFonts w:ascii="Calibri" w:hAnsi="Calibri"/>
                <w:sz w:val="20"/>
              </w:rPr>
              <w:br/>
              <w:t>• Assign defects to developers</w:t>
            </w:r>
            <w:r w:rsidRPr="00EF588B">
              <w:rPr>
                <w:rFonts w:ascii="Calibri" w:hAnsi="Calibri"/>
                <w:sz w:val="20"/>
              </w:rPr>
              <w:br/>
              <w:t>• Track defect status through to r</w:t>
            </w:r>
            <w:r w:rsidRPr="00EF588B">
              <w:rPr>
                <w:rFonts w:ascii="Calibri" w:hAnsi="Calibri"/>
                <w:sz w:val="20"/>
              </w:rPr>
              <w:t>esolution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Defect Reports</w:t>
            </w:r>
            <w:r w:rsidRPr="00EF588B">
              <w:rPr>
                <w:rFonts w:ascii="Calibri" w:hAnsi="Calibri"/>
                <w:sz w:val="20"/>
              </w:rPr>
              <w:br/>
              <w:t>• Defect Log / Tracking Sheet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7. Regression Testing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Re-execute test cases impacted by code fixes or changes</w:t>
            </w:r>
            <w:r w:rsidRPr="00EF588B">
              <w:rPr>
                <w:rFonts w:ascii="Calibri" w:hAnsi="Calibri"/>
                <w:sz w:val="20"/>
              </w:rPr>
              <w:br/>
              <w:t>• Verify no new defects were introduced</w:t>
            </w:r>
            <w:r w:rsidRPr="00EF588B">
              <w:rPr>
                <w:rFonts w:ascii="Calibri" w:hAnsi="Calibri"/>
                <w:sz w:val="20"/>
              </w:rPr>
              <w:br/>
              <w:t>• Confirm overall system stability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Regression Test Summary Report</w:t>
            </w:r>
            <w:r w:rsidRPr="00EF588B">
              <w:rPr>
                <w:rFonts w:ascii="Calibri" w:hAnsi="Calibri"/>
                <w:sz w:val="20"/>
              </w:rPr>
              <w:br/>
              <w:t xml:space="preserve">• Updated </w:t>
            </w:r>
            <w:r w:rsidRPr="00EF588B">
              <w:rPr>
                <w:rFonts w:ascii="Calibri" w:hAnsi="Calibri"/>
                <w:sz w:val="20"/>
              </w:rPr>
              <w:t>defect status report</w:t>
            </w:r>
          </w:p>
        </w:tc>
      </w:tr>
      <w:tr w:rsidR="00854BE7" w:rsidRPr="00EF588B" w:rsidTr="00EF588B">
        <w:trPr>
          <w:jc w:val="center"/>
        </w:trPr>
        <w:tc>
          <w:tcPr>
            <w:tcW w:w="3149" w:type="dxa"/>
            <w:shd w:val="clear" w:color="auto" w:fill="C6D9F1" w:themeFill="text2" w:themeFillTint="33"/>
          </w:tcPr>
          <w:p w:rsidR="00854BE7" w:rsidRPr="00EF588B" w:rsidRDefault="00875254">
            <w:pPr>
              <w:rPr>
                <w:b/>
              </w:rPr>
            </w:pPr>
            <w:r w:rsidRPr="00EF588B">
              <w:rPr>
                <w:rFonts w:ascii="Calibri" w:hAnsi="Calibri"/>
                <w:b/>
                <w:sz w:val="20"/>
              </w:rPr>
              <w:t>8. Test Closure</w:t>
            </w:r>
          </w:p>
        </w:tc>
        <w:tc>
          <w:tcPr>
            <w:tcW w:w="3229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Evaluate test exit criteria</w:t>
            </w:r>
            <w:r w:rsidRPr="00EF588B">
              <w:rPr>
                <w:rFonts w:ascii="Calibri" w:hAnsi="Calibri"/>
                <w:sz w:val="20"/>
              </w:rPr>
              <w:br/>
              <w:t>• Prepare test closure report</w:t>
            </w:r>
            <w:r w:rsidRPr="00EF588B">
              <w:rPr>
                <w:rFonts w:ascii="Calibri" w:hAnsi="Calibri"/>
                <w:sz w:val="20"/>
              </w:rPr>
              <w:br/>
              <w:t>• Document lessons learned</w:t>
            </w:r>
            <w:r w:rsidRPr="00EF588B">
              <w:rPr>
                <w:rFonts w:ascii="Calibri" w:hAnsi="Calibri"/>
                <w:sz w:val="20"/>
              </w:rPr>
              <w:br/>
              <w:t>• Archive test artifacts and documentation</w:t>
            </w:r>
          </w:p>
        </w:tc>
        <w:tc>
          <w:tcPr>
            <w:tcW w:w="3694" w:type="dxa"/>
          </w:tcPr>
          <w:p w:rsidR="00854BE7" w:rsidRPr="00EF588B" w:rsidRDefault="00875254">
            <w:r w:rsidRPr="00EF588B">
              <w:rPr>
                <w:rFonts w:ascii="Calibri" w:hAnsi="Calibri"/>
                <w:sz w:val="20"/>
              </w:rPr>
              <w:t>• Test Closure Report</w:t>
            </w:r>
            <w:r w:rsidRPr="00EF588B">
              <w:rPr>
                <w:rFonts w:ascii="Calibri" w:hAnsi="Calibri"/>
                <w:sz w:val="20"/>
              </w:rPr>
              <w:br/>
              <w:t>• Test Summary and Metrics Report</w:t>
            </w:r>
            <w:r w:rsidRPr="00EF588B">
              <w:rPr>
                <w:rFonts w:ascii="Calibri" w:hAnsi="Calibri"/>
                <w:sz w:val="20"/>
              </w:rPr>
              <w:br/>
              <w:t>• Archived test artifacts</w:t>
            </w:r>
          </w:p>
        </w:tc>
      </w:tr>
    </w:tbl>
    <w:p w:rsidR="00000000" w:rsidRDefault="00875254"/>
    <w:p w:rsidR="00EF588B" w:rsidRDefault="00EF588B"/>
    <w:p w:rsidR="00EF588B" w:rsidRDefault="00EF588B"/>
    <w:p w:rsidR="00EF588B" w:rsidRDefault="00EF588B"/>
    <w:p w:rsidR="00EF588B" w:rsidRDefault="00EF588B"/>
    <w:p w:rsidR="00EF588B" w:rsidRDefault="00EF588B"/>
    <w:p w:rsidR="00EF588B" w:rsidRPr="00EF588B" w:rsidRDefault="00EF588B">
      <w:r>
        <w:rPr>
          <w:noProof/>
          <w:lang w:val="en-IN" w:eastAsia="en-IN"/>
        </w:rPr>
        <w:drawing>
          <wp:inline distT="0" distB="0" distL="0" distR="0">
            <wp:extent cx="7078201" cy="844796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LC_Flow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544" cy="8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88B" w:rsidRPr="00EF588B" w:rsidSect="00EF58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4BE7"/>
    <w:rsid w:val="00875254"/>
    <w:rsid w:val="00AA1D8D"/>
    <w:rsid w:val="00B47730"/>
    <w:rsid w:val="00CB0664"/>
    <w:rsid w:val="00EF58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4AE29"/>
  <w14:defaultImageDpi w14:val="300"/>
  <w15:docId w15:val="{5A5D7FE2-B632-49F0-B5B3-E40B5E28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39FB30-3C71-478F-A918-88C590117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2026-08-07T05:37:00Z</dcterms:created>
  <dcterms:modified xsi:type="dcterms:W3CDTF">2026-08-07T05:37:00Z</dcterms:modified>
  <cp:category/>
</cp:coreProperties>
</file>