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2D73" w14:textId="0C59BCCB" w:rsidR="007C6648" w:rsidRDefault="00000000">
      <w:pPr>
        <w:pStyle w:val="Heading1"/>
      </w:pPr>
      <w:r>
        <w:t xml:space="preserve"> RESULTS AND DISCUSSION</w:t>
      </w:r>
    </w:p>
    <w:p w14:paraId="71D0586F" w14:textId="77777777" w:rsidR="007C6648" w:rsidRDefault="00000000">
      <w:pPr>
        <w:pStyle w:val="Heading2"/>
      </w:pPr>
      <w:r>
        <w:t>A. Customer Segmentation Analysis</w:t>
      </w:r>
    </w:p>
    <w:p w14:paraId="1B932812" w14:textId="6A7B6D4C" w:rsidR="00FF2AB6" w:rsidRPr="00FF2AB6" w:rsidRDefault="00FF2AB6" w:rsidP="00FF2AB6">
      <w:pPr>
        <w:rPr>
          <w:lang w:val="en-IN"/>
        </w:rPr>
      </w:pPr>
      <w:r w:rsidRPr="00FF2AB6">
        <w:rPr>
          <w:lang w:val="en-IN"/>
        </w:rPr>
        <w:drawing>
          <wp:inline distT="0" distB="0" distL="0" distR="0" wp14:anchorId="7405BF92" wp14:editId="3AE7D24B">
            <wp:extent cx="5486400" cy="3931285"/>
            <wp:effectExtent l="0" t="0" r="0" b="0"/>
            <wp:docPr id="1520932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DA97" w14:textId="77777777" w:rsidR="00FF2AB6" w:rsidRPr="00FF2AB6" w:rsidRDefault="00FF2AB6" w:rsidP="00FF2AB6"/>
    <w:p w14:paraId="60DD9B59" w14:textId="77777777" w:rsidR="007C6648" w:rsidRDefault="00000000">
      <w:r>
        <w:t>Figure 1(a) presents the heatmap of cluster centers for the normalized RFM (Recency, Frequency, Monetary) variables. The clusters reveal distinct patterns:</w:t>
      </w:r>
      <w:r>
        <w:br/>
      </w:r>
      <w:r>
        <w:br/>
        <w:t>• Cluster 0: Very high Recency and extremely low Frequency and Monetary values, indicating inactive customers with minimal engagement.</w:t>
      </w:r>
      <w:r>
        <w:br/>
        <w:t>• Cluster 1: Low Recency with low Frequency and Monetary values, representing recently active customers who have not yet developed strong spending patterns.</w:t>
      </w:r>
      <w:r>
        <w:br/>
        <w:t>• Cluster 2: Moderate Recency and low transaction behavior, representing occasional buyers.</w:t>
      </w:r>
      <w:r>
        <w:br/>
        <w:t>• Cluster 3: High Recency and slightly better Monetary values than Cluster 0, indicating previously engaged but now inactive customers.</w:t>
      </w:r>
    </w:p>
    <w:p w14:paraId="2E4D143E" w14:textId="77777777" w:rsidR="00FF2AB6" w:rsidRDefault="00FF2AB6"/>
    <w:p w14:paraId="656B3BA2" w14:textId="77777777" w:rsidR="00FF2AB6" w:rsidRDefault="00FF2AB6"/>
    <w:p w14:paraId="309D9D71" w14:textId="77777777" w:rsidR="007C6648" w:rsidRDefault="00000000">
      <w:pPr>
        <w:pStyle w:val="Heading2"/>
      </w:pPr>
      <w:r>
        <w:lastRenderedPageBreak/>
        <w:t>B. RFM Variable Distribution Across Clusters</w:t>
      </w:r>
    </w:p>
    <w:p w14:paraId="6B4C3302" w14:textId="6A19E07F" w:rsidR="00FF2AB6" w:rsidRPr="00FF2AB6" w:rsidRDefault="00FF2AB6" w:rsidP="00FF2AB6">
      <w:pPr>
        <w:rPr>
          <w:lang w:val="en-IN"/>
        </w:rPr>
      </w:pPr>
      <w:r w:rsidRPr="00FF2AB6">
        <w:rPr>
          <w:lang w:val="en-IN"/>
        </w:rPr>
        <w:drawing>
          <wp:inline distT="0" distB="0" distL="0" distR="0" wp14:anchorId="2BDA2863" wp14:editId="3E5A5B9B">
            <wp:extent cx="5486400" cy="2141220"/>
            <wp:effectExtent l="0" t="0" r="0" b="0"/>
            <wp:docPr id="143106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5EBE" w14:textId="77777777" w:rsidR="00FF2AB6" w:rsidRPr="00FF2AB6" w:rsidRDefault="00FF2AB6" w:rsidP="00FF2AB6"/>
    <w:p w14:paraId="29ADD869" w14:textId="77777777" w:rsidR="007C6648" w:rsidRDefault="00000000">
      <w:r>
        <w:t>Figure 1(b) presents boxplots for Recency, Frequency, and Monetary values across clusters.</w:t>
      </w:r>
      <w:r>
        <w:br/>
      </w:r>
      <w:r>
        <w:br/>
        <w:t>• Recency: Cluster 1 shows the lowest Recency values, indicating recent activity. Clusters 0 and 3 show high Recency, indicating inactive or churn-prone users.</w:t>
      </w:r>
      <w:r>
        <w:br/>
        <w:t>• Frequency: All clusters show low Frequency values, with Cluster 1 having a broader distribution.</w:t>
      </w:r>
      <w:r>
        <w:br/>
        <w:t>• Monetary: Monetary values remain low across clusters, with significant outliers indicating the presence of rare high-value customers.</w:t>
      </w:r>
    </w:p>
    <w:p w14:paraId="0D53FE41" w14:textId="77777777" w:rsidR="007C6648" w:rsidRDefault="00000000">
      <w:pPr>
        <w:pStyle w:val="Heading2"/>
      </w:pPr>
      <w:r>
        <w:t>C. Customer Segment Interpretation</w:t>
      </w:r>
    </w:p>
    <w:p w14:paraId="6A4DA960" w14:textId="77777777" w:rsidR="007C6648" w:rsidRDefault="00000000">
      <w:r>
        <w:t>Based on the centroid and distribution analysis, customer segments can be understood as follows:</w:t>
      </w:r>
      <w:r>
        <w:br/>
      </w:r>
      <w:r>
        <w:br/>
        <w:t>1. Cluster 0 – Lost or Inactive Customers.</w:t>
      </w:r>
      <w:r>
        <w:br/>
        <w:t>2. Cluster 1 – Recent but Low-Value Customers.</w:t>
      </w:r>
      <w:r>
        <w:br/>
        <w:t>3. Cluster 2 – Occasional Buyers.</w:t>
      </w:r>
      <w:r>
        <w:br/>
        <w:t>4. Cluster 3 – Previously Active but Fading Customers.</w:t>
      </w:r>
    </w:p>
    <w:p w14:paraId="4067B6B2" w14:textId="77777777" w:rsidR="007C6648" w:rsidRDefault="00000000">
      <w:pPr>
        <w:pStyle w:val="Heading2"/>
      </w:pPr>
      <w:r>
        <w:t>D. Summary of Customer Segmentation</w:t>
      </w:r>
    </w:p>
    <w:p w14:paraId="65D896F0" w14:textId="77777777" w:rsidR="007C6648" w:rsidRDefault="00000000">
      <w:r>
        <w:t>The RFM-based clustering successfully identifies customer groups with varying engagement levels, enabling targeted marketing and retention strategies.</w:t>
      </w:r>
    </w:p>
    <w:p w14:paraId="74E40FA3" w14:textId="77777777" w:rsidR="00FF2AB6" w:rsidRDefault="00FF2AB6">
      <w:pPr>
        <w:pStyle w:val="Heading1"/>
      </w:pPr>
    </w:p>
    <w:p w14:paraId="412371F1" w14:textId="07341A5D" w:rsidR="007C6648" w:rsidRDefault="00000000">
      <w:pPr>
        <w:pStyle w:val="Heading1"/>
      </w:pPr>
      <w:r>
        <w:t>VI. CUSTOMER CHURN PREDICTION ANALYSIS</w:t>
      </w:r>
    </w:p>
    <w:p w14:paraId="07D714F4" w14:textId="77777777" w:rsidR="007C6648" w:rsidRDefault="00000000">
      <w:pPr>
        <w:pStyle w:val="Heading2"/>
      </w:pPr>
      <w:r>
        <w:t>A. Confusion Matrix Evaluation</w:t>
      </w:r>
    </w:p>
    <w:p w14:paraId="5DF7AFC1" w14:textId="77777777" w:rsidR="00FF2AB6" w:rsidRDefault="00000000">
      <w:r>
        <w:t>The confusion matrix in Figure 2(a) illustrates the logistic regression model’s performance:</w:t>
      </w:r>
    </w:p>
    <w:p w14:paraId="4B12E297" w14:textId="5BFE9A96" w:rsidR="00FF2AB6" w:rsidRPr="00FF2AB6" w:rsidRDefault="00FF2AB6" w:rsidP="00FF2AB6">
      <w:pPr>
        <w:rPr>
          <w:lang w:val="en-IN"/>
        </w:rPr>
      </w:pPr>
      <w:r w:rsidRPr="00FF2AB6">
        <w:rPr>
          <w:lang w:val="en-IN"/>
        </w:rPr>
        <w:drawing>
          <wp:inline distT="0" distB="0" distL="0" distR="0" wp14:anchorId="27322DC7" wp14:editId="3D46B0EF">
            <wp:extent cx="5486400" cy="3800475"/>
            <wp:effectExtent l="0" t="0" r="0" b="9525"/>
            <wp:docPr id="1891834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B856B" w14:textId="6C38E6B5" w:rsidR="007C6648" w:rsidRDefault="00000000">
      <w:r>
        <w:br/>
      </w:r>
      <w:r>
        <w:br/>
        <w:t>• True Negatives (336): Correctly identified non-churn customers.</w:t>
      </w:r>
      <w:r>
        <w:br/>
        <w:t>• False Positives (360): Non-churn customers incorrectly predicted as churners, indicating moderate specificity.</w:t>
      </w:r>
      <w:r>
        <w:br/>
        <w:t>• True Positives (162): Correctly identified churn customers, demonstrating strong sensitivity.</w:t>
      </w:r>
      <w:r>
        <w:br/>
        <w:t>• False Negatives (10): Very few churners misclassified, minimizing revenue risk.</w:t>
      </w:r>
      <w:r>
        <w:br/>
      </w:r>
      <w:r>
        <w:br/>
        <w:t>The model shows high sensitivity but tends to overpredict churn.</w:t>
      </w:r>
    </w:p>
    <w:p w14:paraId="29C4975F" w14:textId="77777777" w:rsidR="00FF2AB6" w:rsidRDefault="00FF2AB6">
      <w:pPr>
        <w:pStyle w:val="Heading2"/>
      </w:pPr>
    </w:p>
    <w:p w14:paraId="0A626067" w14:textId="77777777" w:rsidR="00FF2AB6" w:rsidRDefault="00FF2AB6">
      <w:pPr>
        <w:pStyle w:val="Heading2"/>
      </w:pPr>
    </w:p>
    <w:p w14:paraId="294A3D3A" w14:textId="0C2F371F" w:rsidR="007C6648" w:rsidRDefault="00000000">
      <w:pPr>
        <w:pStyle w:val="Heading2"/>
      </w:pPr>
      <w:r>
        <w:t>B. ROC Curve and AUC Interpretation</w:t>
      </w:r>
    </w:p>
    <w:p w14:paraId="0BC3D827" w14:textId="77777777" w:rsidR="00FF2AB6" w:rsidRDefault="00FF2AB6" w:rsidP="00FF2AB6"/>
    <w:p w14:paraId="41B3137D" w14:textId="37CDE3AE" w:rsidR="00FF2AB6" w:rsidRPr="00FF2AB6" w:rsidRDefault="00FF2AB6" w:rsidP="00FF2AB6">
      <w:pPr>
        <w:rPr>
          <w:lang w:val="en-IN"/>
        </w:rPr>
      </w:pPr>
      <w:r w:rsidRPr="00FF2AB6">
        <w:rPr>
          <w:lang w:val="en-IN"/>
        </w:rPr>
        <w:drawing>
          <wp:inline distT="0" distB="0" distL="0" distR="0" wp14:anchorId="12F7A64A" wp14:editId="6D2822DA">
            <wp:extent cx="5486400" cy="5609590"/>
            <wp:effectExtent l="0" t="0" r="0" b="0"/>
            <wp:docPr id="98535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0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030F" w14:textId="77777777" w:rsidR="00FF2AB6" w:rsidRPr="00FF2AB6" w:rsidRDefault="00FF2AB6" w:rsidP="00FF2AB6"/>
    <w:p w14:paraId="201BAE5E" w14:textId="77777777" w:rsidR="007C6648" w:rsidRDefault="00000000">
      <w:r>
        <w:t>The ROC curve in Figure 2(b) produces an AUC value of 0.8255, indicating strong discriminative capability. The model reliably separates churners from non-churners across varying probability thresholds, making it suitable for real-world churn detection scenarios.</w:t>
      </w:r>
    </w:p>
    <w:p w14:paraId="60FD0CE3" w14:textId="77777777" w:rsidR="007C6648" w:rsidRDefault="00000000">
      <w:pPr>
        <w:pStyle w:val="Heading2"/>
      </w:pPr>
      <w:r>
        <w:lastRenderedPageBreak/>
        <w:t>C. Business Implications</w:t>
      </w:r>
    </w:p>
    <w:p w14:paraId="66E437E7" w14:textId="77777777" w:rsidR="007C6648" w:rsidRDefault="00000000">
      <w:r>
        <w:t>Key implications include:</w:t>
      </w:r>
      <w:r>
        <w:br/>
        <w:t>• Low false negatives ensure high recall for churners, enabling effective retention campaigns.</w:t>
      </w:r>
      <w:r>
        <w:br/>
        <w:t>• High false positives may increase retention costs, requiring threshold optimization.</w:t>
      </w:r>
      <w:r>
        <w:br/>
        <w:t>• Strong AUC performance supports the use of logistic regression as a baseline churn model.</w:t>
      </w:r>
    </w:p>
    <w:p w14:paraId="5C419825" w14:textId="77777777" w:rsidR="007C6648" w:rsidRDefault="00000000">
      <w:pPr>
        <w:pStyle w:val="Heading2"/>
      </w:pPr>
      <w:r>
        <w:t>D. Summary of Churn Prediction</w:t>
      </w:r>
    </w:p>
    <w:p w14:paraId="5B76AD9D" w14:textId="77777777" w:rsidR="007C6648" w:rsidRDefault="00000000">
      <w:r>
        <w:t>The churn prediction model demonstrates strong ability to detect churners with a high AUC score. However, specificity improvements may reduce unnecessary retention actions.</w:t>
      </w:r>
    </w:p>
    <w:sectPr w:rsidR="007C66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825258">
    <w:abstractNumId w:val="8"/>
  </w:num>
  <w:num w:numId="2" w16cid:durableId="1196230880">
    <w:abstractNumId w:val="6"/>
  </w:num>
  <w:num w:numId="3" w16cid:durableId="334235312">
    <w:abstractNumId w:val="5"/>
  </w:num>
  <w:num w:numId="4" w16cid:durableId="502668498">
    <w:abstractNumId w:val="4"/>
  </w:num>
  <w:num w:numId="5" w16cid:durableId="1010453739">
    <w:abstractNumId w:val="7"/>
  </w:num>
  <w:num w:numId="6" w16cid:durableId="1593120543">
    <w:abstractNumId w:val="3"/>
  </w:num>
  <w:num w:numId="7" w16cid:durableId="315837915">
    <w:abstractNumId w:val="2"/>
  </w:num>
  <w:num w:numId="8" w16cid:durableId="222253303">
    <w:abstractNumId w:val="1"/>
  </w:num>
  <w:num w:numId="9" w16cid:durableId="211840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C53"/>
    <w:rsid w:val="007C6648"/>
    <w:rsid w:val="00AA1D8D"/>
    <w:rsid w:val="00B47730"/>
    <w:rsid w:val="00CB0664"/>
    <w:rsid w:val="00FC693F"/>
    <w:rsid w:val="00FF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CF4CB"/>
  <w14:defaultImageDpi w14:val="300"/>
  <w15:docId w15:val="{922219A0-3510-4C52-B9E1-81BDA156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bharti sharma</cp:lastModifiedBy>
  <cp:revision>2</cp:revision>
  <dcterms:created xsi:type="dcterms:W3CDTF">2013-12-23T23:15:00Z</dcterms:created>
  <dcterms:modified xsi:type="dcterms:W3CDTF">2025-11-15T14:49:00Z</dcterms:modified>
  <cp:category/>
</cp:coreProperties>
</file>